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Financial Analysis</w:t>
      </w:r>
    </w:p>
    <w:p>
      <w:r>
        <w:t>Prepared for Executive Leadership - Fiscal Year 2026</w:t>
      </w:r>
    </w:p>
    <w:p>
      <w:r>
        <w:t>Operating revenue increased significantly during the second quarter due to strong demand across cloud services</w:t>
        <w:br/>
        <w:t>and managed infrastructure. Gross margins expanded by 340 basis points year-over-year.</w:t>
      </w:r>
    </w:p>
    <w:p>
      <w:r>
        <w:t>Segment</w:t>
        <w:br/>
        <w:t>Q1 Revenue</w:t>
        <w:br/>
        <w:t>Q2 Revenue</w:t>
        <w:br/>
        <w:t>Growth</w:t>
      </w:r>
    </w:p>
    <w:p>
      <w:r>
        <w:t>Enterprise Cloud</w:t>
        <w:br/>
        <w:t>$450M</w:t>
        <w:br/>
        <w:t>$560M</w:t>
        <w:br/>
        <w:t>+24.4%</w:t>
      </w:r>
    </w:p>
    <w:p>
      <w:r>
        <w:t>Platform Services</w:t>
        <w:br/>
        <w:t>$210M</w:t>
        <w:br/>
        <w:t>$245M</w:t>
        <w:br/>
        <w:t>+16.7%</w:t>
      </w:r>
    </w:p>
    <w:p>
      <w:r>
        <w:t>Advisory &amp; Consulting</w:t>
        <w:br/>
        <w:t>$95M</w:t>
        <w:br/>
        <w:t>$110M</w:t>
        <w:br/>
        <w:t>+15.8%</w:t>
      </w:r>
    </w:p>
    <w:p>
      <w:r>
        <w:t>Vector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