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0151" w14:textId="28DD4993" w:rsidR="009338B4" w:rsidRDefault="00FD5FA3" w:rsidP="00535591">
      <w:pPr>
        <w:shd w:val="clear" w:color="auto" w:fill="FFFFFF"/>
        <w:spacing w:after="300" w:line="384" w:lineRule="atLeast"/>
      </w:pPr>
      <w:r w:rsidRPr="00FD5FA3">
        <w:rPr>
          <w:b/>
        </w:rPr>
        <w:t>Adult Income Dataset</w:t>
      </w:r>
      <w:r>
        <w:t xml:space="preserve">:  In the last decade, the global population living in poverty (defined as living with less than $2 per day, 1985 prices) has decreased dramatically from 80% in 1920, to 50% in 1970 to 10% in 2015 [1]. In order to determine the policy changes, US government primarily uses census data. Adult income dataset is a subset from the 1994 US Census. It provides the data </w:t>
      </w:r>
      <w:r w:rsidR="00876138">
        <w:t>on</w:t>
      </w:r>
      <w:r>
        <w:t xml:space="preserve"> education, heritage</w:t>
      </w:r>
      <w:r w:rsidR="00876138">
        <w:t>, work status</w:t>
      </w:r>
      <w:r>
        <w:t xml:space="preserve"> and age (among others) </w:t>
      </w:r>
      <w:r w:rsidR="00876138">
        <w:t>to classify</w:t>
      </w:r>
      <w:r>
        <w:t xml:space="preserve"> whether income is above $50,000 per year</w:t>
      </w:r>
      <w:r w:rsidR="009338B4">
        <w:t xml:space="preserve"> or not</w:t>
      </w:r>
      <w:r>
        <w:t xml:space="preserve">. </w:t>
      </w:r>
      <w:r w:rsidR="009338B4">
        <w:t>US g</w:t>
      </w:r>
      <w:r>
        <w:t xml:space="preserve">overnments can use this data to determine the most impactful factors </w:t>
      </w:r>
      <w:r w:rsidR="009338B4">
        <w:t xml:space="preserve">on individual </w:t>
      </w:r>
      <w:r>
        <w:t>income</w:t>
      </w:r>
      <w:r w:rsidR="009338B4">
        <w:t xml:space="preserve"> in the USA</w:t>
      </w:r>
      <w:r>
        <w:t>. The dataset consists of 14 socio-economic attributes</w:t>
      </w:r>
      <w:r w:rsidR="009338B4">
        <w:t xml:space="preserve"> of categorical and numeric type; </w:t>
      </w:r>
      <w:r>
        <w:t>and 3</w:t>
      </w:r>
      <w:r w:rsidR="009338B4">
        <w:t>2</w:t>
      </w:r>
      <w:r>
        <w:t>,</w:t>
      </w:r>
      <w:r w:rsidR="009338B4">
        <w:t>561</w:t>
      </w:r>
      <w:r>
        <w:t xml:space="preserve"> instances which </w:t>
      </w:r>
      <w:r w:rsidR="009338B4">
        <w:t>is sufficiently large enough to find statistical significances of different factors on the income</w:t>
      </w:r>
      <w:r>
        <w:t xml:space="preserve">. </w:t>
      </w:r>
      <w:r w:rsidR="009338B4">
        <w:t>One of the interesting features of the dataset is</w:t>
      </w:r>
      <w:r>
        <w:t xml:space="preserve"> </w:t>
      </w:r>
      <w:r w:rsidR="009338B4">
        <w:t>its uneven distribution</w:t>
      </w:r>
      <w:r>
        <w:t xml:space="preserve">. </w:t>
      </w:r>
      <w:r w:rsidR="009338B4">
        <w:t xml:space="preserve">In terms of machine learning, it poses a challenge for </w:t>
      </w:r>
      <w:r w:rsidR="00047D79">
        <w:t>classifiers</w:t>
      </w:r>
      <w:r w:rsidR="009338B4">
        <w:t xml:space="preserve"> to lear</w:t>
      </w:r>
      <w:r w:rsidR="00047D79">
        <w:t xml:space="preserve">n from the dataset. </w:t>
      </w:r>
    </w:p>
    <w:p w14:paraId="6B0F8DF5" w14:textId="40FC76F8" w:rsidR="00FD5FA3" w:rsidRPr="00FD5FA3" w:rsidRDefault="009338B4" w:rsidP="00535591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F2260E" wp14:editId="66D91D57">
            <wp:extent cx="2743200" cy="2553180"/>
            <wp:effectExtent l="0" t="0" r="0" b="0"/>
            <wp:docPr id="2" name="Picture 2" descr="C:\Users\Plabon\AppData\Local\Microsoft\Windows\INetCache\Content.MSO\BBD97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n\AppData\Local\Microsoft\Windows\INetCache\Content.MSO\BBD97F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3" t="52639" r="48359" b="16660"/>
                    <a:stretch/>
                  </pic:blipFill>
                  <pic:spPr bwMode="auto">
                    <a:xfrm>
                      <a:off x="0" y="0"/>
                      <a:ext cx="2751745" cy="25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DD2F" w14:textId="1A3C60A7" w:rsidR="00535591" w:rsidRDefault="00535591" w:rsidP="00535591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</w:rPr>
        <w:t>E-M Clustering:</w:t>
      </w:r>
    </w:p>
    <w:p w14:paraId="19549C9E" w14:textId="5E092AD8" w:rsidR="00255735" w:rsidRDefault="00255735" w:rsidP="00535591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</w:p>
    <w:p w14:paraId="20BD8B52" w14:textId="045342B2" w:rsidR="00255735" w:rsidRDefault="00255735" w:rsidP="00535591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3247B6" wp14:editId="3E5143D6">
            <wp:extent cx="5808428" cy="7854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5"/>
                    <a:stretch/>
                  </pic:blipFill>
                  <pic:spPr bwMode="auto">
                    <a:xfrm>
                      <a:off x="0" y="0"/>
                      <a:ext cx="5808428" cy="78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881ED" w14:textId="11C94788" w:rsidR="00535591" w:rsidRPr="00535591" w:rsidRDefault="00535591" w:rsidP="00535591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Under the hood, a Gaussian mixture model is very similar to </w:t>
      </w:r>
      <w:r w:rsidRPr="00535591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</w:rPr>
        <w:t>k</w:t>
      </w: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-means: it uses an expectation–maximization approach which qualitatively does the following:</w:t>
      </w:r>
    </w:p>
    <w:p w14:paraId="49BD57C9" w14:textId="77777777" w:rsidR="00535591" w:rsidRPr="00535591" w:rsidRDefault="00535591" w:rsidP="00535591">
      <w:pPr>
        <w:numPr>
          <w:ilvl w:val="0"/>
          <w:numId w:val="1"/>
        </w:num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Choose starting guesses for the location and shape</w:t>
      </w:r>
    </w:p>
    <w:p w14:paraId="7FDD8911" w14:textId="77777777" w:rsidR="00535591" w:rsidRPr="00535591" w:rsidRDefault="00535591" w:rsidP="00535591">
      <w:pPr>
        <w:numPr>
          <w:ilvl w:val="0"/>
          <w:numId w:val="1"/>
        </w:num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lastRenderedPageBreak/>
        <w:t>Repeat until converged:</w:t>
      </w:r>
    </w:p>
    <w:p w14:paraId="70E04337" w14:textId="77777777" w:rsidR="00535591" w:rsidRPr="00535591" w:rsidRDefault="00535591" w:rsidP="005355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535591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</w:rPr>
        <w:t>E-step</w:t>
      </w: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: for each point, find weights encoding the probability of membership in each cluster</w:t>
      </w:r>
    </w:p>
    <w:p w14:paraId="667F8080" w14:textId="77777777" w:rsidR="00535591" w:rsidRPr="00535591" w:rsidRDefault="00535591" w:rsidP="005355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535591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</w:rPr>
        <w:t>M-step</w:t>
      </w: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: for each cluster, update its location, normalization, and shape based on </w:t>
      </w:r>
      <w:r w:rsidRPr="00535591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</w:rPr>
        <w:t>all</w:t>
      </w: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 data points, making use of the weights</w:t>
      </w:r>
    </w:p>
    <w:p w14:paraId="4471A184" w14:textId="77777777" w:rsidR="00535591" w:rsidRPr="00535591" w:rsidRDefault="00535591" w:rsidP="00535591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The result of this is that each cluster is associated not with a hard-edged sphere, but with a smooth Gaussian model. Just as in the </w:t>
      </w:r>
      <w:r w:rsidRPr="00535591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</w:rPr>
        <w:t>k</w:t>
      </w:r>
      <w:r w:rsidRPr="00535591">
        <w:rPr>
          <w:rFonts w:ascii="Source Sans Pro" w:eastAsia="Times New Roman" w:hAnsi="Source Sans Pro" w:cs="Times New Roman"/>
          <w:color w:val="000000"/>
          <w:sz w:val="24"/>
          <w:szCs w:val="24"/>
        </w:rPr>
        <w:t>-means expectation–maximization approach, this algorithm can sometimes miss the globally optimal solution, and thus in practice multiple random initializations are used.</w:t>
      </w:r>
    </w:p>
    <w:p w14:paraId="564E17D3" w14:textId="49CF2EC9" w:rsidR="00B959FA" w:rsidRDefault="009E2323">
      <w:bookmarkStart w:id="0" w:name="_GoBack"/>
      <w:r>
        <w:rPr>
          <w:noProof/>
        </w:rPr>
        <w:drawing>
          <wp:inline distT="0" distB="0" distL="0" distR="0" wp14:anchorId="6BBAFC5B" wp14:editId="7EA3662B">
            <wp:extent cx="3134299" cy="2027583"/>
            <wp:effectExtent l="0" t="0" r="9525" b="0"/>
            <wp:docPr id="3" name="Picture 3" descr="C:\Users\Plabon\AppData\Local\Microsoft\Windows\INetCache\Content.MSO\8309DB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bon\AppData\Local\Microsoft\Windows\INetCache\Content.MSO\8309DB7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73" cy="20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7A69"/>
    <w:multiLevelType w:val="multilevel"/>
    <w:tmpl w:val="E60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91"/>
    <w:rsid w:val="00047D79"/>
    <w:rsid w:val="0024416A"/>
    <w:rsid w:val="00255735"/>
    <w:rsid w:val="00535591"/>
    <w:rsid w:val="008071B3"/>
    <w:rsid w:val="00876138"/>
    <w:rsid w:val="008A5193"/>
    <w:rsid w:val="00927EC2"/>
    <w:rsid w:val="009338B4"/>
    <w:rsid w:val="009E2323"/>
    <w:rsid w:val="00CD696A"/>
    <w:rsid w:val="00D17C02"/>
    <w:rsid w:val="00D50ACD"/>
    <w:rsid w:val="00E24CE2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9D95"/>
  <w15:chartTrackingRefBased/>
  <w15:docId w15:val="{BE101DE9-F9D3-45FF-9119-5B5D842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559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Biswas</dc:creator>
  <cp:keywords/>
  <dc:description/>
  <cp:lastModifiedBy>Zahid Biswas</cp:lastModifiedBy>
  <cp:revision>4</cp:revision>
  <dcterms:created xsi:type="dcterms:W3CDTF">2019-03-16T17:41:00Z</dcterms:created>
  <dcterms:modified xsi:type="dcterms:W3CDTF">2019-03-24T05:35:00Z</dcterms:modified>
</cp:coreProperties>
</file>