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供应商-通用型SOP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供应商负责组织人员、场景、执行</w:t>
            </w:r>
            <w:r>
              <w:rPr>
                <w:rFonts w:eastAsia="等线" w:ascii="Arial" w:cs="Arial" w:hAnsi="Arial"/>
                <w:sz w:val="22"/>
              </w:rPr>
              <w:t>以及上传</w:t>
            </w:r>
            <w:r>
              <w:rPr>
                <w:rFonts w:eastAsia="等线" w:ascii="Arial" w:cs="Arial" w:hAnsi="Arial"/>
                <w:sz w:val="22"/>
              </w:rPr>
              <w:t>采集；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我司负责平台、培训、</w:t>
            </w:r>
            <w:r>
              <w:rPr>
                <w:rFonts w:eastAsia="等线" w:ascii="Arial" w:cs="Arial" w:hAnsi="Arial"/>
                <w:sz w:val="22"/>
              </w:rPr>
              <w:t>给予</w:t>
            </w:r>
            <w:r>
              <w:rPr>
                <w:rFonts w:eastAsia="等线" w:ascii="Arial" w:cs="Arial" w:hAnsi="Arial"/>
                <w:sz w:val="22"/>
              </w:rPr>
              <w:t>设备</w:t>
            </w:r>
            <w:r>
              <w:rPr>
                <w:rFonts w:eastAsia="等线" w:ascii="Arial" w:cs="Arial" w:hAnsi="Arial"/>
                <w:sz w:val="22"/>
              </w:rPr>
              <w:t>及</w:t>
            </w:r>
            <w:r>
              <w:rPr>
                <w:rFonts w:eastAsia="等线" w:ascii="Arial" w:cs="Arial" w:hAnsi="Arial"/>
                <w:sz w:val="22"/>
              </w:rPr>
              <w:t>审核标准；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采集内容为真实/</w:t>
            </w:r>
            <w:r>
              <w:rPr>
                <w:rFonts w:eastAsia="等线" w:ascii="Arial" w:cs="Arial" w:hAnsi="Arial"/>
                <w:sz w:val="22"/>
              </w:rPr>
              <w:t>搭建</w:t>
            </w:r>
            <w:r>
              <w:rPr>
                <w:rFonts w:eastAsia="等线" w:ascii="Arial" w:cs="Arial" w:hAnsi="Arial"/>
                <w:sz w:val="22"/>
              </w:rPr>
              <w:t>场景下的</w:t>
            </w:r>
            <w:r>
              <w:rPr>
                <w:rFonts w:eastAsia="等线" w:ascii="Arial" w:cs="Arial" w:hAnsi="Arial"/>
                <w:sz w:val="22"/>
              </w:rPr>
              <w:t>清晰，完整的手部作业</w:t>
            </w:r>
            <w:r>
              <w:rPr>
                <w:rFonts w:eastAsia="等线" w:ascii="Arial" w:cs="Arial" w:hAnsi="Arial"/>
                <w:sz w:val="22"/>
              </w:rPr>
              <w:t>视频；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所有采集任务需遵守我司质量标准、上传规则及合规要求。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试采阶段主要用于验证场景、人员组织能力、设备使用熟练度及视频质量，不等同于正式批量合作承诺。</w:t>
                  </w:r>
                </w:p>
              </w:tc>
            </w:tr>
          </w:tbl>
          <w:p>
            <w:pPr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一、通用流程一览：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二、阶段Info&amp;材料：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Stage 1: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确认供应商是否具备可采集场景、人员组织能力及基础拍摄条件；供应商完成场景信息反馈，并提交符合要求的无设备采样视频。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755"/>
        <w:gridCol w:w="5025"/>
        <w:gridCol w:w="87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Step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Info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附件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前置沟通确认双方规模需求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供应商应提供：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提供触达场景/</w:t>
            </w:r>
            <w:r>
              <w:rPr>
                <w:rFonts w:eastAsia="等线" w:ascii="Arial" w:cs="Arial" w:hAnsi="Arial"/>
                <w:sz w:val="22"/>
              </w:rPr>
              <w:t>手部</w:t>
            </w:r>
            <w:r>
              <w:rPr>
                <w:rFonts w:eastAsia="等线" w:ascii="Arial" w:cs="Arial" w:hAnsi="Arial"/>
                <w:sz w:val="22"/>
              </w:rPr>
              <w:t>行业</w:t>
            </w:r>
            <w:r>
              <w:rPr>
                <w:rFonts w:eastAsia="等线" w:ascii="Arial" w:cs="Arial" w:hAnsi="Arial"/>
                <w:sz w:val="22"/>
              </w:rPr>
              <w:t>完整动作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人员规模。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供应商视频质量判断标准.pdf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无设备场景采样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此阶段暂无设备，供应商应自行使用设备（手机/相机），进行场景/岗位拍摄。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拍摄应清晰展示：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环境背景（工厂/工位/...，灯光环境，人员聚集情况等）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即将被录制的岗位工人的</w:t>
            </w:r>
            <w:r>
              <w:rPr>
                <w:rFonts w:eastAsia="等线" w:ascii="Arial" w:cs="Arial" w:hAnsi="Arial"/>
                <w:sz w:val="22"/>
              </w:rPr>
              <w:t>手部</w:t>
            </w:r>
            <w:r>
              <w:rPr>
                <w:rFonts w:eastAsia="等线" w:ascii="Arial" w:cs="Arial" w:hAnsi="Arial"/>
                <w:sz w:val="22"/>
              </w:rPr>
              <w:t>完整动作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操作物体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Stage 2: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确认供应商能正确使用设备，并能按我司标准完成单岗位/单场景样片录制；样片上传完成，并经我司审核通过。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755"/>
        <w:gridCol w:w="5025"/>
        <w:gridCol w:w="87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Step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Info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附件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设备租赁合同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供应需求双方推进一份设备租赁协议，我司</w:t>
            </w:r>
            <w:r>
              <w:rPr>
                <w:rFonts w:eastAsia="等线" w:ascii="Arial" w:cs="Arial" w:hAnsi="Arial"/>
                <w:sz w:val="22"/>
              </w:rPr>
              <w:t>提供</w:t>
            </w:r>
            <w:r>
              <w:rPr>
                <w:rFonts w:eastAsia="等线" w:ascii="Arial" w:cs="Arial" w:hAnsi="Arial"/>
                <w:sz w:val="22"/>
              </w:rPr>
              <w:t>视频采集设备，此合同无实际现金金额发生，仅作为设备管理记录，供应商应爱护设备，不丢失，不恶意损坏。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采集需求与设备使用培训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待供应商收到设备，应先自行根据介绍文档了解使用流程，</w:t>
            </w:r>
            <w:r>
              <w:rPr>
                <w:rFonts w:eastAsia="等线" w:ascii="Arial" w:cs="Arial" w:hAnsi="Arial"/>
                <w:sz w:val="22"/>
              </w:rPr>
              <w:t>当中可发起</w:t>
            </w:r>
            <w:r>
              <w:rPr>
                <w:rFonts w:eastAsia="等线" w:ascii="Arial" w:cs="Arial" w:hAnsi="Arial"/>
                <w:sz w:val="22"/>
              </w:rPr>
              <w:t>疑问</w:t>
            </w:r>
            <w:r>
              <w:rPr>
                <w:rFonts w:eastAsia="等线" w:ascii="Arial" w:cs="Arial" w:hAnsi="Arial"/>
                <w:sz w:val="22"/>
              </w:rPr>
              <w:t>向我司寻求解答。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操作员执行手册</w:t>
              </w:r>
            </w:hyperlink>
          </w:p>
        </w:tc>
      </w:tr>
      <w:tr>
        <w:tc>
          <w:tcPr>
            <w:tcW w:w="6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7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单台设备采样</w:t>
            </w:r>
          </w:p>
        </w:tc>
        <w:tc>
          <w:tcPr>
            <w:tcW w:w="5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设备培训后，针对场景下预备开始批量采集的岗位/人，进行样片录制</w:t>
            </w:r>
            <w:r>
              <w:rPr>
                <w:rFonts w:eastAsia="等线" w:ascii="Arial" w:cs="Arial" w:hAnsi="Arial"/>
                <w:sz w:val="22"/>
              </w:rPr>
              <w:t>（需要佩戴品牌手环）</w:t>
            </w:r>
            <w:r>
              <w:rPr>
                <w:rFonts w:eastAsia="等线" w:ascii="Arial" w:cs="Arial" w:hAnsi="Arial"/>
                <w:sz w:val="22"/>
              </w:rPr>
              <w:t>；此过程旨在确认动作</w:t>
            </w:r>
            <w:r>
              <w:rPr>
                <w:rFonts w:eastAsia="等线" w:ascii="Arial" w:cs="Arial" w:hAnsi="Arial"/>
                <w:sz w:val="22"/>
              </w:rPr>
              <w:t>符合设备采集标准</w:t>
            </w:r>
            <w:r>
              <w:rPr>
                <w:rFonts w:eastAsia="等线" w:ascii="Arial" w:cs="Arial" w:hAnsi="Arial"/>
                <w:sz w:val="22"/>
              </w:rPr>
              <w:t>，设备使用流程熟悉。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双目录像设备使用教程-类gopro外观版本</w:t>
              </w:r>
            </w:hyperlink>
          </w:p>
        </w:tc>
      </w:tr>
      <w:tr>
        <w:tc>
          <w:tcPr>
            <w:tcW w:w="6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头戴式GoPro使用教程</w:t>
              </w:r>
            </w:hyperlink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Sample Tick（样片审核）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供应商将样片上传至我司创建的多维表格，并规范分类标签。我司将安排工程师进行T+1审核。此审核通过后开始批量试采集。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模版-供应商DEMO视频Tick管理系统</w:t>
              </w:r>
            </w:hyperlink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Stage </w:t>
      </w:r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: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双方签署正式商务合同，并按周/双周节奏进行任务交付、审核反馈与结算。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755"/>
        <w:gridCol w:w="5025"/>
        <w:gridCol w:w="87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Step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Info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附件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商务合同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达成采集合作</w:t>
            </w: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单人单设备多场景（定制类）-补充Q&amp;A</w:t>
              </w:r>
            </w:hyperlink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正式批量采集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确定当下阶段双方供需后：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供应商开始正式批量采集</w:t>
            </w:r>
            <w:r>
              <w:rPr>
                <w:rFonts w:eastAsia="等线" w:ascii="Arial" w:cs="Arial" w:hAnsi="Arial"/>
                <w:sz w:val="22"/>
              </w:rPr>
              <w:t>（需要佩戴品牌手环）</w:t>
            </w:r>
            <w:r>
              <w:rPr>
                <w:rFonts w:eastAsia="等线" w:ascii="Arial" w:cs="Arial" w:hAnsi="Arial"/>
                <w:sz w:val="22"/>
              </w:rPr>
              <w:t>+上传，</w:t>
            </w:r>
            <w:r>
              <w:rPr>
                <w:rFonts w:eastAsia="等线" w:ascii="Arial" w:cs="Arial" w:hAnsi="Arial"/>
                <w:sz w:val="22"/>
              </w:rPr>
              <w:t>与合同拟定标准进行</w:t>
            </w:r>
            <w:r>
              <w:rPr>
                <w:rFonts w:eastAsia="等线" w:ascii="Arial" w:cs="Arial" w:hAnsi="Arial"/>
                <w:sz w:val="22"/>
              </w:rPr>
              <w:t>批量交付；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供应商视频质量判断标准.pdf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视频上传平台培训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待上一阶段的多维表格审核通过后，我司将根据通过的岗位数量安排合适数量的设备。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此阶段将进行批量试采集视频上传至公司专有平台</w:t>
            </w:r>
            <w:r>
              <w:rPr>
                <w:rFonts w:eastAsia="等线" w:ascii="Arial" w:cs="Arial" w:hAnsi="Arial"/>
                <w:sz w:val="22"/>
              </w:rPr>
              <w:t>（平台需提前申请账户）</w:t>
            </w:r>
            <w:r>
              <w:rPr>
                <w:rFonts w:eastAsia="等线" w:ascii="Arial" w:cs="Arial" w:hAnsi="Arial"/>
                <w:sz w:val="22"/>
              </w:rPr>
              <w:t>的流程。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批量采集上传渠道Info</w:t>
              </w:r>
            </w:hyperlink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每周/ 每双周更新任务清单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供应商与我司应以每周/每双周进行任务清单的更新，避免任务录制停摆/冗杂导致的废弃。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供应商视频质量基本标准与上传规则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453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SOP 适用于我司与外部供应商开展真实生活/工作场景人手操作动作视频采集合作的通用流程说明。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过程中，我司将根据项目需要向供应商提供采集平台、操作培训、质量标准文档及必要的采集设备；供应商负责组织符合要求的采集场景、人员及现场执行工作，并按照我司任务清单、采集标准及上传规则，批量交付真实、清晰、完整、合规的人手操作动作视频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合作将按照“场景确认—样片审核—小规模试采—正式批量采集”的路径逐步推进。试采阶段主要用于验证供应商的场景适配度、人员组织能力、设备使用能力、上传流程熟悉度及视频质量稳定性。正式商务合同签署后，双方将以周/双周为周期进行任务更新、视频交付、质量审核、问题反馈及结算确认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最终有效交付量以我司审核通过的数据为准。未按采集标准执行、上传信息错误、视频质量不符合要求、任务未经确认或存在合规风险的数据，原则上不计入有效交付。</w:t>
            </w:r>
          </w:p>
        </w:tc>
      </w:tr>
    </w:tbl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6444">
    <w:lvl>
      <w:numFmt w:val="bullet"/>
      <w:suff w:val="tab"/>
      <w:lvlText w:val="•"/>
      <w:rPr>
        <w:color w:val="3370ff"/>
      </w:rPr>
    </w:lvl>
  </w:abstractNum>
  <w:abstractNum w:abstractNumId="1116445">
    <w:lvl>
      <w:numFmt w:val="bullet"/>
      <w:suff w:val="tab"/>
      <w:lvlText w:val="•"/>
      <w:rPr>
        <w:color w:val="3370ff"/>
      </w:rPr>
    </w:lvl>
  </w:abstractNum>
  <w:abstractNum w:abstractNumId="1116446">
    <w:lvl>
      <w:numFmt w:val="bullet"/>
      <w:suff w:val="tab"/>
      <w:lvlText w:val="•"/>
      <w:rPr>
        <w:color w:val="3370ff"/>
      </w:rPr>
    </w:lvl>
  </w:abstractNum>
  <w:abstractNum w:abstractNumId="1116447">
    <w:lvl>
      <w:numFmt w:val="bullet"/>
      <w:suff w:val="tab"/>
      <w:lvlText w:val="•"/>
      <w:rPr>
        <w:color w:val="3370ff"/>
      </w:rPr>
    </w:lvl>
  </w:abstractNum>
  <w:abstractNum w:abstractNumId="1116448">
    <w:lvl>
      <w:numFmt w:val="bullet"/>
      <w:suff w:val="tab"/>
      <w:lvlText w:val="•"/>
      <w:rPr>
        <w:color w:val="3370ff"/>
      </w:rPr>
    </w:lvl>
  </w:abstractNum>
  <w:abstractNum w:abstractNumId="1116449">
    <w:lvl>
      <w:numFmt w:val="bullet"/>
      <w:suff w:val="tab"/>
      <w:lvlText w:val="￮"/>
      <w:rPr>
        <w:color w:val="3370ff"/>
      </w:rPr>
    </w:lvl>
  </w:abstractNum>
  <w:abstractNum w:abstractNumId="1116450">
    <w:lvl>
      <w:numFmt w:val="bullet"/>
      <w:suff w:val="tab"/>
      <w:lvlText w:val="￮"/>
      <w:rPr>
        <w:color w:val="3370ff"/>
      </w:rPr>
    </w:lvl>
  </w:abstractNum>
  <w:abstractNum w:abstractNumId="1116451">
    <w:lvl>
      <w:numFmt w:val="bullet"/>
      <w:suff w:val="tab"/>
      <w:lvlText w:val="•"/>
      <w:rPr>
        <w:color w:val="3370ff"/>
      </w:rPr>
    </w:lvl>
  </w:abstractNum>
  <w:abstractNum w:abstractNumId="1116452">
    <w:lvl>
      <w:numFmt w:val="bullet"/>
      <w:suff w:val="tab"/>
      <w:lvlText w:val="•"/>
      <w:rPr>
        <w:color w:val="3370ff"/>
      </w:rPr>
    </w:lvl>
  </w:abstractNum>
  <w:abstractNum w:abstractNumId="1116453">
    <w:lvl>
      <w:numFmt w:val="bullet"/>
      <w:suff w:val="tab"/>
      <w:lvlText w:val="￮"/>
      <w:rPr>
        <w:color w:val="3370ff"/>
      </w:rPr>
    </w:lvl>
  </w:abstractNum>
  <w:abstractNum w:abstractNumId="1116454">
    <w:lvl>
      <w:numFmt w:val="bullet"/>
      <w:suff w:val="tab"/>
      <w:lvlText w:val="￮"/>
      <w:rPr>
        <w:color w:val="3370ff"/>
      </w:rPr>
    </w:lvl>
  </w:abstractNum>
  <w:abstractNum w:abstractNumId="1116455">
    <w:lvl>
      <w:numFmt w:val="bullet"/>
      <w:suff w:val="tab"/>
      <w:lvlText w:val="￮"/>
      <w:rPr>
        <w:color w:val="3370ff"/>
      </w:rPr>
    </w:lvl>
  </w:abstractNum>
  <w:abstractNum w:abstractNumId="1116456">
    <w:lvl>
      <w:numFmt w:val="bullet"/>
      <w:suff w:val="tab"/>
      <w:lvlText w:val="•"/>
      <w:rPr>
        <w:color w:val="3370ff"/>
      </w:rPr>
    </w:lvl>
  </w:abstractNum>
  <w:abstractNum w:abstractNumId="1116457">
    <w:lvl>
      <w:numFmt w:val="bullet"/>
      <w:suff w:val="tab"/>
      <w:lvlText w:val="•"/>
      <w:rPr>
        <w:color w:val="3370ff"/>
      </w:rPr>
    </w:lvl>
  </w:abstractNum>
  <w:abstractNum w:abstractNumId="1116458">
    <w:lvl>
      <w:numFmt w:val="bullet"/>
      <w:suff w:val="tab"/>
      <w:lvlText w:val="•"/>
      <w:rPr>
        <w:color w:val="3370ff"/>
      </w:rPr>
    </w:lvl>
  </w:abstractNum>
  <w:abstractNum w:abstractNumId="1116459">
    <w:lvl>
      <w:numFmt w:val="bullet"/>
      <w:suff w:val="tab"/>
      <w:lvlText w:val="•"/>
      <w:rPr>
        <w:color w:val="3370ff"/>
      </w:rPr>
    </w:lvl>
  </w:abstractNum>
  <w:num w:numId="1">
    <w:abstractNumId w:val="1116444"/>
  </w:num>
  <w:num w:numId="2">
    <w:abstractNumId w:val="1116445"/>
  </w:num>
  <w:num w:numId="3">
    <w:abstractNumId w:val="1116446"/>
  </w:num>
  <w:num w:numId="4">
    <w:abstractNumId w:val="1116447"/>
  </w:num>
  <w:num w:numId="5">
    <w:abstractNumId w:val="1116448"/>
  </w:num>
  <w:num w:numId="6">
    <w:abstractNumId w:val="1116449"/>
  </w:num>
  <w:num w:numId="7">
    <w:abstractNumId w:val="1116450"/>
  </w:num>
  <w:num w:numId="8">
    <w:abstractNumId w:val="1116451"/>
  </w:num>
  <w:num w:numId="9">
    <w:abstractNumId w:val="1116452"/>
  </w:num>
  <w:num w:numId="10">
    <w:abstractNumId w:val="1116453"/>
  </w:num>
  <w:num w:numId="11">
    <w:abstractNumId w:val="1116454"/>
  </w:num>
  <w:num w:numId="12">
    <w:abstractNumId w:val="1116455"/>
  </w:num>
  <w:num w:numId="13">
    <w:abstractNumId w:val="1116456"/>
  </w:num>
  <w:num w:numId="14">
    <w:abstractNumId w:val="1116457"/>
  </w:num>
  <w:num w:numId="15">
    <w:abstractNumId w:val="1116458"/>
  </w:num>
  <w:num w:numId="16">
    <w:abstractNumId w:val="11164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lqcik53nilk.feishu.cn/base/OEsfbVqN6amPiTsDUK9crm1KnJb?from=from_copylink" TargetMode="External" Type="http://schemas.openxmlformats.org/officeDocument/2006/relationships/hyperlink"/><Relationship Id="rId11" Target="https://lqcik53nilk.feishu.cn/wiki/PSAxwkZ9tiVgfxkLUIkczdNzneh?from=from_copylink" TargetMode="External" Type="http://schemas.openxmlformats.org/officeDocument/2006/relationships/hyperlink"/><Relationship Id="rId12" Target="https://lqcik53nilk.feishu.cn/wiki/HigiwhvDliMKVCkWWV0cxN0BnYz?from=from_copylink" TargetMode="External" Type="http://schemas.openxmlformats.org/officeDocument/2006/relationships/hyperlink"/><Relationship Id="rId13" Target="https://lqcik53nilk.feishu.cn/wiki/Ty1Hw6KGliI47ykrg2acIELynz5?from=from_copylink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q09lu07jw34.feishu.cn/wiki/Z8GcwUna6iygT9kCBibcIaWfnje?from=from_copylink" TargetMode="External" Type="http://schemas.openxmlformats.org/officeDocument/2006/relationships/hyperlink"/><Relationship Id="rId8" Target="https://lqcik53nilk.feishu.cn/wiki/G1h3wD057iwmscktRhzcV6AZnqV?from=from_copylink" TargetMode="External" Type="http://schemas.openxmlformats.org/officeDocument/2006/relationships/hyperlink"/><Relationship Id="rId9" Target="https://lqcik53nilk.feishu.cn/wiki/S5opw3rhVimMEOkDJGUcBkEonbh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2026-07-24T09:30:47Z</dcterms:created>
  <dc:creator>Apache POI</dc:creator>
</cp:coreProperties>
</file>