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0F172A"/>
            <w:tcMar>
              <w:top w:w="260" w:type="dxa"/>
              <w:bottom w:w="260" w:type="dxa"/>
              <w:left w:w="260" w:type="dxa"/>
              <w:right w:w="260" w:type="dxa"/>
            </w:tcMar>
            <w:tcBorders>
              <w:top w:val="none"/>
              <w:left w:val="none"/>
              <w:bottom w:val="single" w:sz="16" w:space="0" w:color="0284C7"/>
              <w:right w:val="none"/>
              <w:insideH w:val="none"/>
              <w:insideV w:val="none"/>
            </w:tcBorders>
          </w:tcPr>
          <w:p>
            <w:pPr>
              <w:bidi w:val="1"/>
              <w:jc w:val="center"/>
            </w:pPr>
            <w:r>
              <w:rPr>
                <w:b/>
                <w:color w:val="FFFFFF"/>
                <w:sz w:val="40"/>
                <w:rtl w:val="1"/>
                <w:rFonts w:ascii="Arial" w:hAnsi="Arial" w:cs="Arial"/>
              </w:rPr>
              <w:t>وثيقة المواصفات الفنية ونطاق العمل</w:t>
            </w:r>
          </w:p>
          <w:p>
            <w:pPr>
              <w:bidi w:val="1"/>
              <w:jc w:val="center"/>
            </w:pPr>
            <w:r>
              <w:rPr>
                <w:b w:val="0"/>
                <w:color w:val="94A3B8"/>
                <w:sz w:val="24"/>
                <w:rtl w:val="1"/>
                <w:rFonts w:ascii="Arial" w:hAnsi="Arial" w:cs="Arial"/>
              </w:rPr>
              <w:t>منصة سحابية لإدارة الموارد البشرية والعمليات التشغيلية والمالية (SaaS)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24" w:space="0" w:color="0284C7"/>
              <w:insideH w:val="none"/>
              <w:insideV w:val="none"/>
            </w:tcBorders>
          </w:tcPr>
          <w:p>
            <w:pPr>
              <w:bidi w:val="1"/>
              <w:spacing w:after="120" w:before="40"/>
              <w:jc w:val="right"/>
            </w:pPr>
            <w:r>
              <w:rPr>
                <w:b/>
                <w:color w:val="0F172A"/>
                <w:sz w:val="26"/>
                <w:rtl w:val="1"/>
                <w:rFonts w:ascii="Arial" w:hAnsi="Arial" w:cs="Arial"/>
              </w:rPr>
              <w:t>1. إدارة الموظفين والهيكل التنظيمي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ملفات موظفين رقمية متكاملة لحفظ البيانات الشخصية والوظيفية، وتفاصيل عقود العمل، ومتابعة فترات التجربة، مع نظام تنبيهات آلي لمواعيد انتهاء الوثائق الرسمية.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بناء وتخطيط الهيكل التنظيمي للمنشأة، وإدارة الفروع الجغرافية والأقسام وتحديد المسميات الوظيفية وسلاسل التبعية للمديرين المباشرين.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محرك صلاحيات متقدم يتيح تخصيص أدوار وصول دقيقة لمديري الفروع والأقسام ومسؤولي الموارد البشرية مع حماية الخصوصية والبيانات الحساسة.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24" w:space="0" w:color="0284C7"/>
              <w:insideH w:val="none"/>
              <w:insideV w:val="none"/>
            </w:tcBorders>
          </w:tcPr>
          <w:p>
            <w:pPr>
              <w:bidi w:val="1"/>
              <w:spacing w:after="120" w:before="40"/>
              <w:jc w:val="right"/>
            </w:pPr>
            <w:r>
              <w:rPr>
                <w:b/>
                <w:color w:val="0F172A"/>
                <w:sz w:val="26"/>
                <w:rtl w:val="1"/>
                <w:rFonts w:ascii="Arial" w:hAnsi="Arial" w:cs="Arial"/>
              </w:rPr>
              <w:t>2. نظام الحضور والانصراف الذكي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تسجيل الحضور والانصراف المباشر عبر الهواتف الذكية مع التحقق الدقيق من النطاق الجغرافي المسموح لمقر العمل ومنع التسجيل خارج المقرات المحددة.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حماية أمنية متقدمة عبر ربط حساب كل موظف بهاتفه الخاص، مع كشف ومنع برامج تزييف المواقع والتطبيقات غير المصرح بها لضمان النزاهة ومنع التلاعب.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دعم إسناد مواقع وفروع متعددة للموظفين الميدانيين، مع مرونة جدولة الورديات المختلفة وحساب ساعات العمل الإضافي والتأخيرات بصورة تلقائية وفورية.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24" w:space="0" w:color="0284C7"/>
              <w:insideH w:val="none"/>
              <w:insideV w:val="none"/>
            </w:tcBorders>
          </w:tcPr>
          <w:p>
            <w:pPr>
              <w:bidi w:val="1"/>
              <w:spacing w:after="120" w:before="40"/>
              <w:jc w:val="right"/>
            </w:pPr>
            <w:r>
              <w:rPr>
                <w:b/>
                <w:color w:val="0F172A"/>
                <w:sz w:val="26"/>
                <w:rtl w:val="1"/>
                <w:rFonts w:ascii="Arial" w:hAnsi="Arial" w:cs="Arial"/>
              </w:rPr>
              <w:t>3. إدارة الطلبات وسير الموافقات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نافذة طلبات شاملة تغطي جميع أنواع الإجازات الرسمية، الأذونات الساعية، السلف المالية، العهد النقدية، المأموريات الميدانية، وتصحيح الحضور.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مسار موافقات إداري متعدد المستويات وقابل للتهيئة والتخصيص يبدأ من المدير المباشر ويمر عبر الموارد البشرية والاعتماد المالي.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إمكانية اتخاذ قرارات سريعة للمديرين بالقبول أو الرفض أو إبداء الملاحظات، مع وصول إشعارات فورية وتنبيهات مباشرة على هواتف الموظفين.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24" w:space="0" w:color="0284C7"/>
              <w:insideH w:val="none"/>
              <w:insideV w:val="none"/>
            </w:tcBorders>
          </w:tcPr>
          <w:p>
            <w:pPr>
              <w:bidi w:val="1"/>
              <w:spacing w:after="120" w:before="40"/>
              <w:jc w:val="right"/>
            </w:pPr>
            <w:r>
              <w:rPr>
                <w:b/>
                <w:color w:val="0F172A"/>
                <w:sz w:val="26"/>
                <w:rtl w:val="1"/>
                <w:rFonts w:ascii="Arial" w:hAnsi="Arial" w:cs="Arial"/>
              </w:rPr>
              <w:t>4. مسير الرواتب والعمليات المالية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احتساب آلي متكامل لمسير الرواتب شهرياً يشمل الرواتب الأساسية، البدلات المتنوعة، خصومات التأخير والغياب، وأقساط السلف المستحقة.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توليد وتصدير ملفات مسير الرواتب المعتمدة المتوافقة تماماً مع معايير ومتطلبات نظام حماية الأجور والأنظمة المصرفية في المملكة العربية السعودية.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إتاحة استعراض قسائم الرواتب الشهرية المشفرة لكل موظف عبر حسابه، مع موديول خاص لرفع واعتماد مطالبات فواتير المصروفات التشغيلية.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24" w:space="0" w:color="0284C7"/>
              <w:insideH w:val="none"/>
              <w:insideV w:val="none"/>
            </w:tcBorders>
          </w:tcPr>
          <w:p>
            <w:pPr>
              <w:bidi w:val="1"/>
              <w:spacing w:after="120" w:before="40"/>
              <w:jc w:val="right"/>
            </w:pPr>
            <w:r>
              <w:rPr>
                <w:b/>
                <w:color w:val="0F172A"/>
                <w:sz w:val="26"/>
                <w:rtl w:val="1"/>
                <w:rFonts w:ascii="Arial" w:hAnsi="Arial" w:cs="Arial"/>
              </w:rPr>
              <w:t>5. التقارير الدورية والتحليلات الإدارية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لوحة مراقبة حية تعرض لحظياً أعداد ونسب المتواجدين في مقر العمل، المتأخرين، الغائبين، ومن هم في إجازات أو مهمات خارجية.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تقارير تفصيلية دورية حول استهلاك أرصدة الإجازات، تكلفة ساعات العمل الإضافي، ومؤشرات ذكية لترتيب الموظفين الأكثر انضباطاً والتزاماً.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إمكانية تصدير كافة الجداول والتقارير المالية والإحصائية بنقرة واحدة إلى صيغ الجداول والملفات الجاهزة للطباعة والعرض.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24" w:space="0" w:color="0284C7"/>
              <w:insideH w:val="none"/>
              <w:insideV w:val="none"/>
            </w:tcBorders>
          </w:tcPr>
          <w:p>
            <w:pPr>
              <w:bidi w:val="1"/>
              <w:spacing w:after="120" w:before="40"/>
              <w:jc w:val="right"/>
            </w:pPr>
            <w:r>
              <w:rPr>
                <w:b/>
                <w:color w:val="0F172A"/>
                <w:sz w:val="26"/>
                <w:rtl w:val="1"/>
                <w:rFonts w:ascii="Arial" w:hAnsi="Arial" w:cs="Arial"/>
              </w:rPr>
              <w:t>6. تطبيق الهواتف الذكية للموظفين والمديرين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تطبيق موحد وعالي السرعة يعمل على كافة أنظمة الهواتف الذكية الحديثة بواجهات عربية متكاملة تمنح تجربة استخدام سهلة وعصرية.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بوابة للموظف لتسجيل الحضور والانصراف، تقديم الطلبات ومتابعة مراحل اعتمادها، استعراض قسيمة الراتب، وتلقي التنبيهات المباشرة.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واجهة مخصصة للمديرين تتيح متابعة انضباط فريق العمل لحظة بلحظة، واعتماد أو رفض الطلبات الواردة بضغطة زر واحدة.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24" w:space="0" w:color="0284C7"/>
              <w:insideH w:val="none"/>
              <w:insideV w:val="none"/>
            </w:tcBorders>
          </w:tcPr>
          <w:p>
            <w:pPr>
              <w:bidi w:val="1"/>
              <w:spacing w:after="120" w:before="40"/>
              <w:jc w:val="right"/>
            </w:pPr>
            <w:r>
              <w:rPr>
                <w:b/>
                <w:color w:val="0F172A"/>
                <w:sz w:val="26"/>
                <w:rtl w:val="1"/>
                <w:rFonts w:ascii="Arial" w:hAnsi="Arial" w:cs="Arial"/>
              </w:rPr>
              <w:t>7. لوحة التحكم السحابية وإدارة المنصة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بوابة ويب مركزية لإدارات الموارد البشرية لإدارة شؤون الموظفين، ضبط الفروع والورديات، وتدقيق العمليات المالية والإدارية.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لوحة تحكم رئيسية لإدارة المنصة السحابية والشركات المشتركة وتفعيل الباقات وإدارة التراخيص والاشتراكات.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سجل تدقيق أمني شامل ومحمي يوثق كل عملية اعتماد أو تعديل تجري داخل المنصة مع تسجيل التوقيت الدقيق وهوية المستخدم.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24" w:space="0" w:color="0284C7"/>
              <w:insideH w:val="none"/>
              <w:insideV w:val="none"/>
            </w:tcBorders>
          </w:tcPr>
          <w:p>
            <w:pPr>
              <w:bidi w:val="1"/>
              <w:spacing w:after="120" w:before="40"/>
              <w:jc w:val="right"/>
            </w:pPr>
            <w:r>
              <w:rPr>
                <w:b/>
                <w:color w:val="0F172A"/>
                <w:sz w:val="26"/>
                <w:rtl w:val="1"/>
                <w:rFonts w:ascii="Arial" w:hAnsi="Arial" w:cs="Arial"/>
              </w:rPr>
              <w:t>8. البنية السحابية والأمان واستقلالية البيانات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خوادم سحابية مخصصة وفائقة السرعة توفر أعلى درجات الاستقرار ومعالجة العمليات الضخمة والمتزامنة دون أي تأخير.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قواعد بيانات سحابية متقدمة تعتمد العزل التام والآمن لبيانات كل شركة مشتركة لضمان السرية التامة واستقلالية الحسابات.</w:t>
            </w:r>
          </w:p>
          <w:p>
            <w:pPr>
              <w:bidi w:val="1"/>
              <w:spacing w:after="80" w:before="0" w:line="288" w:lineRule="auto"/>
              <w:jc w:val="right"/>
            </w:pPr>
            <w:r>
              <w:rPr>
                <w:b/>
                <w:color w:val="0284C7"/>
                <w:sz w:val="21"/>
                <w:rtl w:val="1"/>
                <w:rFonts w:ascii="Arial" w:hAnsi="Arial" w:cs="Arial"/>
              </w:rPr>
              <w:t xml:space="preserve">•  </w:t>
            </w:r>
            <w:r>
              <w:rPr>
                <w:b w:val="0"/>
                <w:color w:val="334155"/>
                <w:sz w:val="21"/>
                <w:rtl w:val="1"/>
                <w:rFonts w:ascii="Arial" w:hAnsi="Arial" w:cs="Arial"/>
              </w:rPr>
              <w:t>معايير تشفير وحماية متقدمة للبيانات أثناء النقل والتخزين، مع استضافة سحابية مطابقة للأنظمة والمعايير المحلية لحماية البيانات.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