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F3F7F"/>
          <w:sz w:val="72"/>
        </w:rPr>
        <w:t>NOVU Builder</w:t>
      </w:r>
    </w:p>
    <w:p>
      <w:pPr>
        <w:jc w:val="center"/>
      </w:pPr>
      <w:r>
        <w:rPr>
          <w:rFonts w:ascii="Calibri" w:hAnsi="Calibri"/>
          <w:color w:val="1A1A2E"/>
          <w:sz w:val="32"/>
        </w:rPr>
        <w:t>Prezentační a obchodní dokument</w:t>
      </w:r>
    </w:p>
    <w:p/>
    <w:p>
      <w:pPr>
        <w:spacing w:before="40" w:after="40"/>
        <w:pBdr>
          <w:bottom w:val="single" w:sz="6" w:space="1" w:color="0F3F7F"/>
        </w:pBdr>
      </w:pPr>
    </w:p>
    <w:p/>
    <w:p>
      <w:pPr>
        <w:jc w:val="center"/>
      </w:pPr>
      <w:r>
        <w:rPr>
          <w:b/>
          <w:color w:val="1A1A2E"/>
          <w:sz w:val="22"/>
        </w:rPr>
        <w:t xml:space="preserve">Verze systému:  </w:t>
      </w:r>
      <w:r>
        <w:rPr>
          <w:color w:val="555555"/>
          <w:sz w:val="22"/>
        </w:rPr>
        <w:t>v0.7.001</w:t>
      </w:r>
    </w:p>
    <w:p>
      <w:pPr>
        <w:jc w:val="center"/>
      </w:pPr>
      <w:r>
        <w:rPr>
          <w:b/>
          <w:color w:val="1A1A2E"/>
          <w:sz w:val="22"/>
        </w:rPr>
        <w:t xml:space="preserve">Datum dokumentu:  </w:t>
      </w:r>
      <w:r>
        <w:rPr>
          <w:color w:val="555555"/>
          <w:sz w:val="22"/>
        </w:rPr>
        <w:t>2. dubna 2026</w:t>
      </w:r>
    </w:p>
    <w:p>
      <w:pPr>
        <w:jc w:val="center"/>
      </w:pPr>
      <w:r>
        <w:rPr>
          <w:b/>
          <w:color w:val="1A1A2E"/>
          <w:sz w:val="22"/>
        </w:rPr>
        <w:t xml:space="preserve">Určeno pro:  </w:t>
      </w:r>
      <w:r>
        <w:rPr>
          <w:color w:val="555555"/>
          <w:sz w:val="22"/>
        </w:rPr>
        <w:t>Investory · Obchodní partnery · Pilotní zákazníky</w:t>
      </w:r>
    </w:p>
    <w:p>
      <w:r>
        <w:br w:type="page"/>
      </w:r>
    </w:p>
    <w:p>
      <w:pPr>
        <w:pStyle w:val="Heading1"/>
      </w:pPr>
      <w:r>
        <w:t>NOVU Builder</w:t>
      </w:r>
    </w:p>
    <w:p>
      <w:pPr>
        <w:pStyle w:val="Heading2"/>
      </w:pPr>
      <w:r>
        <w:t>Prezentační a obchodní dokument — verze 1.0</w:t>
      </w:r>
    </w:p>
    <w:p>
      <w:r>
        <w:rPr>
          <w:b/>
          <w:color w:val="1A1A2E"/>
          <w:sz w:val="21"/>
        </w:rPr>
        <w:t>Verze systému:</w:t>
      </w:r>
      <w:r>
        <w:rPr>
          <w:sz w:val="21"/>
        </w:rPr>
        <w:t xml:space="preserve"> v0.7.001  </w:t>
      </w:r>
    </w:p>
    <w:p>
      <w:r>
        <w:rPr>
          <w:b/>
          <w:color w:val="1A1A2E"/>
          <w:sz w:val="21"/>
        </w:rPr>
        <w:t>Datum dokumentu:</w:t>
      </w:r>
      <w:r>
        <w:rPr>
          <w:sz w:val="21"/>
        </w:rPr>
        <w:t xml:space="preserve"> 2. dubna 2026  </w:t>
      </w:r>
    </w:p>
    <w:p>
      <w:r>
        <w:rPr>
          <w:b/>
          <w:color w:val="1A1A2E"/>
          <w:sz w:val="21"/>
        </w:rPr>
        <w:t>Určeno pro:</w:t>
      </w:r>
      <w:r>
        <w:rPr>
          <w:sz w:val="21"/>
        </w:rPr>
        <w:t xml:space="preserve"> potenciální investory, obchodní partnery, pilotní zákazníky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1. Úvod a positioning projektu</w:t>
      </w:r>
    </w:p>
    <w:p>
      <w:pPr>
        <w:pStyle w:val="Heading3"/>
      </w:pPr>
      <w:r>
        <w:t>Co je NOVU Builder</w:t>
      </w:r>
    </w:p>
    <w:p>
      <w:r>
        <w:rPr>
          <w:sz w:val="21"/>
        </w:rPr>
        <w:t>NOVU Builder je software pro automatizované zpracování stavebních nabídek a cenových odhadů. Jde o backend-first systém s vícevrstvou architekturou, který propojuje sběr dat v terénu, AI analýzu fotografií a řízenou tvorbu cenových podkladů.</w:t>
      </w:r>
    </w:p>
    <w:p>
      <w:r>
        <w:rPr>
          <w:sz w:val="21"/>
        </w:rPr>
        <w:t>Základní pracovní tok: technik pořídí fotodokumentaci stavebního objektu nebo škody, data jsou odeslána do systému, AI pipeline analyzuje snímky vůči katalogu 43 stavebních prací a generuje strukturovaný návrh cenové nabídky. Výstup přebírá pracovník v kanceláři, upraví ho a odešle zákazníkovi.</w:t>
      </w:r>
    </w:p>
    <w:p>
      <w:r>
        <w:rPr>
          <w:sz w:val="21"/>
        </w:rPr>
        <w:t>Systém je navržen jako multi-tenant SaaS — každá firma (tenant) pracuje ve striktně izolovaném datovém prostoru se svými projekty, zakázkami a nastavením.</w:t>
      </w:r>
    </w:p>
    <w:p>
      <w:pPr>
        <w:pStyle w:val="Heading3"/>
      </w:pPr>
      <w:r>
        <w:t>Jaký problém řeší</w:t>
      </w:r>
    </w:p>
    <w:p>
      <w:r>
        <w:rPr>
          <w:sz w:val="21"/>
        </w:rPr>
        <w:t>Zpracování cenových nabídek ve stavebnictví je časově náročné, chybovité a silně závislé na zkušenosti konkrétního odhadce. Standardní postup zahrnuje ruční procházení fotodokumentace, manuální výběr položek z ceníku a ruční kalkulaci. Čas od návštěvy objektu po odeslanou nabídku se typicky pohybuje v řádu hodin až dnů.</w:t>
      </w:r>
    </w:p>
    <w:p>
      <w:r>
        <w:rPr>
          <w:sz w:val="21"/>
        </w:rPr>
        <w:t>NOVU Builder tento proces strukturuje: vstup je standardizovaný (foto + kontext), zpracování je řízené a auditovatelné, výstup je parametrizovaný a editovatelný. Cílem není nahradit odborného pracovníka, ale výrazně zkrátit čas, který stráví rutinní prací.</w:t>
      </w:r>
    </w:p>
    <w:p>
      <w:pPr>
        <w:pStyle w:val="Heading3"/>
      </w:pPr>
      <w:r>
        <w:t>Pro koho je určen</w:t>
      </w:r>
    </w:p>
    <w:p>
      <w:r>
        <w:rPr>
          <w:sz w:val="21"/>
        </w:rPr>
        <w:t>Primárním uživatelem jsou firmy a živnostníci, kteří provádějí opravy, rekonstrukce nebo stavební práce a potřebují opakovaně generovat cenové nabídky na základě terénní obhlídky. Systém je dimenzován pro provoz s desítkami až stovkami tenantů.</w:t>
      </w:r>
    </w:p>
    <w:p>
      <w:r>
        <w:rPr>
          <w:sz w:val="21"/>
        </w:rPr>
        <w:t>Uživatelé se dělí na tři role: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Technici v terénu</w:t>
      </w:r>
      <w:r>
        <w:rPr>
          <w:sz w:val="21"/>
        </w:rPr>
        <w:t xml:space="preserve"> — pracují přes mobilní aplikaci, pořizují dokumentaci a odesílají zakázky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Kancelářský personál</w:t>
      </w:r>
      <w:r>
        <w:rPr>
          <w:sz w:val="21"/>
        </w:rPr>
        <w:t xml:space="preserve"> — pracuje přes desktopovou Qt6 aplikaci, reviduje AI výstupy, upravuje nabídky a odesílá je zákazníkům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Správci systému (superadmin)</w:t>
      </w:r>
      <w:r>
        <w:rPr>
          <w:sz w:val="21"/>
        </w:rPr>
        <w:t xml:space="preserve"> — spravují tenanty, uživatele a provozní konfiguraci</w:t>
      </w:r>
    </w:p>
    <w:p>
      <w:pPr>
        <w:pStyle w:val="Heading3"/>
      </w:pPr>
      <w:r>
        <w:t>Proč je přínosný oproti běžným řešením</w:t>
      </w:r>
    </w:p>
    <w:p>
      <w:r>
        <w:rPr>
          <w:sz w:val="21"/>
        </w:rPr>
        <w:t>Dostupné nástroje pro tvorbu stavebních nabídek jsou zpravidla buď obecné (tabulkové procesory, fakturační software), nebo silně oborově specifické s uzavřenou architekturou. Žádný z nich nativně propojuje terénní sběr fotografií, AI analýzu a katalogem řízenou kalkulaci v jednom řízeném toku.</w:t>
      </w:r>
    </w:p>
    <w:p>
      <w:r>
        <w:rPr>
          <w:sz w:val="21"/>
        </w:rPr>
        <w:t>NOVU Builder přináší specificky:</w:t>
      </w:r>
    </w:p>
    <w:p>
      <w:pPr>
        <w:pStyle w:val="ListBullet"/>
        <w:spacing w:after="60"/>
        <w:ind w:left="340"/>
      </w:pPr>
      <w:r>
        <w:rPr>
          <w:sz w:val="21"/>
        </w:rPr>
        <w:t>Strukturovaný katalog 43 stavebních prací s parametrizovanými vstupy a vazbou na AI extrakci</w:t>
      </w:r>
    </w:p>
    <w:p>
      <w:pPr>
        <w:pStyle w:val="ListBullet"/>
        <w:spacing w:after="60"/>
        <w:ind w:left="340"/>
      </w:pPr>
      <w:r>
        <w:rPr>
          <w:sz w:val="21"/>
        </w:rPr>
        <w:t>Oddělení terénního sběru dat od kancelářského zpracování</w:t>
      </w:r>
    </w:p>
    <w:p>
      <w:pPr>
        <w:pStyle w:val="ListBullet"/>
        <w:spacing w:after="60"/>
        <w:ind w:left="340"/>
      </w:pPr>
      <w:r>
        <w:rPr>
          <w:sz w:val="21"/>
        </w:rPr>
        <w:t>Verzované analytické a cenové profily, které umožňují sledovat, jak se nabídka vyvíjela</w:t>
      </w:r>
    </w:p>
    <w:p>
      <w:pPr>
        <w:pStyle w:val="ListBullet"/>
        <w:spacing w:after="60"/>
        <w:ind w:left="340"/>
      </w:pPr>
      <w:r>
        <w:rPr>
          <w:sz w:val="21"/>
        </w:rPr>
        <w:t>Auditovatelné zpracování — každá změna a každý stav mají zaznamenaný kontext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2. Hlavní provozní flow systému</w:t>
      </w:r>
    </w:p>
    <w:p>
      <w:pPr>
        <w:pStyle w:val="Heading3"/>
      </w:pPr>
      <w:r>
        <w:t>Vstup dat</w:t>
      </w:r>
    </w:p>
    <w:p>
      <w:r>
        <w:rPr>
          <w:sz w:val="21"/>
        </w:rPr>
        <w:t>Technik v terénu spouští zakázku přes mobilní aplikaci: zaznamená základní informace o objektu, pořídí fotodokumentaci a odešle data do systému. Na backend přicházejí fotografie jako strukturovaný upload se stavovým řízením — každý soubor prochází validací formátu, velikosti a bezpečnostní kontrolou před uložením do storage backendu.</w:t>
      </w:r>
    </w:p>
    <w:p>
      <w:r>
        <w:rPr>
          <w:sz w:val="21"/>
        </w:rPr>
        <w:t>Paralelně může zakázku vytvořit kancelářský pracovník přes desktopovou aplikaci — oba způsoby produkují identickou datovou strukturu.</w:t>
      </w:r>
    </w:p>
    <w:p>
      <w:pPr>
        <w:pStyle w:val="Heading3"/>
      </w:pPr>
      <w:r>
        <w:t>Zpracování — AI analýza</w:t>
      </w:r>
    </w:p>
    <w:p>
      <w:r>
        <w:rPr>
          <w:sz w:val="21"/>
        </w:rPr>
        <w:t xml:space="preserve">Po vytvoření zakázky a nahrání fotografií je možné spustit analýzu. Systém zařadí úlohu do Redis-backed fronty s řízenou prioritou a kapacitními limity. Worker process úlohu vyzvedne, zajistí si exkluzivní </w:t>
      </w:r>
      <w:r>
        <w:rPr>
          <w:rFonts w:ascii="Courier New" w:hAnsi="Courier New"/>
          <w:color w:val="C7254E"/>
          <w:sz w:val="19"/>
        </w:rPr>
        <w:t>lease</w:t>
      </w:r>
      <w:r>
        <w:rPr>
          <w:sz w:val="21"/>
        </w:rPr>
        <w:t xml:space="preserve"> (časový zámek s vlastnickým tokenem) a spustí AI pipeline.</w:t>
      </w:r>
    </w:p>
    <w:p>
      <w:r>
        <w:rPr>
          <w:sz w:val="21"/>
        </w:rPr>
        <w:t>Pipeline probíhá ve třech fázích s explicitními datovými kontrakty: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Detection</w:t>
      </w:r>
      <w:r>
        <w:rPr>
          <w:sz w:val="21"/>
        </w:rPr>
        <w:t xml:space="preserve"> — AI provider (Anthropic Claude nebo jiný nakonfigurovaný) identifikuje typ objektu (střecha, fasáda, interiér, základ), stav povrchu (dobrý, vyžaduje pozornost, kritický), výměru a souřadnice oblasti v obrazu. Výsledek je </w:t>
      </w:r>
      <w:r>
        <w:rPr>
          <w:rFonts w:ascii="Courier New" w:hAnsi="Courier New"/>
          <w:color w:val="C7254E"/>
          <w:sz w:val="19"/>
        </w:rPr>
        <w:t>DetectionStageResult</w:t>
      </w:r>
      <w:r>
        <w:rPr>
          <w:sz w:val="21"/>
        </w:rPr>
        <w:t xml:space="preserve"> — immutable datová struktura s confidence score.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Extraction</w:t>
      </w:r>
      <w:r>
        <w:rPr>
          <w:sz w:val="21"/>
        </w:rPr>
        <w:t xml:space="preserve"> — Z detekce se extrahují strukturované veličiny: odhadovaná plocha v m², primární měrná jednotka, doporučený rozsah opravy (čištění / lokální oprava / plná rekonstrukce), seznam materiálů s orientačními cenami a přehled pracovních kroků s odhadem hodin. Výsledek je </w:t>
      </w:r>
      <w:r>
        <w:rPr>
          <w:rFonts w:ascii="Courier New" w:hAnsi="Courier New"/>
          <w:color w:val="C7254E"/>
          <w:sz w:val="19"/>
        </w:rPr>
        <w:t>ExtractionStageResult</w:t>
      </w:r>
      <w:r>
        <w:rPr>
          <w:sz w:val="21"/>
        </w:rPr>
        <w:t>.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Work Catalog Mapping</w:t>
      </w:r>
      <w:r>
        <w:rPr>
          <w:sz w:val="21"/>
        </w:rPr>
        <w:t xml:space="preserve"> — Extrahované veličiny jsou namapovány na konkrétní položku v katalogu prací (jeden ze 43 typů), přiřazen analytický profil a validovány vůči pravidlům pro daný typ práce. Výsledek je </w:t>
      </w:r>
      <w:r>
        <w:rPr>
          <w:rFonts w:ascii="Courier New" w:hAnsi="Courier New"/>
          <w:color w:val="C7254E"/>
          <w:sz w:val="19"/>
        </w:rPr>
        <w:t>WorkCatalogMappingResult</w:t>
      </w:r>
      <w:r>
        <w:rPr>
          <w:sz w:val="21"/>
        </w:rPr>
        <w:t xml:space="preserve"> s primární hodnotou, jednotkou a případnými validačními varováními.</w:t>
      </w:r>
    </w:p>
    <w:p>
      <w:r>
        <w:rPr>
          <w:sz w:val="21"/>
        </w:rPr>
        <w:t xml:space="preserve">Všechny tři výstupy jsou agregovány do </w:t>
      </w:r>
      <w:r>
        <w:rPr>
          <w:rFonts w:ascii="Courier New" w:hAnsi="Courier New"/>
          <w:color w:val="C7254E"/>
          <w:sz w:val="19"/>
        </w:rPr>
        <w:t>PipelineRunResult</w:t>
      </w:r>
      <w:r>
        <w:rPr>
          <w:sz w:val="21"/>
        </w:rPr>
        <w:t>, který putuje do databáze jako vstup pro cenovou kalkulaci.</w:t>
      </w:r>
    </w:p>
    <w:p>
      <w:pPr>
        <w:pStyle w:val="Heading3"/>
      </w:pPr>
      <w:r>
        <w:t>Výstup — cenová nabídka</w:t>
      </w:r>
    </w:p>
    <w:p>
      <w:r>
        <w:rPr>
          <w:sz w:val="21"/>
        </w:rPr>
        <w:t>Na základě výsledků AI pipeline systém vytvoří návrh cenové nabídky s položkami odvozenými z katalogových ceníkových profilů (43 profilů, každý s pravidly pro materiály, práci a úpravami). Kancelářský pracovník návrh přebírá v desktopové aplikaci, upravuje množství a ceny, přidává nebo odebírá položky a odesílá finální nabídku zákazníkovi.</w:t>
      </w:r>
    </w:p>
    <w:p>
      <w:pPr>
        <w:pStyle w:val="Heading3"/>
      </w:pPr>
      <w:r>
        <w:t>Role jednotlivých částí systému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0F3F7F"/>
          </w:tcPr>
          <w:p>
            <w:r>
              <w:rPr>
                <w:b/>
                <w:color w:val="FFFFFF"/>
                <w:sz w:val="20"/>
              </w:rPr>
              <w:t>Komponenta</w:t>
            </w:r>
          </w:p>
        </w:tc>
        <w:tc>
          <w:tcPr>
            <w:tcW w:type="dxa" w:w="4320"/>
            <w:shd w:val="clear" w:color="auto" w:fill="0F3F7F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1A1A2E"/>
                <w:sz w:val="21"/>
              </w:rPr>
              <w:t>FastAPI backend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555555"/>
                <w:sz w:val="21"/>
              </w:rPr>
              <w:t>REST API — auth, správa projektů, zakázek, analýz, exportů; validace vstupů; rate limiting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>
              <w:rPr>
                <w:b/>
                <w:color w:val="1A1A2E"/>
                <w:sz w:val="21"/>
              </w:rPr>
              <w:t>Redis</w:t>
            </w:r>
          </w:p>
        </w:tc>
        <w:tc>
          <w:tcPr>
            <w:tcW w:type="dxa" w:w="4320"/>
            <w:shd w:val="clear" w:color="auto" w:fill="F4F6FA"/>
          </w:tcPr>
          <w:p>
            <w:r>
              <w:rPr>
                <w:color w:val="555555"/>
                <w:sz w:val="21"/>
              </w:rPr>
              <w:t>Fronta analytických úloh, cache katalogů a tenantských nastavení, throttle pro autentizaci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1A1A2E"/>
                <w:sz w:val="21"/>
              </w:rPr>
              <w:t>Worker process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555555"/>
                <w:sz w:val="21"/>
              </w:rPr>
              <w:t>Asynchronní zpracování analýz; izolovaný od API procesu; vlastní DB pool; lease model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>
              <w:rPr>
                <w:b/>
                <w:color w:val="1A1A2E"/>
                <w:sz w:val="21"/>
              </w:rPr>
              <w:t>PostgreSQL</w:t>
            </w:r>
          </w:p>
        </w:tc>
        <w:tc>
          <w:tcPr>
            <w:tcW w:type="dxa" w:w="4320"/>
            <w:shd w:val="clear" w:color="auto" w:fill="F4F6FA"/>
          </w:tcPr>
          <w:p>
            <w:r>
              <w:rPr>
                <w:color w:val="555555"/>
                <w:sz w:val="21"/>
              </w:rPr>
              <w:t>Primární úložiště všech dat; 40 schematicky verzovaných migrací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b/>
                <w:color w:val="1A1A2E"/>
                <w:sz w:val="21"/>
              </w:rPr>
              <w:t>S3-compatible storage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555555"/>
                <w:sz w:val="21"/>
              </w:rPr>
              <w:t>Uložiště fotografií a exportů; přístup pouze přes podepsané URL s TTL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>
              <w:rPr>
                <w:b/>
                <w:color w:val="1A1A2E"/>
                <w:sz w:val="21"/>
              </w:rPr>
              <w:t>Nginx</w:t>
            </w:r>
          </w:p>
        </w:tc>
        <w:tc>
          <w:tcPr>
            <w:tcW w:type="dxa" w:w="4320"/>
            <w:shd w:val="clear" w:color="auto" w:fill="F4F6FA"/>
          </w:tcPr>
          <w:p>
            <w:r>
              <w:rPr>
                <w:color w:val="555555"/>
                <w:sz w:val="21"/>
              </w:rPr>
              <w:t>Reverzní proxy, HTTPS terminace, první linie rate limitingu</w:t>
            </w:r>
          </w:p>
        </w:tc>
      </w:tr>
    </w:tbl>
    <w:p/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3. Produkční logika</w:t>
      </w:r>
    </w:p>
    <w:p>
      <w:pPr>
        <w:pStyle w:val="Heading3"/>
      </w:pPr>
      <w:r>
        <w:t>Systém není demo — je navržen pro řízený provoz</w:t>
      </w:r>
    </w:p>
    <w:p>
      <w:r>
        <w:rPr>
          <w:sz w:val="21"/>
        </w:rPr>
        <w:t>Architektonická rozhodnutí v NOVU Builderu jsou konzistentně zaměřena na produkční provoz, ne na rychlou funkčnost prototypu. To se projevuje na několika úrovních.</w:t>
      </w:r>
    </w:p>
    <w:p>
      <w:r>
        <w:rPr>
          <w:b/>
          <w:color w:val="1A1A2E"/>
          <w:sz w:val="21"/>
        </w:rPr>
        <w:t>Determinismus zpracování.</w:t>
      </w:r>
      <w:r>
        <w:rPr>
          <w:sz w:val="21"/>
        </w:rPr>
        <w:t xml:space="preserve"> Každá analytická úloha má přesně definovaný životní cyklus: </w:t>
      </w:r>
      <w:r>
        <w:rPr>
          <w:rFonts w:ascii="Courier New" w:hAnsi="Courier New"/>
          <w:color w:val="C7254E"/>
          <w:sz w:val="19"/>
        </w:rPr>
        <w:t>queued → running → completed / failed</w:t>
      </w:r>
      <w:r>
        <w:rPr>
          <w:sz w:val="21"/>
        </w:rPr>
        <w:t>. Přechody jsou řízeny atomickými Redis Lua skripty — nikdy nenastane situace, kde by úloha zmizela z fronty bez jasného výsledku. Opakované pokusy (retry) mají deterministický jitter vypočtený z ID úlohy a čísla pokusu — stejná úloha dostane vždy stejné zpoždění, což umožňuje předvídatelné testování a zabraňuje hromadnému opakování při kaskádovém selhání.</w:t>
      </w:r>
    </w:p>
    <w:p>
      <w:r>
        <w:rPr>
          <w:b/>
          <w:color w:val="1A1A2E"/>
          <w:sz w:val="21"/>
        </w:rPr>
        <w:t>Auditovatelnost.</w:t>
      </w:r>
      <w:r>
        <w:rPr>
          <w:sz w:val="21"/>
        </w:rPr>
        <w:t xml:space="preserve"> Audit logy jsou ukládány jako strukturovaný JSONB (migrace 0039), což umožňuje dotazování na konkrétní akce bez parsování textu. Každá změna citlivého stavu (přihlášení, změna hesla, administrátorská akce) generuje záznam s kontextem. Verzování analytických a ceníkových profilů zajišťuje, že je vždy možné dohledat, jaká pravidla platila v okamžiku vzniku konkrétní nabídky.</w:t>
      </w:r>
    </w:p>
    <w:p>
      <w:r>
        <w:rPr>
          <w:b/>
          <w:color w:val="1A1A2E"/>
          <w:sz w:val="21"/>
        </w:rPr>
        <w:t>Kontrolované zpracování.</w:t>
      </w:r>
      <w:r>
        <w:rPr>
          <w:sz w:val="21"/>
        </w:rPr>
        <w:t xml:space="preserve"> Backpressure subsystém (modul </w:t>
      </w:r>
      <w:r>
        <w:rPr>
          <w:rFonts w:ascii="Courier New" w:hAnsi="Courier New"/>
          <w:color w:val="C7254E"/>
          <w:sz w:val="19"/>
        </w:rPr>
        <w:t>app/core/backpressure.py</w:t>
      </w:r>
      <w:r>
        <w:rPr>
          <w:sz w:val="21"/>
        </w:rPr>
        <w:t>) aktivně řídí tok úloh: při přetížení fronty systém odmítne nové úlohy s HTTP 429 dříve, než dojde k přetečení paměti nebo degradaci výkonu. Kritické úlohy (přepočet nabídky) mají prioritní vstup do fronty před standardními úlohami.</w:t>
      </w:r>
    </w:p>
    <w:p>
      <w:r>
        <w:rPr>
          <w:b/>
          <w:color w:val="1A1A2E"/>
          <w:sz w:val="21"/>
        </w:rPr>
        <w:t>Jasné chování při chybě.</w:t>
      </w:r>
      <w:r>
        <w:rPr>
          <w:sz w:val="21"/>
        </w:rPr>
        <w:t xml:space="preserve"> Pokud je Redis nedostupný, autentizační throttle nepadne na lokální in-memory fallback — vrátí HTTP 503. Pokud migrace databáze není aplikována, aplikace nenaběhne. Pokud worker ztratí lease na zpracovávanou úlohu, reaper ji po timeoutu přeřadí. Systém je nastaven tak, aby selhání bylo viditelné a kontrolované, ne tiché.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4. Hardening, bezpečnost a stabilita</w:t>
      </w:r>
    </w:p>
    <w:p>
      <w:pPr>
        <w:pStyle w:val="Heading3"/>
      </w:pPr>
      <w:r>
        <w:t>Autentizace a správa session</w:t>
      </w:r>
    </w:p>
    <w:p>
      <w:r>
        <w:rPr>
          <w:sz w:val="21"/>
        </w:rPr>
        <w:t xml:space="preserve">Přihlášení generuje pár krátkodobý access token / dlouhodobý refresh token. Od verze v0.7.000 jsou session sledovány v databázové tabulce </w:t>
      </w:r>
      <w:r>
        <w:rPr>
          <w:rFonts w:ascii="Courier New" w:hAnsi="Courier New"/>
          <w:color w:val="C7254E"/>
          <w:sz w:val="19"/>
        </w:rPr>
        <w:t>user_sessions</w:t>
      </w:r>
      <w:r>
        <w:rPr>
          <w:sz w:val="21"/>
        </w:rPr>
        <w:t xml:space="preserve"> — uživatel vidí aktivní zařízení a může jednotlivé session vzdáleně ukončit (force logout). Sloupcový </w:t>
      </w:r>
      <w:r>
        <w:rPr>
          <w:rFonts w:ascii="Courier New" w:hAnsi="Courier New"/>
          <w:color w:val="C7254E"/>
          <w:sz w:val="19"/>
        </w:rPr>
        <w:t>token_version</w:t>
      </w:r>
      <w:r>
        <w:rPr>
          <w:sz w:val="21"/>
        </w:rPr>
        <w:t xml:space="preserve"> na záznamu uživatele umožňuje deterministicky zneplatit všechny tokeny bez procházení celé tabulky revokací.</w:t>
      </w:r>
    </w:p>
    <w:p>
      <w:r>
        <w:rPr>
          <w:sz w:val="21"/>
        </w:rPr>
        <w:t>Per-account brute-force ochrana je implementována přes Redis jako sdílené úložiště — funguje korektně i při více instancích API. Při výpadku Redisu přechází do fail-closed módu (HTTP 503), nikoli do degradovaného stavu s lokálním čítačem.</w:t>
      </w:r>
    </w:p>
    <w:p>
      <w:pPr>
        <w:pStyle w:val="Heading3"/>
      </w:pPr>
      <w:r>
        <w:t>Multi-tenancy a izolace dat</w:t>
      </w:r>
    </w:p>
    <w:p>
      <w:r>
        <w:rPr>
          <w:sz w:val="21"/>
        </w:rPr>
        <w:t xml:space="preserve">Tenant izolace je strukturální vlastnost datového modelu, ne middleware vrstva. Každý ORM dotaz na uživatelská data filtruje přes </w:t>
      </w:r>
      <w:r>
        <w:rPr>
          <w:rFonts w:ascii="Courier New" w:hAnsi="Courier New"/>
          <w:color w:val="C7254E"/>
          <w:sz w:val="19"/>
        </w:rPr>
        <w:t>organization_id</w:t>
      </w:r>
      <w:r>
        <w:rPr>
          <w:sz w:val="21"/>
        </w:rPr>
        <w:t>. Pracovní katalog používá sparse delta model — tenant rows existují pouze tam, kde se tenant odchyluje od globálního výchozího nastavení, bez duplikace globálního katalogu pro každého tenanta.</w:t>
      </w:r>
    </w:p>
    <w:p>
      <w:r>
        <w:rPr>
          <w:sz w:val="21"/>
        </w:rPr>
        <w:t>Timing oracle obrana (</w:t>
      </w:r>
      <w:r>
        <w:rPr>
          <w:rFonts w:ascii="Courier New" w:hAnsi="Courier New"/>
          <w:color w:val="C7254E"/>
          <w:sz w:val="19"/>
        </w:rPr>
        <w:t>app/core/tenant_timing.py</w:t>
      </w:r>
      <w:r>
        <w:rPr>
          <w:sz w:val="21"/>
        </w:rPr>
        <w:t>) zajišťuje minimální dobu odpovědi na citlivých cestách — útočník nemůže z doby odpovědi odvodit, zda tenant ID existuje nebo ne.</w:t>
      </w:r>
    </w:p>
    <w:p>
      <w:pPr>
        <w:pStyle w:val="Heading3"/>
      </w:pPr>
      <w:r>
        <w:t>Worker a queue hardening</w:t>
      </w:r>
    </w:p>
    <w:p>
      <w:r>
        <w:rPr>
          <w:sz w:val="21"/>
        </w:rPr>
        <w:t>Každá analytická úloha ve zpracování je pojištěna leasem s vlastnickým tokenem (</w:t>
      </w:r>
      <w:r>
        <w:rPr>
          <w:rFonts w:ascii="Courier New" w:hAnsi="Courier New"/>
          <w:color w:val="C7254E"/>
          <w:sz w:val="19"/>
        </w:rPr>
        <w:t>lease_token + worker_id</w:t>
      </w:r>
      <w:r>
        <w:rPr>
          <w:sz w:val="21"/>
        </w:rPr>
        <w:t>). ACK při dokončení ověří, že lease stále patří danému workeru — pokud reaper lease přebral (timeout), ACK selže a nový worker úlohu zpracuje čistě. Lua skripty zajišťují, že enqueue, dequeue a ACK jsou atomické operace bez race condition.</w:t>
      </w:r>
    </w:p>
    <w:p>
      <w:r>
        <w:rPr>
          <w:sz w:val="21"/>
        </w:rPr>
        <w:t>Startup reconciliation (od v0.7.001) po restartu workeru porovná stav Redis fronty s databází a smaže orphaned záznamy — stav fronty a stav databáze jsou po startu vždy konzistentní.</w:t>
      </w:r>
    </w:p>
    <w:p>
      <w:pPr>
        <w:pStyle w:val="Heading3"/>
      </w:pPr>
      <w:r>
        <w:t>Omezení kaskádových selhání</w:t>
      </w:r>
    </w:p>
    <w:p>
      <w:r>
        <w:rPr>
          <w:sz w:val="21"/>
        </w:rPr>
        <w:t>Backpressure snapshot agreguje hloubku fronty, počet zpracovávaných úloh a retry inflight přes obě worker lanes (analýza + heavy export). Pokud globální kapacita překročí konfigurovaný strop, nové požadavky jsou odmítnuty s 429 — fronta se nepřeplní a Redis nezahltí paměť.</w:t>
      </w:r>
    </w:p>
    <w:p>
      <w:r>
        <w:rPr>
          <w:sz w:val="21"/>
        </w:rPr>
        <w:t>Worker a API jsou oddělené procesy s vlastními databázovými connection pooly — přetížení workeru neovlivní latenci API a naopak.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5. Rizika a jejich řízení</w:t>
      </w:r>
    </w:p>
    <w:p>
      <w:pPr>
        <w:pStyle w:val="Heading3"/>
      </w:pPr>
      <w:r>
        <w:t>Rizika existují — a jsou pojmenovaná</w:t>
      </w:r>
    </w:p>
    <w:p>
      <w:r>
        <w:rPr>
          <w:sz w:val="21"/>
        </w:rPr>
        <w:t>Projekt prošel třemi formálními audity bezpečnosti a provozní připravenosti (AUDIT_2026-03-31, AUDIT_PILOT_2026-04-02, AUDIT_PILOT_2026-04-02_v2). Každý audit klasifikuje rizika jako P0 (blokuje nasazení), P1 (blokuje škálování) a P2 (opravit v prvním sprintu). Výsledky auditů přímo generovaly kód v následujících releasech.</w:t>
      </w:r>
    </w:p>
    <w:p>
      <w:pPr>
        <w:pStyle w:val="Heading3"/>
      </w:pPr>
      <w:r>
        <w:t>Aktuální stav rizik (po v0.7.001)</w:t>
      </w:r>
    </w:p>
    <w:p>
      <w:r>
        <w:rPr>
          <w:b/>
          <w:color w:val="1A1A2E"/>
          <w:sz w:val="21"/>
        </w:rPr>
        <w:t>Rizika opravená nebo mitigovaná:</w:t>
      </w:r>
    </w:p>
    <w:p>
      <w:pPr>
        <w:pStyle w:val="ListBullet"/>
        <w:spacing w:after="60"/>
        <w:ind w:left="340"/>
      </w:pPr>
      <w:r>
        <w:rPr>
          <w:sz w:val="21"/>
        </w:rPr>
        <w:t>Fail-closed auth throttle (P0 z auditu → opraveno v v0.7.001)</w:t>
      </w:r>
    </w:p>
    <w:p>
      <w:pPr>
        <w:pStyle w:val="ListBullet"/>
        <w:spacing w:after="60"/>
        <w:ind w:left="340"/>
      </w:pPr>
      <w:r>
        <w:rPr>
          <w:sz w:val="21"/>
        </w:rPr>
        <w:t>Worker healthcheck pro Docker orchestrátor (P0 → opraveno v v0.7.000)</w:t>
      </w:r>
    </w:p>
    <w:p>
      <w:pPr>
        <w:pStyle w:val="ListBullet"/>
        <w:spacing w:after="60"/>
        <w:ind w:left="340"/>
      </w:pPr>
      <w:r>
        <w:rPr>
          <w:sz w:val="21"/>
        </w:rPr>
        <w:t>Backpressure subsystém zabraňující přetečení fronty (P1 → opraveno v v0.7.001)</w:t>
      </w:r>
    </w:p>
    <w:p>
      <w:pPr>
        <w:pStyle w:val="ListBullet"/>
        <w:spacing w:after="60"/>
        <w:ind w:left="340"/>
      </w:pPr>
      <w:r>
        <w:rPr>
          <w:sz w:val="21"/>
        </w:rPr>
        <w:t>Per-session revokace tokenů (P0 → opraveno v v0.7.000)</w:t>
      </w:r>
    </w:p>
    <w:p>
      <w:pPr>
        <w:pStyle w:val="ListBullet"/>
        <w:spacing w:after="60"/>
        <w:ind w:left="340"/>
      </w:pPr>
      <w:r>
        <w:rPr>
          <w:sz w:val="21"/>
        </w:rPr>
        <w:t>Deterministic retry jitter zabraňující thundering herdu (P1 → opraveno v v0.7.001)</w:t>
      </w:r>
    </w:p>
    <w:p>
      <w:r>
        <w:rPr>
          <w:b/>
          <w:color w:val="1A1A2E"/>
          <w:sz w:val="21"/>
        </w:rPr>
        <w:t>Rizika identifikovaná, čekající na opravu před go-live (P0):</w:t>
      </w:r>
    </w:p>
    <w:p>
      <w:pPr>
        <w:pStyle w:val="ListBullet"/>
        <w:spacing w:after="60"/>
        <w:ind w:left="340"/>
      </w:pPr>
      <w:r>
        <w:rPr>
          <w:sz w:val="21"/>
        </w:rPr>
        <w:t xml:space="preserve">Chybí </w:t>
      </w:r>
      <w:r>
        <w:rPr>
          <w:rFonts w:ascii="Courier New" w:hAnsi="Courier New"/>
          <w:color w:val="C7254E"/>
          <w:sz w:val="19"/>
        </w:rPr>
        <w:t>Content-Security-Policy</w:t>
      </w:r>
      <w:r>
        <w:rPr>
          <w:sz w:val="21"/>
        </w:rPr>
        <w:t xml:space="preserve"> HTTP header — zvyšuje povrch pro XSS útok</w:t>
      </w:r>
    </w:p>
    <w:p>
      <w:pPr>
        <w:pStyle w:val="ListBullet"/>
        <w:spacing w:after="60"/>
        <w:ind w:left="340"/>
      </w:pPr>
      <w:r>
        <w:rPr>
          <w:sz w:val="21"/>
        </w:rPr>
        <w:t>Chybí fallback větev ve worker finalize state machine — neznámý disposition stav by ponechal lease viset</w:t>
      </w:r>
    </w:p>
    <w:p>
      <w:pPr>
        <w:pStyle w:val="ListBullet"/>
        <w:spacing w:after="60"/>
        <w:ind w:left="340"/>
      </w:pPr>
      <w:r>
        <w:rPr>
          <w:sz w:val="21"/>
        </w:rPr>
        <w:t xml:space="preserve">Ověření tenant filtru v </w:t>
      </w:r>
      <w:r>
        <w:rPr>
          <w:rFonts w:ascii="Courier New" w:hAnsi="Courier New"/>
          <w:color w:val="C7254E"/>
          <w:sz w:val="19"/>
        </w:rPr>
        <w:t>AnalysisService.get_job()</w:t>
      </w:r>
      <w:r>
        <w:rPr>
          <w:sz w:val="21"/>
        </w:rPr>
        <w:t xml:space="preserve"> na DB úrovni — log existuje, DB filtr nutno explicitně potvrdit</w:t>
      </w:r>
    </w:p>
    <w:p>
      <w:pPr>
        <w:pStyle w:val="ListBullet"/>
        <w:spacing w:after="60"/>
        <w:ind w:left="340"/>
      </w:pPr>
      <w:r>
        <w:rPr>
          <w:sz w:val="21"/>
        </w:rPr>
        <w:t xml:space="preserve">Hardcoded seed hesla v bootstrap souboru — nutno zajistit </w:t>
      </w:r>
      <w:r>
        <w:rPr>
          <w:rFonts w:ascii="Courier New" w:hAnsi="Courier New"/>
          <w:color w:val="C7254E"/>
          <w:sz w:val="19"/>
        </w:rPr>
        <w:t>DB_SEED_ON_STARTUP=false</w:t>
      </w:r>
      <w:r>
        <w:rPr>
          <w:sz w:val="21"/>
        </w:rPr>
        <w:t xml:space="preserve"> v produkci</w:t>
      </w:r>
    </w:p>
    <w:p>
      <w:pPr>
        <w:pStyle w:val="ListBullet"/>
        <w:spacing w:after="60"/>
        <w:ind w:left="340"/>
      </w:pPr>
      <w:r>
        <w:rPr>
          <w:sz w:val="21"/>
        </w:rPr>
        <w:t xml:space="preserve">Chybí produkční guard pro </w:t>
      </w:r>
      <w:r>
        <w:rPr>
          <w:rFonts w:ascii="Courier New" w:hAnsi="Courier New"/>
          <w:color w:val="C7254E"/>
          <w:sz w:val="19"/>
        </w:rPr>
        <w:t>METRICS_AUTH_ENABLED=false</w:t>
      </w:r>
    </w:p>
    <w:p>
      <w:r>
        <w:rPr>
          <w:sz w:val="21"/>
        </w:rPr>
        <w:t>Tato rizika jsou dokumentovaná, rozsah jejich dopadu je pochopený a oprava každého z nich je odhadnuta na 1–3 hodiny práce. Go-live před jejich opravou není doporučen.</w:t>
      </w:r>
    </w:p>
    <w:p>
      <w:pPr>
        <w:pStyle w:val="Heading3"/>
      </w:pPr>
      <w:r>
        <w:t>Jak systém degraduje kontrolovaně</w:t>
      </w:r>
    </w:p>
    <w:p>
      <w:r>
        <w:rPr>
          <w:sz w:val="21"/>
        </w:rPr>
        <w:t>Při výpadku Redisu: API vrací 503 na auth endpointech (fail-closed); worker přestane přijímat nové úlohy (lease renewal selže); fronta se nevyprázdní, ale nezaplave paměť.</w:t>
      </w:r>
    </w:p>
    <w:p>
      <w:r>
        <w:rPr>
          <w:sz w:val="21"/>
        </w:rPr>
        <w:t>Při výpadku databáze: API vrací 503; worker dokončí aktuálně zpracovávanou úlohu (nebo selže při commitu), lease expiruje a reaper úlohu přeřadí po obnově spojení.</w:t>
      </w:r>
    </w:p>
    <w:p>
      <w:r>
        <w:rPr>
          <w:sz w:val="21"/>
        </w:rPr>
        <w:t>Při přetížení AI providera: úlohy se frontují s exponenciálním backoffem; kapacitní limit fronty zabraňuje hromadění tisíců čekajících úloh; nové požadavky dostávají 429 s jasnou chybovou zprávou.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6. Kompatibilita a robustnost</w:t>
      </w:r>
    </w:p>
    <w:p>
      <w:pPr>
        <w:pStyle w:val="Heading3"/>
      </w:pPr>
      <w:r>
        <w:t>Architektonická kompatibilita</w:t>
      </w:r>
    </w:p>
    <w:p>
      <w:r>
        <w:rPr>
          <w:sz w:val="21"/>
        </w:rPr>
        <w:t>Systém je kontejnerizovaný (Docker Compose) a bez zásahu do kódu přenositelný na jakýkoliv Linux host s Dockerem. Nginx je připraven na HTTPS terminaci s vlastními certifikáty. Storage backend je pluggable — pro vývoj a testování je k dispozici lokální souborový backend, pro produkci S3-compatible storage (AWS S3, MinIO, Cloudflare R2 nebo jakýkoliv S3-API kompatibilní provider).</w:t>
      </w:r>
    </w:p>
    <w:p>
      <w:r>
        <w:rPr>
          <w:sz w:val="21"/>
        </w:rPr>
        <w:t xml:space="preserve">Databázové schéma je verzováno přes Alembic s 40 migraci. Každá migrace je opatřena </w:t>
      </w:r>
      <w:r>
        <w:rPr>
          <w:rFonts w:ascii="Courier New" w:hAnsi="Courier New"/>
          <w:color w:val="C7254E"/>
          <w:sz w:val="19"/>
        </w:rPr>
        <w:t>down_revision</w:t>
      </w:r>
      <w:r>
        <w:rPr>
          <w:sz w:val="21"/>
        </w:rPr>
        <w:t xml:space="preserve"> — rollback je možný. Startup blokuje spuštění, pokud není aktuální migrace aplikována.</w:t>
      </w:r>
    </w:p>
    <w:p>
      <w:r>
        <w:rPr>
          <w:sz w:val="21"/>
        </w:rPr>
        <w:t xml:space="preserve">AI provider je abstrahovaný za </w:t>
      </w:r>
      <w:r>
        <w:rPr>
          <w:rFonts w:ascii="Courier New" w:hAnsi="Courier New"/>
          <w:color w:val="C7254E"/>
          <w:sz w:val="19"/>
        </w:rPr>
        <w:t>StagedVisionPipeline</w:t>
      </w:r>
      <w:r>
        <w:rPr>
          <w:sz w:val="21"/>
        </w:rPr>
        <w:t xml:space="preserve"> protokolem — přechod na jiného providera nevyžaduje změny v business logice, pouze implementaci nového adaptéru.</w:t>
      </w:r>
    </w:p>
    <w:p>
      <w:pPr>
        <w:pStyle w:val="Heading3"/>
      </w:pPr>
      <w:r>
        <w:t>Robustnost vůči provozním problémům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320"/>
            <w:shd w:val="clear" w:color="auto" w:fill="0F3F7F"/>
          </w:tcPr>
          <w:p>
            <w:r>
              <w:rPr>
                <w:b/>
                <w:color w:val="FFFFFF"/>
                <w:sz w:val="20"/>
              </w:rPr>
              <w:t>Scénář</w:t>
            </w:r>
          </w:p>
        </w:tc>
        <w:tc>
          <w:tcPr>
            <w:tcW w:type="dxa" w:w="4320"/>
            <w:shd w:val="clear" w:color="auto" w:fill="0F3F7F"/>
          </w:tcPr>
          <w:p>
            <w:r>
              <w:rPr>
                <w:b/>
                <w:color w:val="FFFFFF"/>
                <w:sz w:val="20"/>
              </w:rPr>
              <w:t>Chování systému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555555"/>
                <w:sz w:val="21"/>
              </w:rPr>
              <w:t>Redis restart (30 s výpadek)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555555"/>
                <w:sz w:val="21"/>
              </w:rPr>
              <w:t>Auth vrací 503; po obnově plná funkčnost automaticky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>
              <w:rPr>
                <w:color w:val="555555"/>
                <w:sz w:val="21"/>
              </w:rPr>
              <w:t>Worker crash</w:t>
            </w:r>
          </w:p>
        </w:tc>
        <w:tc>
          <w:tcPr>
            <w:tcW w:type="dxa" w:w="4320"/>
            <w:shd w:val="clear" w:color="auto" w:fill="F4F6FA"/>
          </w:tcPr>
          <w:p>
            <w:r>
              <w:rPr>
                <w:color w:val="555555"/>
                <w:sz w:val="21"/>
              </w:rPr>
              <w:t>Reaper po lease timeoutu (výchozí 10 min) přeřadí úlohy; startup reconciliation smaže orphaned záznamy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555555"/>
                <w:sz w:val="21"/>
              </w:rPr>
              <w:t>DB connection spike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555555"/>
                <w:sz w:val="21"/>
              </w:rPr>
              <w:t>Worker pool a API pool jsou oddělené; přetížení jednoho neovlivní druhý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>
              <w:rPr>
                <w:color w:val="555555"/>
                <w:sz w:val="21"/>
              </w:rPr>
              <w:t>Storage slowdown</w:t>
            </w:r>
          </w:p>
        </w:tc>
        <w:tc>
          <w:tcPr>
            <w:tcW w:type="dxa" w:w="4320"/>
            <w:shd w:val="clear" w:color="auto" w:fill="F4F6FA"/>
          </w:tcPr>
          <w:p>
            <w:r>
              <w:rPr>
                <w:color w:val="555555"/>
                <w:sz w:val="21"/>
              </w:rPr>
              <w:t>Analýzy čekají na fetch fotografie; worker lease je obnovován průběžně; timeout 30 min pro heavy joby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color w:val="555555"/>
                <w:sz w:val="21"/>
              </w:rPr>
              <w:t>Přetížení AI providera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555555"/>
                <w:sz w:val="21"/>
              </w:rPr>
              <w:t>Retry s exponenciálním backoffem; kapacitní limit fronty; 429 pro nové požadavky</w:t>
            </w:r>
          </w:p>
        </w:tc>
      </w:tr>
      <w:tr>
        <w:tc>
          <w:tcPr>
            <w:tcW w:type="dxa" w:w="4320"/>
            <w:shd w:val="clear" w:color="auto" w:fill="F4F6FA"/>
          </w:tcPr>
          <w:p>
            <w:r>
              <w:rPr>
                <w:color w:val="555555"/>
                <w:sz w:val="21"/>
              </w:rPr>
              <w:t>Neplatná migrace</w:t>
            </w:r>
          </w:p>
        </w:tc>
        <w:tc>
          <w:tcPr>
            <w:tcW w:type="dxa" w:w="4320"/>
            <w:shd w:val="clear" w:color="auto" w:fill="F4F6FA"/>
          </w:tcPr>
          <w:p>
            <w:r>
              <w:rPr>
                <w:color w:val="555555"/>
                <w:sz w:val="21"/>
              </w:rPr>
              <w:t>Startup odmítne nastartovat s explicitní chybou</w:t>
            </w:r>
          </w:p>
        </w:tc>
      </w:tr>
    </w:tbl>
    <w:p/>
    <w:p>
      <w:pPr>
        <w:pStyle w:val="Heading3"/>
      </w:pPr>
      <w:r>
        <w:t>Dlouhodobá udržitelnost</w:t>
      </w:r>
    </w:p>
    <w:p>
      <w:r>
        <w:rPr>
          <w:sz w:val="21"/>
        </w:rPr>
        <w:t>Katalog prací (43 typů, parametry, analytické a ceníkové profily) je navržen jako evolvovatelná struktura — přidání nového typu práce nebo úprava parametrů nevyžaduje změny kódu aplikace, pouze přidání záznamu do katalogu. Verzování profilů zajišťuje, že změna katalogu neovlivní historické nabídky.</w:t>
      </w:r>
    </w:p>
    <w:p>
      <w:r>
        <w:rPr>
          <w:sz w:val="21"/>
        </w:rPr>
        <w:t>Testy pokrývají kritické cesty: worker queue atomicitu, lease ownership, backpressure kapacitu, retry backoff, tenant izolaci, auth flow. Kontinuální rozšiřování testovací základny je součástí každého releasu.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7. Pilotní nasazení</w:t>
      </w:r>
    </w:p>
    <w:p>
      <w:pPr>
        <w:pStyle w:val="Heading3"/>
      </w:pPr>
      <w:r>
        <w:t>Co znamená pilot</w:t>
      </w:r>
    </w:p>
    <w:p>
      <w:r>
        <w:rPr>
          <w:sz w:val="21"/>
        </w:rPr>
        <w:t>Pilotní nasazení je kontrolovaný přechod systému z vývojového prostředí do reálného provozu s omezeným počtem tenantů a uživatelů. Není to zkrácená verze produkčního provozu — je to explicitní fáze, ve které se ověřují předpoklady, které v testovacím prostředí nelze plně simulovat.</w:t>
      </w:r>
    </w:p>
    <w:p>
      <w:pPr>
        <w:pStyle w:val="Heading3"/>
      </w:pPr>
      <w:r>
        <w:t>Cíle pilotu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Ověřit stabilitu pod reálnou zátěží</w:t>
      </w:r>
      <w:r>
        <w:rPr>
          <w:sz w:val="21"/>
        </w:rPr>
        <w:t xml:space="preserve"> — reálné fotografie (ne testovací data), reálné uživatelské chování, reálné časové vzory přístupu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Ověřit AI pipeline na produkčních datech</w:t>
      </w:r>
      <w:r>
        <w:rPr>
          <w:sz w:val="21"/>
        </w:rPr>
        <w:t xml:space="preserve"> — testovací data mají jiné charakteristiky než terénní fotodokumentace; pilot odhalí případné slepé skvrny detekce nebo mapování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Ověřit provozní observabilitu</w:t>
      </w:r>
      <w:r>
        <w:rPr>
          <w:sz w:val="21"/>
        </w:rPr>
        <w:t xml:space="preserve"> — fungují alerting, metriky a logy tak, aby bylo možné identifikovat problém dřív než ho uvidí uživatel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Ověřit onboarding tenanta</w:t>
      </w:r>
      <w:r>
        <w:rPr>
          <w:sz w:val="21"/>
        </w:rPr>
        <w:t xml:space="preserve"> — vytvoření tenanta, první projekt, první analýza, první nabídka — bez asistence vývojáře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Získat reálná kapacitní data</w:t>
      </w:r>
      <w:r>
        <w:rPr>
          <w:sz w:val="21"/>
        </w:rPr>
        <w:t xml:space="preserve"> — viz část 8</w:t>
      </w:r>
    </w:p>
    <w:p>
      <w:pPr>
        <w:pStyle w:val="Heading3"/>
      </w:pPr>
      <w:r>
        <w:t>Co se v pilotu ověřuje</w:t>
      </w:r>
    </w:p>
    <w:p>
      <w:pPr>
        <w:pStyle w:val="ListBullet"/>
        <w:spacing w:after="60"/>
        <w:ind w:left="340"/>
      </w:pPr>
      <w:r>
        <w:rPr>
          <w:sz w:val="21"/>
        </w:rPr>
        <w:t>Průchodnost celého flow od uploadu fotografie po exportovanou nabídku bez ručního zásahu do systémových vrstev</w:t>
      </w:r>
    </w:p>
    <w:p>
      <w:pPr>
        <w:pStyle w:val="ListBullet"/>
        <w:spacing w:after="60"/>
        <w:ind w:left="340"/>
      </w:pPr>
      <w:r>
        <w:rPr>
          <w:sz w:val="21"/>
        </w:rPr>
        <w:t>Chování systému při chybě AI providera (timeout, chybná odpověď, nerozpoznatelný vstup)</w:t>
      </w:r>
    </w:p>
    <w:p>
      <w:pPr>
        <w:pStyle w:val="ListBullet"/>
        <w:spacing w:after="60"/>
        <w:ind w:left="340"/>
      </w:pPr>
      <w:r>
        <w:rPr>
          <w:sz w:val="21"/>
        </w:rPr>
        <w:t>Čas zpracování analýzy pod reálnými podmínkami</w:t>
      </w:r>
    </w:p>
    <w:p>
      <w:pPr>
        <w:pStyle w:val="ListBullet"/>
        <w:spacing w:after="60"/>
        <w:ind w:left="340"/>
      </w:pPr>
      <w:r>
        <w:rPr>
          <w:sz w:val="21"/>
        </w:rPr>
        <w:t>Konzistence dat po restartu workeru nebo API</w:t>
      </w:r>
    </w:p>
    <w:p>
      <w:pPr>
        <w:pStyle w:val="ListBullet"/>
        <w:spacing w:after="60"/>
        <w:ind w:left="340"/>
      </w:pPr>
      <w:r>
        <w:rPr>
          <w:sz w:val="21"/>
        </w:rPr>
        <w:t>Správnost tenant izolace s více simultánně aktivními tenanty</w:t>
      </w:r>
    </w:p>
    <w:p>
      <w:pPr>
        <w:pStyle w:val="Heading3"/>
      </w:pPr>
      <w:r>
        <w:t>Pilot jako kontrolovaný přechod</w:t>
      </w:r>
    </w:p>
    <w:p>
      <w:r>
        <w:rPr>
          <w:sz w:val="21"/>
        </w:rPr>
        <w:t>Pilot běží na produkční infrastruktuře (ne na vývojovém stroji), ale s omezeným počtem tenantů a monitorovaným prostředím. Před pilotem jsou aplikovány všechna P0 rizika z posledního auditu. Výstupem pilotu nejsou jen funkční výsledky — jsou to konkrétní metriky: průměrný čas analýzy, počet selhání, počet retry úloh, využití fronty, chybovost storage. Tato data definují základnu pro kapacitní plánování.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8. Kapacitní a provozní otázky</w:t>
      </w:r>
    </w:p>
    <w:p>
      <w:pPr>
        <w:pStyle w:val="Heading3"/>
      </w:pPr>
      <w:r>
        <w:t>Kolik tenantů a analýz lze souběžně zpracovávat</w:t>
      </w:r>
    </w:p>
    <w:p>
      <w:r>
        <w:rPr>
          <w:sz w:val="21"/>
        </w:rPr>
        <w:t>Přesná čísla nelze uvést bez naměřených dat z pilotu. Níže jsou architektonické parametry, na kterých kapacita závisí.</w:t>
      </w:r>
    </w:p>
    <w:p>
      <w:r>
        <w:rPr>
          <w:b/>
          <w:color w:val="1A1A2E"/>
          <w:sz w:val="21"/>
        </w:rPr>
        <w:t>Tenant kapacita</w:t>
      </w:r>
      <w:r>
        <w:rPr>
          <w:sz w:val="21"/>
        </w:rPr>
        <w:t xml:space="preserve"> závisí na:</w:t>
      </w:r>
    </w:p>
    <w:p>
      <w:pPr>
        <w:pStyle w:val="ListBullet"/>
        <w:spacing w:after="60"/>
        <w:ind w:left="340"/>
      </w:pPr>
      <w:r>
        <w:rPr>
          <w:sz w:val="21"/>
        </w:rPr>
        <w:t xml:space="preserve">Počtu worker procesů (konfigurováno přes </w:t>
      </w:r>
      <w:r>
        <w:rPr>
          <w:rFonts w:ascii="Courier New" w:hAnsi="Courier New"/>
          <w:color w:val="C7254E"/>
          <w:sz w:val="19"/>
        </w:rPr>
        <w:t>WORKER_CONCURRENCY</w:t>
      </w:r>
      <w:r>
        <w:rPr>
          <w:sz w:val="21"/>
        </w:rPr>
        <w:t>)</w:t>
      </w:r>
    </w:p>
    <w:p>
      <w:pPr>
        <w:pStyle w:val="ListBullet"/>
        <w:spacing w:after="60"/>
        <w:ind w:left="340"/>
      </w:pPr>
      <w:r>
        <w:rPr>
          <w:sz w:val="21"/>
        </w:rPr>
        <w:t>Hloubce fronty (</w:t>
      </w:r>
      <w:r>
        <w:rPr>
          <w:rFonts w:ascii="Courier New" w:hAnsi="Courier New"/>
          <w:color w:val="C7254E"/>
          <w:sz w:val="19"/>
        </w:rPr>
        <w:t>ANALYSIS_QUEUE_MAX_DEPTH</w:t>
      </w:r>
      <w:r>
        <w:rPr>
          <w:sz w:val="21"/>
        </w:rPr>
        <w:t>, výchozí 1 000 úloh)</w:t>
      </w:r>
    </w:p>
    <w:p>
      <w:pPr>
        <w:pStyle w:val="ListBullet"/>
        <w:spacing w:after="60"/>
        <w:ind w:left="340"/>
      </w:pPr>
      <w:r>
        <w:rPr>
          <w:sz w:val="21"/>
        </w:rPr>
        <w:t>Per-tenant limitu simultánních analýz (konfigurovatelný, výchozí není veřejně specifikován — ověřit před pilotem)</w:t>
      </w:r>
    </w:p>
    <w:p>
      <w:pPr>
        <w:pStyle w:val="ListBullet"/>
        <w:spacing w:after="60"/>
        <w:ind w:left="340"/>
      </w:pPr>
      <w:r>
        <w:rPr>
          <w:sz w:val="21"/>
        </w:rPr>
        <w:t>Výkonu AI providera (latence Claude API nebo jiného providera)</w:t>
      </w:r>
    </w:p>
    <w:p>
      <w:r>
        <w:rPr>
          <w:b/>
          <w:color w:val="1A1A2E"/>
          <w:sz w:val="21"/>
        </w:rPr>
        <w:t>Analytická kapacita</w:t>
      </w:r>
      <w:r>
        <w:rPr>
          <w:sz w:val="21"/>
        </w:rPr>
        <w:t xml:space="preserve"> závisí na:</w:t>
      </w:r>
    </w:p>
    <w:p>
      <w:pPr>
        <w:pStyle w:val="ListBullet"/>
        <w:spacing w:after="60"/>
        <w:ind w:left="340"/>
      </w:pPr>
      <w:r>
        <w:rPr>
          <w:sz w:val="21"/>
        </w:rPr>
        <w:t>Době zpracování jedné analýzy (dominuje čas AI volání — typicky 10–180 s v závislosti na provideru a složitosti)</w:t>
      </w:r>
    </w:p>
    <w:p>
      <w:pPr>
        <w:pStyle w:val="ListBullet"/>
        <w:spacing w:after="60"/>
        <w:ind w:left="340"/>
      </w:pPr>
      <w:r>
        <w:rPr>
          <w:sz w:val="21"/>
        </w:rPr>
        <w:t>Počtu worker slotů</w:t>
      </w:r>
    </w:p>
    <w:p>
      <w:pPr>
        <w:pStyle w:val="ListBullet"/>
        <w:spacing w:after="60"/>
        <w:ind w:left="340"/>
      </w:pPr>
      <w:r>
        <w:rPr>
          <w:sz w:val="21"/>
        </w:rPr>
        <w:t>Kapacitě DB connection poolu pro worker</w:t>
      </w:r>
    </w:p>
    <w:p>
      <w:r>
        <w:rPr>
          <w:b/>
          <w:color w:val="1A1A2E"/>
          <w:sz w:val="21"/>
        </w:rPr>
        <w:t>Ilustrativní příklad (ne garance):</w:t>
      </w:r>
      <w:r>
        <w:rPr>
          <w:sz w:val="21"/>
        </w:rPr>
        <w:t xml:space="preserve"> Při 4 worker slotech a průměrné době analýzy 60 s je teoretická propustnost ~240 analýz/hodinu. Skutečné číslo bude nižší kvůli overhead (DB operace, storage, lease management) a vyšší při kratší latenci AI providera. Tato čísla je nutné ověřit měřením.</w:t>
      </w:r>
    </w:p>
    <w:p>
      <w:pPr>
        <w:pStyle w:val="Heading3"/>
      </w:pPr>
      <w:r>
        <w:t>Za jakých podmínek systém běží bez chyb</w:t>
      </w:r>
    </w:p>
    <w:p>
      <w:r>
        <w:rPr>
          <w:sz w:val="21"/>
        </w:rPr>
        <w:t>Systém je navržen tak, aby při překročení kapacity odmítl nové požadavky (HTTP 429), nikoli aby degradoval bez varování. Podmínky pro stabilní provoz:</w:t>
      </w:r>
    </w:p>
    <w:p>
      <w:pPr>
        <w:pStyle w:val="ListBullet"/>
        <w:spacing w:after="60"/>
        <w:ind w:left="340"/>
      </w:pPr>
      <w:r>
        <w:rPr>
          <w:sz w:val="21"/>
        </w:rPr>
        <w:t>Redis dostupný a s dostatečnou pamětí pro frontu a cache</w:t>
      </w:r>
    </w:p>
    <w:p>
      <w:pPr>
        <w:pStyle w:val="ListBullet"/>
        <w:spacing w:after="60"/>
        <w:ind w:left="340"/>
      </w:pPr>
      <w:r>
        <w:rPr>
          <w:sz w:val="21"/>
        </w:rPr>
        <w:t>Databáze s výkonem adekvátním počtu simultánních connections (API pool + Worker pool)</w:t>
      </w:r>
    </w:p>
    <w:p>
      <w:pPr>
        <w:pStyle w:val="ListBullet"/>
        <w:spacing w:after="60"/>
        <w:ind w:left="340"/>
      </w:pPr>
      <w:r>
        <w:rPr>
          <w:sz w:val="21"/>
        </w:rPr>
        <w:t>S3 storage dostupná a s dostatečnou propustností pro upload a fetch fotografií</w:t>
      </w:r>
    </w:p>
    <w:p>
      <w:pPr>
        <w:pStyle w:val="ListBullet"/>
        <w:spacing w:after="60"/>
        <w:ind w:left="340"/>
      </w:pPr>
      <w:r>
        <w:rPr>
          <w:sz w:val="21"/>
        </w:rPr>
        <w:t>AI provider dostupný — výpadek providera způsobí nárůst retry, nikoli ztrátu dat</w:t>
      </w:r>
    </w:p>
    <w:p>
      <w:pPr>
        <w:pStyle w:val="Heading3"/>
      </w:pPr>
      <w:r>
        <w:t>Jak se kapacita ověřuje</w:t>
      </w:r>
    </w:p>
    <w:p>
      <w:r>
        <w:rPr>
          <w:sz w:val="21"/>
        </w:rPr>
        <w:t xml:space="preserve">Projekt obsahuje </w:t>
      </w:r>
      <w:r>
        <w:rPr>
          <w:rFonts w:ascii="Courier New" w:hAnsi="Courier New"/>
          <w:color w:val="C7254E"/>
          <w:sz w:val="19"/>
        </w:rPr>
        <w:t>scripts/run-pilot-load-rehearsal.py</w:t>
      </w:r>
      <w:r>
        <w:rPr>
          <w:sz w:val="21"/>
        </w:rPr>
        <w:t xml:space="preserve"> a </w:t>
      </w:r>
      <w:r>
        <w:rPr>
          <w:rFonts w:ascii="Courier New" w:hAnsi="Courier New"/>
          <w:color w:val="C7254E"/>
          <w:sz w:val="19"/>
        </w:rPr>
        <w:t>scripts/run-operational-load-rehearsal.py</w:t>
      </w:r>
      <w:r>
        <w:rPr>
          <w:sz w:val="21"/>
        </w:rPr>
        <w:t xml:space="preserve"> — spustitelné skripty pro zátěžové simulace s mock AI providerem. Simulace ověřují auth flow, upload fotografií, frontu analýz a worker drain bez závislosti na externím AI API. Výsledky simulace jsou základem pro kapacitní odhad před ostrým pilotem.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9. Simulace a ověřování</w:t>
      </w:r>
    </w:p>
    <w:p>
      <w:pPr>
        <w:pStyle w:val="Heading3"/>
      </w:pPr>
      <w:r>
        <w:t>Proč jsou simulace nutné</w:t>
      </w:r>
    </w:p>
    <w:p>
      <w:r>
        <w:rPr>
          <w:sz w:val="21"/>
        </w:rPr>
        <w:t>Stability a performance claims bez měření jsou pouze předpoklady. Projekt to reflektuje: každý nový subsystém je doprovázen integračními testy, každý provozní drill má spustitelný skript, každý release je verzován a zdokumentován.</w:t>
      </w:r>
    </w:p>
    <w:p>
      <w:pPr>
        <w:pStyle w:val="Heading3"/>
      </w:pPr>
      <w:r>
        <w:t>Co je pokryto simulacemi a testy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Worker queue atomicita</w:t>
      </w:r>
      <w:r>
        <w:rPr>
          <w:sz w:val="21"/>
        </w:rPr>
        <w:t xml:space="preserve"> — testy ověřují, že Lua skripty správně hlídají kapacitu, ownership leasu a atomicitu ACK/DLQ přechodů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Retry backoff</w:t>
      </w:r>
      <w:r>
        <w:rPr>
          <w:sz w:val="21"/>
        </w:rPr>
        <w:t xml:space="preserve"> — deterministický jitter je testován pro různá kombinace job ID a čísla pokusu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Account throttle</w:t>
      </w:r>
      <w:r>
        <w:rPr>
          <w:sz w:val="21"/>
        </w:rPr>
        <w:t xml:space="preserve"> — testy ověřují fail-closed chování při výpadku Redisu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Backpressure</w:t>
      </w:r>
      <w:r>
        <w:rPr>
          <w:sz w:val="21"/>
        </w:rPr>
        <w:t xml:space="preserve"> — testy ověřují, že priority routing a kapacitní limity fungují pod kombinovanou zátěží obou worker lanes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Tenant izolace</w:t>
      </w:r>
      <w:r>
        <w:rPr>
          <w:sz w:val="21"/>
        </w:rPr>
        <w:t xml:space="preserve"> — testy ověřují, že dotazy přes tenant boundary vrátí 404, nikoli data jiného tenanta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Worker startup reconciliation</w:t>
      </w:r>
      <w:r>
        <w:rPr>
          <w:sz w:val="21"/>
        </w:rPr>
        <w:t xml:space="preserve"> — testy ověřují čistění orphaned záznamu po restartu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Operační resilience drill</w:t>
      </w:r>
      <w:r>
        <w:rPr>
          <w:sz w:val="21"/>
        </w:rPr>
        <w:t xml:space="preserve"> — scénáře zahrnující restart Redisu, crash workeru, spike DB connections a storage zpomalení</w:t>
      </w:r>
    </w:p>
    <w:p>
      <w:pPr>
        <w:pStyle w:val="Heading3"/>
      </w:pPr>
      <w:r>
        <w:t>Kde jsou limity testů</w:t>
      </w:r>
    </w:p>
    <w:p>
      <w:r>
        <w:rPr>
          <w:sz w:val="21"/>
        </w:rPr>
        <w:t>Integrační testy běží s mock AI providerem — nepokrývají latenci a chybovost reálného AI API. Zátěžové testy s mock providerem dávají kapacitní odhad pro "ideální" podmínky. Reálná kapacita s Claude API nebo jiným externím providerem bude nutně nižší. Tento rozdíl je nutné změřit v pilotu.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10. Škálování pro 100k+ využití</w:t>
      </w:r>
    </w:p>
    <w:p>
      <w:pPr>
        <w:pStyle w:val="Heading3"/>
      </w:pPr>
      <w:r>
        <w:t>Výhled a podmínky růstu</w:t>
      </w:r>
    </w:p>
    <w:p>
      <w:r>
        <w:rPr>
          <w:sz w:val="21"/>
        </w:rPr>
        <w:t>Architektura NOVU Builderu byla navržena s vědomím budoucího škálování, ale aktuální verze je dimenzována pro pilotní a raný produkční provoz. Níže jsou podmínky, které musí být splněny pro škálování k 100k+ využití (100k analýz/měsíc nebo 100k+ aktivních tenantů).</w:t>
      </w:r>
    </w:p>
    <w:p>
      <w:pPr>
        <w:pStyle w:val="Heading3"/>
      </w:pPr>
      <w:r>
        <w:t>Architektonické předpoklady pro škálování</w:t>
      </w:r>
    </w:p>
    <w:p>
      <w:r>
        <w:rPr>
          <w:b/>
          <w:color w:val="1A1A2E"/>
          <w:sz w:val="21"/>
        </w:rPr>
        <w:t>Horizontální škálování API:</w:t>
      </w:r>
      <w:r>
        <w:rPr>
          <w:sz w:val="21"/>
        </w:rPr>
        <w:t xml:space="preserve"> FastAPI backend je stateless (session state je v Redisu a DB) — přidání dalších API instancí za load balancer je přímočaré. Vyžaduje: Redis cluster nebo Redis Sentinel pro HA, připojení všech instancí ke sdílenému Redis (account throttle je fail-closed, ne per-instance).</w:t>
      </w:r>
    </w:p>
    <w:p>
      <w:r>
        <w:rPr>
          <w:b/>
          <w:color w:val="1A1A2E"/>
          <w:sz w:val="21"/>
        </w:rPr>
        <w:t>Horizontální škálování workerů:</w:t>
      </w:r>
      <w:r>
        <w:rPr>
          <w:sz w:val="21"/>
        </w:rPr>
        <w:t xml:space="preserve"> Worker process je navržen jako stateless runner — přidání dalších worker instancí zvyšuje propustnost fronty lineárně. Vyžaduje: koordinaci </w:t>
      </w:r>
      <w:r>
        <w:rPr>
          <w:rFonts w:ascii="Courier New" w:hAnsi="Courier New"/>
          <w:color w:val="C7254E"/>
          <w:sz w:val="19"/>
        </w:rPr>
        <w:t>BACKPRESSURE_MAX_CONCURRENT_JOBS</w:t>
      </w:r>
      <w:r>
        <w:rPr>
          <w:sz w:val="21"/>
        </w:rPr>
        <w:t xml:space="preserve"> s celkovým počtem slotů, monitoring lease reaperu na každé instanci.</w:t>
      </w:r>
    </w:p>
    <w:p>
      <w:r>
        <w:rPr>
          <w:b/>
          <w:color w:val="1A1A2E"/>
          <w:sz w:val="21"/>
        </w:rPr>
        <w:t>Databáze:</w:t>
      </w:r>
      <w:r>
        <w:rPr>
          <w:sz w:val="21"/>
        </w:rPr>
        <w:t xml:space="preserve"> Aktuální architektura předpokládá jednu primární PostgreSQL instanci. Pro 100k+ využití je nutné zvážit: read replicas pro čtecí dotazy (katalog, projekty), connection pooling přes PgBouncer, případně sharding tenantů na více instancí. Toto je zásadní architektonická práce, která je v aktuální verzi nepřítomna.</w:t>
      </w:r>
    </w:p>
    <w:p>
      <w:r>
        <w:rPr>
          <w:b/>
          <w:color w:val="1A1A2E"/>
          <w:sz w:val="21"/>
        </w:rPr>
        <w:t>Redis:</w:t>
      </w:r>
      <w:r>
        <w:rPr>
          <w:sz w:val="21"/>
        </w:rPr>
        <w:t xml:space="preserve"> Pro velký počet tenantů s aktivním cacheováním katalogů a session dat poroste paměťová náročnost Redisu. Nutno monitorovat a případně přejít na Redis Cluster.</w:t>
      </w:r>
    </w:p>
    <w:p>
      <w:r>
        <w:rPr>
          <w:b/>
          <w:color w:val="1A1A2E"/>
          <w:sz w:val="21"/>
        </w:rPr>
        <w:t>AI provider kapacita:</w:t>
      </w:r>
      <w:r>
        <w:rPr>
          <w:sz w:val="21"/>
        </w:rPr>
        <w:t xml:space="preserve"> Škálování analytické propustnosti je přímo závislé na kapacitě AI API (rate limits, concurrent requests). Při 100k analýzách/měsíc (~140/hodinu průměr, ale zátěž je nerovnoměrná) je nutné mít sjednané dedikované limity s providerem nebo distribuovat zátěž přes více API klíčů.</w:t>
      </w:r>
    </w:p>
    <w:p>
      <w:pPr>
        <w:pStyle w:val="Heading3"/>
      </w:pPr>
      <w:r>
        <w:t>Provozní disciplína pro škálování</w:t>
      </w:r>
    </w:p>
    <w:p>
      <w:r>
        <w:rPr>
          <w:sz w:val="21"/>
        </w:rPr>
        <w:t>Škálování nestojí jen na infrastruktuře. Podmínky na provozní úrovni: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Observabilita:</w:t>
      </w:r>
      <w:r>
        <w:rPr>
          <w:sz w:val="21"/>
        </w:rPr>
        <w:t xml:space="preserve"> Prometheus metriky jsou implementovány; pro 100k+ využití je nutné mít dashboardy s alertingem na backpressure, worker queue hloubku, error rate a latenci AI API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Sentry traces:</w:t>
      </w:r>
      <w:r>
        <w:rPr>
          <w:sz w:val="21"/>
        </w:rPr>
        <w:t xml:space="preserve"> Aktuálně na 0 % sampling — pro škálování nutno zapnout (doporučeno 5 % pro pilot, 1–2 % pro produkci)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Kapacitní testy před každou fází růstu:</w:t>
      </w:r>
      <w:r>
        <w:rPr>
          <w:sz w:val="21"/>
        </w:rPr>
        <w:t xml:space="preserve"> Nelze škálovat bez změřené základny; každý 10× nárůst počtu tenantů nebo analýz vyžaduje ověření simulací</w:t>
      </w:r>
    </w:p>
    <w:p>
      <w:pPr>
        <w:pStyle w:val="ListBullet"/>
        <w:spacing w:after="60"/>
        <w:ind w:left="340"/>
      </w:pPr>
      <w:r>
        <w:rPr>
          <w:b/>
          <w:color w:val="1A1A2E"/>
          <w:sz w:val="21"/>
        </w:rPr>
        <w:t>Migrační disciplína:</w:t>
      </w:r>
      <w:r>
        <w:rPr>
          <w:sz w:val="21"/>
        </w:rPr>
        <w:t xml:space="preserve"> 40 migrací proběhlo bez incidentu; pro 100k+ je nutné mít rollback plán pro každou migraci a testovat ji na produkční kopii dat</w:t>
      </w:r>
    </w:p>
    <w:p>
      <w:pPr>
        <w:pStyle w:val="Heading3"/>
      </w:pPr>
      <w:r>
        <w:t>Co není v současné verzi a je nutné pro 100k+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F3F7F"/>
          </w:tcPr>
          <w:p>
            <w:r>
              <w:rPr>
                <w:b/>
                <w:color w:val="FFFFFF"/>
                <w:sz w:val="20"/>
              </w:rPr>
              <w:t>Oblast</w:t>
            </w:r>
          </w:p>
        </w:tc>
        <w:tc>
          <w:tcPr>
            <w:tcW w:type="dxa" w:w="2880"/>
            <w:shd w:val="clear" w:color="auto" w:fill="0F3F7F"/>
          </w:tcPr>
          <w:p>
            <w:r>
              <w:rPr>
                <w:b/>
                <w:color w:val="FFFFFF"/>
                <w:sz w:val="20"/>
              </w:rPr>
              <w:t>Aktuální stav</w:t>
            </w:r>
          </w:p>
        </w:tc>
        <w:tc>
          <w:tcPr>
            <w:tcW w:type="dxa" w:w="2880"/>
            <w:shd w:val="clear" w:color="auto" w:fill="0F3F7F"/>
          </w:tcPr>
          <w:p>
            <w:r>
              <w:rPr>
                <w:b/>
                <w:color w:val="FFFFFF"/>
                <w:sz w:val="20"/>
              </w:rPr>
              <w:t>Co je potřeba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555555"/>
                <w:sz w:val="21"/>
              </w:rPr>
              <w:t>DB HA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55"/>
                <w:sz w:val="21"/>
              </w:rPr>
              <w:t>Jednoduchá instance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55"/>
                <w:sz w:val="21"/>
              </w:rPr>
              <w:t>Read replicas, PgBouncer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>
              <w:rPr>
                <w:color w:val="555555"/>
                <w:sz w:val="21"/>
              </w:rPr>
              <w:t>Redis HA</w:t>
            </w:r>
          </w:p>
        </w:tc>
        <w:tc>
          <w:tcPr>
            <w:tcW w:type="dxa" w:w="2880"/>
            <w:shd w:val="clear" w:color="auto" w:fill="F4F6FA"/>
          </w:tcPr>
          <w:p>
            <w:r>
              <w:rPr>
                <w:color w:val="555555"/>
                <w:sz w:val="21"/>
              </w:rPr>
              <w:t>Standalone</w:t>
            </w:r>
          </w:p>
        </w:tc>
        <w:tc>
          <w:tcPr>
            <w:tcW w:type="dxa" w:w="2880"/>
            <w:shd w:val="clear" w:color="auto" w:fill="F4F6FA"/>
          </w:tcPr>
          <w:p>
            <w:r>
              <w:rPr>
                <w:color w:val="555555"/>
                <w:sz w:val="21"/>
              </w:rPr>
              <w:t>Redis Sentinel nebo Cluster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555555"/>
                <w:sz w:val="21"/>
              </w:rPr>
              <w:t>Worker koordinace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55"/>
                <w:sz w:val="21"/>
              </w:rPr>
              <w:t>Jednoduchý runner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55"/>
                <w:sz w:val="21"/>
              </w:rPr>
              <w:t>Distribuovaná správa workerů</w:t>
            </w:r>
          </w:p>
        </w:tc>
      </w:tr>
      <w:tr>
        <w:tc>
          <w:tcPr>
            <w:tcW w:type="dxa" w:w="2880"/>
            <w:shd w:val="clear" w:color="auto" w:fill="F4F6FA"/>
          </w:tcPr>
          <w:p>
            <w:r>
              <w:rPr>
                <w:color w:val="555555"/>
                <w:sz w:val="21"/>
              </w:rPr>
              <w:t>AI provider rate limits</w:t>
            </w:r>
          </w:p>
        </w:tc>
        <w:tc>
          <w:tcPr>
            <w:tcW w:type="dxa" w:w="2880"/>
            <w:shd w:val="clear" w:color="auto" w:fill="F4F6FA"/>
          </w:tcPr>
          <w:p>
            <w:r>
              <w:rPr>
                <w:color w:val="555555"/>
                <w:sz w:val="21"/>
              </w:rPr>
              <w:t>Bez dedikované smlouvy</w:t>
            </w:r>
          </w:p>
        </w:tc>
        <w:tc>
          <w:tcPr>
            <w:tcW w:type="dxa" w:w="2880"/>
            <w:shd w:val="clear" w:color="auto" w:fill="F4F6FA"/>
          </w:tcPr>
          <w:p>
            <w:r>
              <w:rPr>
                <w:color w:val="555555"/>
                <w:sz w:val="21"/>
              </w:rPr>
              <w:t>Sjednané API limity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555555"/>
                <w:sz w:val="21"/>
              </w:rPr>
              <w:t>Monitoring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55"/>
                <w:sz w:val="21"/>
              </w:rPr>
              <w:t>Metriky implementovány, traces vypnuty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555555"/>
                <w:sz w:val="21"/>
              </w:rPr>
              <w:t>Plný observability stack</w:t>
            </w:r>
          </w:p>
        </w:tc>
      </w:tr>
    </w:tbl>
    <w:p/>
    <w:p>
      <w:r>
        <w:rPr>
          <w:sz w:val="21"/>
        </w:rPr>
        <w:t>Tyto body nejsou nedostatky současné verze — jsou to předvídatelné kroky při řízené cestě od pilotu k plné produkci.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Executive Summary</w:t>
      </w:r>
    </w:p>
    <w:p>
      <w:r>
        <w:rPr>
          <w:sz w:val="21"/>
        </w:rPr>
        <w:t>NOVU Builder je backendový systém pro automatizaci stavebních cenových nabídek na bázi AI analýzy fotografií a katalogem řízené kalkulace. Systém propojuje mobilní sběr terénních dat, strukturovanou AI pipeline (detekce → extrakce → mapování na katalog 43 prací) a řízené zpracování pro kancelářský výstup.</w:t>
      </w:r>
    </w:p>
    <w:p>
      <w:r>
        <w:rPr>
          <w:sz w:val="21"/>
        </w:rPr>
        <w:t>Architektura je navržena pro multi-tenant SaaS provoz s důrazem na deterministické zpracování, auditovatelnost a kontrolované chování při selhání. Klíčové principy: fail-closed bezpečnost (žádné tiché degradace), atomické queue operace přes Redis Lua skripty, lease-based worker model s garbage collection, a backpressure subsystém zabraňující přetěžování systému.</w:t>
      </w:r>
    </w:p>
    <w:p>
      <w:r>
        <w:rPr>
          <w:sz w:val="21"/>
        </w:rPr>
        <w:t>Projekt je ve verzi v0.7.001 s 40 databázovými migracemi, třemi formálními bezpečnostními audity a sadou provozních rehearsal skriptů. Před pilotním nasazením zbývá uzavřít 5 identifikovaných P0 rizik (odhad ~6 hodin práce). Kapacitní čísla pro produkční provoz jsou závislá na měření v pilotu — projekt pro tento účel obsahuje zátěžové testovací nástroje.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Investiční / partnerská verze</w:t>
      </w:r>
    </w:p>
    <w:p>
      <w:r>
        <w:rPr>
          <w:sz w:val="21"/>
        </w:rPr>
        <w:t>NOVU Builder řeší konkrétní a opakovaný problém ve stavebnictví: generování cenových nabídek je dnes ruční, pomalé a závislé na jednotlivci. Systém automatizuje tento tok od terénní fotodokumentace po strukturovaný návrh nabídky s katalogem 43 prací a AI pipeline. Jde o multi-tenant SaaS s architekturou navrženou pro řízený provoz, nikoliv o demo. Tři formální audity za poslední týden ukázaly, že tým aktivně identifikuje a řeší provozní rizika místo jejich ignorování. Před pilotem zbývá uzavřít dokumentovaná P0 rizika — všechna jsou identifikována, rozsah i oprava jsou jasné. Kapacitní odhady pro produkci budou ověřeny pilotem s měřením, ne přijaty jako axiom. Škálování k 100k+ využití vyžaduje databázovou HA, Redis cluster a sjednané AI API limity — tyto kroky jsou identifikované a nepředstavují architektonické překvápení. Systém je připraven na pilotní nasazení s prvními reálnými tenanty jako základ pro validaci obchodní hodnoty i technické kapacity.</w:t>
      </w:r>
    </w:p>
    <w:p>
      <w:pPr>
        <w:spacing w:before="40" w:after="40"/>
        <w:pBdr>
          <w:bottom w:val="single" w:sz="6" w:space="1" w:color="0F3F7F"/>
        </w:pBdr>
      </w:pPr>
    </w:p>
    <w:p>
      <w:pPr>
        <w:pStyle w:val="Heading2"/>
      </w:pPr>
      <w:r>
        <w:t>Tvrzení vyžadující ověření pilotem nebo měřením</w:t>
      </w:r>
    </w:p>
    <w:p>
      <w:r>
        <w:rPr>
          <w:sz w:val="21"/>
        </w:rPr>
        <w:t>Následující body jsou architektonické předpoklady nebo odhadnuté hodnoty, které nesmí být prezentovány jako fakta bez naměřených dat: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Průměrná doba analýzy</w:t>
      </w:r>
      <w:r>
        <w:rPr>
          <w:sz w:val="21"/>
        </w:rPr>
        <w:t xml:space="preserve"> — závisí na AI providerovi, složitosti fotografií a počtu workerů; nutno změřit v pilotu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Propustnost analýz/hodinu</w:t>
      </w:r>
      <w:r>
        <w:rPr>
          <w:sz w:val="21"/>
        </w:rPr>
        <w:t xml:space="preserve"> — teoretický výpočet ze slotů a latence; reálné číslo bude nižší kvůli overhead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Per-tenant limit simultánních analýz</w:t>
      </w:r>
      <w:r>
        <w:rPr>
          <w:sz w:val="21"/>
        </w:rPr>
        <w:t xml:space="preserve"> — konfigurovatelný parametr; výchozí hodnotu a chování při překročení ověřit v kódu a zdokumentovat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Kapacita tenant base bez degradace výkonu</w:t>
      </w:r>
      <w:r>
        <w:rPr>
          <w:sz w:val="21"/>
        </w:rPr>
        <w:t xml:space="preserve"> — závisí na DB, Redis a storage výkonu; nutno změřit zátěžovým testem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Přesnost AI detekce na reálných datech</w:t>
      </w:r>
      <w:r>
        <w:rPr>
          <w:sz w:val="21"/>
        </w:rPr>
        <w:t xml:space="preserve"> — testovací data nereprezentují plně terénní podmínky; nutno ověřit na vzorku pilotních zakázek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Chybovost AI pipeline</w:t>
      </w:r>
      <w:r>
        <w:rPr>
          <w:sz w:val="21"/>
        </w:rPr>
        <w:t xml:space="preserve"> — počet analýz s validačními varováními nebo nerozpoznaným typem práce je dosud neznámý na reálných datech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Čas onboardingu nového tenanta</w:t>
      </w:r>
      <w:r>
        <w:rPr>
          <w:sz w:val="21"/>
        </w:rPr>
        <w:t xml:space="preserve"> — od registrace po první odeslanou nabídku; nutno projít s reálným uživatelem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Stabilita worker procesu při 24/7 provozu</w:t>
      </w:r>
      <w:r>
        <w:rPr>
          <w:sz w:val="21"/>
        </w:rPr>
        <w:t xml:space="preserve"> — krátkodobé testy nezachytí paměťové úniky nebo postupnou degradaci; nutno ověřit v pilotu minimálně 7 dnů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Redis paměťová náročnost při 50+ aktivních tenantech</w:t>
      </w:r>
      <w:r>
        <w:rPr>
          <w:sz w:val="21"/>
        </w:rPr>
        <w:t xml:space="preserve"> — závisí na cache TTL a intenzitě přístupu; nutno profilovat</w:t>
      </w:r>
    </w:p>
    <w:p>
      <w:pPr>
        <w:pStyle w:val="ListNumber"/>
        <w:spacing w:after="60"/>
        <w:ind w:left="340"/>
      </w:pPr>
      <w:r>
        <w:rPr>
          <w:b/>
          <w:color w:val="1A1A2E"/>
          <w:sz w:val="21"/>
        </w:rPr>
        <w:t>DB query latence při 10k+ projektech v jednom tenantovi</w:t>
      </w:r>
      <w:r>
        <w:rPr>
          <w:sz w:val="21"/>
        </w:rPr>
        <w:t xml:space="preserve"> — indexy jsou přítomny, ale mezní výkon není změřen</w:t>
      </w:r>
    </w:p>
    <w:p>
      <w:pPr>
        <w:spacing w:before="40" w:after="40"/>
        <w:pBdr>
          <w:bottom w:val="single" w:sz="6" w:space="1" w:color="0F3F7F"/>
        </w:pBdr>
      </w:pPr>
    </w:p>
    <w:p>
      <w:r>
        <w:rPr>
          <w:i/>
          <w:color w:val="888888"/>
          <w:sz w:val="18"/>
        </w:rPr>
        <w:t>Dokument vychází výhradně z analýzy kódu, databázových migrací a auditních zpráv projektu NOVU Builder v0.7.001. Nepracuje s externími zdroji ani předpoklady mimo kódovou základnu.</w:t>
      </w:r>
    </w:p>
    <w:p>
      <w:r>
        <w:rPr>
          <w:i/>
          <w:color w:val="888888"/>
          <w:sz w:val="18"/>
        </w:rPr>
        <w:t>Připraveno: 2. dubna 2026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>NOVU Builder  ·  Prezentační dokument  ·  v0.7.001  ·  2. dubna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5555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3F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