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 w:line="240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9"/>
          <w:lang w:val="zh-CN" w:eastAsia="zh-CN" w:bidi="en-US"/>
        </w:rPr>
        <w:t>曾柏炜</w:t>
      </w:r>
    </w:p>
    <w:p>
      <w:pPr>
        <w:spacing w:before="0" w:after="10" w:line="240" w:lineRule="auto"/>
        <w:jc w:val="center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18"/>
          <w:lang w:val="zh-CN" w:eastAsia="zh-CN" w:bidi="en-US"/>
        </w:rPr>
        <w:t>☎  18859272673    ✉  zbw20@tsinghua.org.cn    ⌖  深圳</w:t>
      </w:r>
    </w:p>
    <w:p>
      <w:pPr>
        <w:spacing w:before="0" w:after="10" w:line="240" w:lineRule="auto"/>
        <w:jc w:val="center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18"/>
          <w:lang w:val="zh-CN" w:eastAsia="zh-CN" w:bidi="en-US"/>
        </w:rPr>
        <w:t>▣  29岁    ♂  男    ⌂  福建 莆田    ◇  汉族</w:t>
      </w:r>
    </w:p>
    <w:p>
      <w:pPr>
        <w:spacing w:before="0" w:after="140" w:line="240" w:lineRule="auto"/>
        <w:jc w:val="center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17"/>
          <w:lang w:val="zh-CN" w:eastAsia="zh-CN" w:bidi="en-US"/>
        </w:rPr>
        <w:t>♙  大模型训练推理 Infra 高级工程师    ▣  SFT/RLVR/Agentic RL/长上下文/在线蒸馏</w:t>
      </w:r>
    </w:p>
    <w:p>
      <w:pPr>
        <w:keepNext/>
        <w:spacing w:before="0" w:after="24" w:line="240" w:lineRule="auto"/>
        <w:pBdr>
          <w:bottom w:val="single" w:sz="7" w:space="1" w:color="000000"/>
        </w:pBdr>
      </w:pPr>
      <w:r>
        <w:rPr>
          <w:rFonts w:ascii="Arial Unicode MS" w:hAnsi="Arial Unicode MS" w:eastAsia="Arial Unicode MS" w:cs="Arial Unicode MS"/>
          <w:b/>
          <w:i w:val="0"/>
          <w:color w:val="000000"/>
          <w:sz w:val="23"/>
          <w:lang w:val="zh-CN" w:eastAsia="zh-CN" w:bidi="en-US"/>
        </w:rPr>
        <w:t>教育经历</w:t>
      </w:r>
    </w:p>
    <w:p>
      <w:pPr>
        <w:keepNext/>
        <w:tabs>
          <w:tab w:pos="10411" w:val="right"/>
        </w:tabs>
        <w:spacing w:before="0" w:after="4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8"/>
          <w:lang w:val="zh-CN" w:eastAsia="zh-CN" w:bidi="en-US"/>
        </w:rPr>
        <w:t>清华大学 电子信息 工学硕士 人工智能方向</w:t>
      </w:r>
      <w:r>
        <w:rPr>
          <w:rFonts w:ascii="Arial Unicode MS" w:hAnsi="Arial Unicode MS" w:eastAsia="Arial Unicode MS" w:cs="Arial Unicode MS"/>
          <w:b w:val="0"/>
          <w:i w:val="0"/>
          <w:color w:val="4B83F5"/>
          <w:sz w:val="16"/>
          <w:lang w:val="zh-CN" w:eastAsia="zh-CN" w:bidi="en-US"/>
          <w:shd w:val="clear" w:color="auto" w:fill="EAF2FF"/>
        </w:rPr>
        <w:t xml:space="preserve"> 985 </w:t>
      </w:r>
      <w:r>
        <w:rPr>
          <w:rFonts w:ascii="Arial Unicode MS" w:hAnsi="Arial Unicode MS" w:eastAsia="Arial Unicode MS" w:cs="Arial Unicode MS"/>
          <w:b w:val="0"/>
          <w:i w:val="0"/>
          <w:color w:val="4B83F5"/>
          <w:sz w:val="16"/>
          <w:lang w:val="zh-CN" w:eastAsia="zh-CN" w:bidi="en-US"/>
          <w:shd w:val="clear" w:color="auto" w:fill="EAF2FF"/>
        </w:rPr>
        <w:t xml:space="preserve"> 211 </w:t>
      </w:r>
      <w:r>
        <w:rPr>
          <w:rFonts w:ascii="Arial Unicode MS" w:hAnsi="Arial Unicode MS" w:eastAsia="Arial Unicode MS" w:cs="Arial Unicode MS"/>
          <w:b w:val="0"/>
          <w:i w:val="0"/>
          <w:color w:val="4B83F5"/>
          <w:sz w:val="16"/>
          <w:lang w:val="zh-CN" w:eastAsia="zh-CN" w:bidi="en-US"/>
          <w:shd w:val="clear" w:color="auto" w:fill="EAF2FF"/>
        </w:rPr>
        <w:t xml:space="preserve"> 双一流 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7"/>
          <w:lang w:val="zh-CN" w:eastAsia="zh-CN" w:bidi="en-US"/>
        </w:rPr>
        <w:tab/>
        <w:t>2020年09月 - 2023年06月</w:t>
      </w:r>
    </w:p>
    <w:p>
      <w:pPr>
        <w:spacing w:before="0" w:after="4" w:line="240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荣誉：2022年清华大学 校级一等奖学金（专业仅一人获得）</w:t>
      </w:r>
    </w:p>
    <w:p>
      <w:pPr>
        <w:keepNext w:val="0"/>
        <w:tabs>
          <w:tab w:pos="10411" w:val="right"/>
        </w:tabs>
        <w:spacing w:before="0" w:after="4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8"/>
          <w:lang w:val="zh-CN" w:eastAsia="zh-CN" w:bidi="en-US"/>
        </w:rPr>
        <w:t>厦门大学 电气工程及其自动化 工学学士</w:t>
      </w:r>
      <w:r>
        <w:rPr>
          <w:rFonts w:ascii="Arial Unicode MS" w:hAnsi="Arial Unicode MS" w:eastAsia="Arial Unicode MS" w:cs="Arial Unicode MS"/>
          <w:b w:val="0"/>
          <w:i w:val="0"/>
          <w:color w:val="4B83F5"/>
          <w:sz w:val="16"/>
          <w:lang w:val="zh-CN" w:eastAsia="zh-CN" w:bidi="en-US"/>
          <w:shd w:val="clear" w:color="auto" w:fill="EAF2FF"/>
        </w:rPr>
        <w:t xml:space="preserve"> 985 </w:t>
      </w:r>
      <w:r>
        <w:rPr>
          <w:rFonts w:ascii="Arial Unicode MS" w:hAnsi="Arial Unicode MS" w:eastAsia="Arial Unicode MS" w:cs="Arial Unicode MS"/>
          <w:b w:val="0"/>
          <w:i w:val="0"/>
          <w:color w:val="4B83F5"/>
          <w:sz w:val="16"/>
          <w:lang w:val="zh-CN" w:eastAsia="zh-CN" w:bidi="en-US"/>
          <w:shd w:val="clear" w:color="auto" w:fill="EAF2FF"/>
        </w:rPr>
        <w:t xml:space="preserve"> 211 </w:t>
      </w:r>
      <w:r>
        <w:rPr>
          <w:rFonts w:ascii="Arial Unicode MS" w:hAnsi="Arial Unicode MS" w:eastAsia="Arial Unicode MS" w:cs="Arial Unicode MS"/>
          <w:b w:val="0"/>
          <w:i w:val="0"/>
          <w:color w:val="4B83F5"/>
          <w:sz w:val="16"/>
          <w:lang w:val="zh-CN" w:eastAsia="zh-CN" w:bidi="en-US"/>
          <w:shd w:val="clear" w:color="auto" w:fill="EAF2FF"/>
        </w:rPr>
        <w:t xml:space="preserve"> 双一流 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7"/>
          <w:lang w:val="zh-CN" w:eastAsia="zh-CN" w:bidi="en-US"/>
        </w:rPr>
        <w:tab/>
        <w:t>2015年09月 - 2019年06月</w:t>
      </w:r>
    </w:p>
    <w:p>
      <w:pPr>
        <w:keepNext/>
        <w:spacing w:before="60" w:after="24" w:line="240" w:lineRule="auto"/>
        <w:pBdr>
          <w:bottom w:val="single" w:sz="7" w:space="1" w:color="000000"/>
        </w:pBdr>
      </w:pPr>
      <w:r>
        <w:rPr>
          <w:rFonts w:ascii="Arial Unicode MS" w:hAnsi="Arial Unicode MS" w:eastAsia="Arial Unicode MS" w:cs="Arial Unicode MS"/>
          <w:b/>
          <w:i w:val="0"/>
          <w:color w:val="000000"/>
          <w:sz w:val="23"/>
          <w:lang w:val="zh-CN" w:eastAsia="zh-CN" w:bidi="en-US"/>
        </w:rPr>
        <w:t>工作技能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模型训练：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了解Megatron 5D并行与显存优化机制，了解ZeRO优化原理与FSDP分片策略，熟悉AReaL跨引擎权重同步机制。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大模型后训练：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SFT、RLVR、Agentic RL、PPO/GRPO/DAPO、On-Policy Distillation/MOPD。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训练/推理框架：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PyTorch、Megatron-Core、VeRL、AReaL、vLLM、SGLang、Ray、MindSpeed、DeepSpeed。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性能优化：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fully-async policy、MoE、packed sequence、recompute/offload、CUDA Graph、XCCL/NCCL、MFU、显存建模、通信重叠、tracing、checkpoint/recovery。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工程能力：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Python、C++、Shell、Linux、Git；多机 GPU 与昇腾集群部署、性能分析及生产故障定位；英语 CET-6。</w:t>
      </w:r>
    </w:p>
    <w:p>
      <w:pPr>
        <w:keepNext/>
        <w:spacing w:before="64" w:after="24" w:line="240" w:lineRule="auto"/>
        <w:pBdr>
          <w:bottom w:val="single" w:sz="7" w:space="1" w:color="000000"/>
        </w:pBdr>
      </w:pPr>
      <w:r>
        <w:rPr>
          <w:rFonts w:ascii="Arial Unicode MS" w:hAnsi="Arial Unicode MS" w:eastAsia="Arial Unicode MS" w:cs="Arial Unicode MS"/>
          <w:b/>
          <w:i w:val="0"/>
          <w:color w:val="000000"/>
          <w:sz w:val="23"/>
          <w:lang w:val="zh-CN" w:eastAsia="zh-CN" w:bidi="en-US"/>
        </w:rPr>
        <w:t>工作经历</w:t>
      </w:r>
    </w:p>
    <w:p>
      <w:pPr>
        <w:keepNext/>
        <w:tabs>
          <w:tab w:pos="10411" w:val="right"/>
        </w:tabs>
        <w:spacing w:before="0" w:after="6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8"/>
          <w:lang w:val="zh-CN" w:eastAsia="zh-CN" w:bidi="en-US"/>
        </w:rPr>
        <w:t>小鹏机器人-大模型训练推理Infra高级工程师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7"/>
          <w:lang w:val="zh-CN" w:eastAsia="zh-CN" w:bidi="en-US"/>
        </w:rPr>
        <w:tab/>
        <w:t>2025年11月 - 至今</w:t>
      </w:r>
    </w:p>
    <w:p>
      <w:pPr>
        <w:keepLines/>
        <w:spacing w:before="0" w:after="5" w:line="240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核心方向：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面向General/Math/Code等训练任务，负责基于VeRL、Megatron-Core和AReaL的训练推理Infra建设，主攻Qwen3/Qwen3.5 dense/MoE、32K-256K长上下文及多轮Agentic RL，覆盖SFT、RLVR与vLLM/SGLang rollout。</w:t>
      </w:r>
    </w:p>
    <w:p>
      <w:pPr>
        <w:keepLines/>
        <w:spacing w:before="0" w:after="5" w:line="240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工程交付：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交付Qwen3.5-35B-A3B 128K online RL基线、35B-MoE 256K及27B 128K/256K SFT checkpoint，沉淀多机GPU部署、MFU/吞吐看板与故障恢复能力。</w:t>
      </w:r>
    </w:p>
    <w:p>
      <w:pPr>
        <w:keepLines/>
        <w:spacing w:before="0" w:after="5" w:line="240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性能收益：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Qwen3.5-9B SFT单步由31s降至9.3s（3.3x），MFU由23%提升至29.6%；fully async RLVR代表性稳态吞吐由76提升至211-255 tokens/s/GPU。</w:t>
      </w:r>
    </w:p>
    <w:p>
      <w:pPr>
        <w:keepLines/>
        <w:spacing w:before="0" w:after="5" w:line="240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模型效果：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采用TMax-27B单Teacher时Terminal/SWE分别提升7.9pp/7.0pp；进一步验证双Teacher MOPD在SWE、Terminal取得双域提升，且General评测性能不下降。</w:t>
      </w:r>
    </w:p>
    <w:p>
      <w:pPr>
        <w:keepNext/>
        <w:tabs>
          <w:tab w:pos="10411" w:val="right"/>
        </w:tabs>
        <w:spacing w:before="0" w:after="6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8"/>
          <w:lang w:val="zh-CN" w:eastAsia="zh-CN" w:bidi="en-US"/>
        </w:rPr>
        <w:t>华为-计算产品线-昇腾计算-AI训练优化工程师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7"/>
          <w:lang w:val="zh-CN" w:eastAsia="zh-CN" w:bidi="en-US"/>
        </w:rPr>
        <w:tab/>
        <w:t>2023年07月 - 2025年11月</w:t>
      </w:r>
    </w:p>
    <w:p>
      <w:pPr>
        <w:keepLines/>
        <w:spacing w:before="0" w:after="5" w:line="240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项目管理：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TX项目训练负责人，端到端负责客户训练解决方案设计和项目落地，包括TX项目TEG平台、PCG、CSIG、AI LAB、网平五个部门昇腾训练需求洞察、解决方案设计和保障客户训练业务长稳运行，带领团队4-5人。</w:t>
      </w:r>
    </w:p>
    <w:p>
      <w:pPr>
        <w:keepLines/>
        <w:spacing w:before="0" w:after="5" w:line="240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模型需求：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对齐客户需求，完成模型适配、精度对齐、性能优化到xx倍竞品，及现场POC演示产品功能性能。</w:t>
      </w:r>
    </w:p>
    <w:p>
      <w:pPr>
        <w:keepLines/>
        <w:spacing w:before="0" w:after="5" w:line="240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现网问题：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识别需求和风险，协调人力快速闭环问题，推动问题解决，以及赋能客户学会昇腾。</w:t>
      </w:r>
    </w:p>
    <w:p>
      <w:pPr>
        <w:keepLines/>
        <w:spacing w:before="0" w:after="5" w:line="240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模型经历：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HunyuanVideo、HunyuanDiT、星火MoE、星火图文系列、OpenSoraPlan等。</w:t>
      </w:r>
    </w:p>
    <w:p>
      <w:pPr>
        <w:keepLines/>
        <w:spacing w:before="0" w:after="5" w:line="240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工作成果：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xx局点xxB-MOE模型在x千卡集群长稳训练两个月、xx局点x万卡集群顺利交付和业务正常运行、xx推荐推理首单。</w:t>
      </w:r>
    </w:p>
    <w:p>
      <w:pPr>
        <w:keepNext/>
        <w:tabs>
          <w:tab w:pos="10411" w:val="right"/>
        </w:tabs>
        <w:spacing w:before="0" w:after="6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8"/>
          <w:lang w:val="zh-CN" w:eastAsia="zh-CN" w:bidi="en-US"/>
        </w:rPr>
        <w:t>微软亚洲研究院 - 机器学习组 - 算法实习生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7"/>
          <w:lang w:val="zh-CN" w:eastAsia="zh-CN" w:bidi="en-US"/>
        </w:rPr>
        <w:tab/>
        <w:t>2022年07月 - 2022年10月</w:t>
      </w:r>
    </w:p>
    <w:p>
      <w:pPr>
        <w:keepLines/>
        <w:spacing w:before="0" w:after="5" w:line="240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项目内容：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基于生成对抗网络实现金融时间序列（股票数据）的生成研究。</w:t>
      </w:r>
    </w:p>
    <w:p>
      <w:pPr>
        <w:keepLines/>
        <w:spacing w:before="0" w:after="5" w:line="240" w:lineRule="auto"/>
      </w:pP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我的工作：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① 通过预测股票未来价格的方式，分别采用RNN作为生成器和判别器，在相互博弈中训练模型，模拟生成股票价格数据；② 通过分析自相关性、厚尾分布、波动率聚集、杠杆效应、粗细波动率相关、盈亏不对称性等评价指标，验证生成数据与真实数据具有相同统计特性；③ 为量化策略开发中提供更多训练样本和检验过拟合。</w:t>
      </w:r>
    </w:p>
    <w:p>
      <w:pPr>
        <w:keepNext/>
        <w:spacing w:before="64" w:after="24" w:line="240" w:lineRule="auto"/>
        <w:pBdr>
          <w:bottom w:val="single" w:sz="7" w:space="1" w:color="000000"/>
        </w:pBdr>
      </w:pPr>
      <w:r>
        <w:rPr>
          <w:rFonts w:ascii="Arial Unicode MS" w:hAnsi="Arial Unicode MS" w:eastAsia="Arial Unicode MS" w:cs="Arial Unicode MS"/>
          <w:b/>
          <w:i w:val="0"/>
          <w:color w:val="000000"/>
          <w:sz w:val="23"/>
          <w:lang w:val="zh-CN" w:eastAsia="zh-CN" w:bidi="en-US"/>
        </w:rPr>
        <w:t>项目经历</w:t>
      </w:r>
    </w:p>
    <w:p>
      <w:pPr>
        <w:keepNext/>
        <w:tabs>
          <w:tab w:pos="10411" w:val="right"/>
        </w:tabs>
        <w:spacing w:before="0" w:after="6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8"/>
          <w:lang w:val="zh-CN" w:eastAsia="zh-CN" w:bidi="en-US"/>
        </w:rPr>
        <w:t>基于AReaL框架的Agentic RL与在线蒸馏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7"/>
          <w:lang w:val="zh-CN" w:eastAsia="zh-CN" w:bidi="en-US"/>
        </w:rPr>
        <w:tab/>
        <w:t>2026年03月 - 2026年08月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长上下文与多轮Agentic RL：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面向Qwen3.5-9B 128K长上下文与多轮环境交互场景，搭建Agentic RL训练链路，打通多机GPU训练、vLLM/SGLang rollout及workflow/reward闭环。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OPD/MOPD模型效果：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在9B模型上打通Math、SWE、Terminal三域；Math OPD在MATH500由69.80提升至75.89（+6.09pp）；采用TMax-27B单Teacher时Terminal/SWE分别提升7.9pp/7.0pp，进一步验证双Teacher MOPD实现SWE、Terminal双域提升且General评测不下降。</w:t>
      </w:r>
    </w:p>
    <w:p>
      <w:pPr>
        <w:keepNext/>
        <w:tabs>
          <w:tab w:pos="10411" w:val="right"/>
        </w:tabs>
        <w:spacing w:before="0" w:after="6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8"/>
          <w:lang w:val="zh-CN" w:eastAsia="zh-CN" w:bidi="en-US"/>
        </w:rPr>
        <w:t>基于VeRL框架的SFT/RLVR训练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7"/>
          <w:lang w:val="zh-CN" w:eastAsia="zh-CN" w:bidi="en-US"/>
        </w:rPr>
        <w:tab/>
        <w:t>2025年12月 - 2026年03月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长上下文训练交付：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面向General/Math/Code等任务及Qwen3/Qwen3.5 dense/MoE，打通32K-256K长上下文SFT/RLVR训练链路，交付Qwen3.5-35B-A3B 128K online RL基线、35B-MoE 256K及27B 128K/256K SFT checkpoint，支持多机GPU训练与vLLM/SGLang rollout。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Rollout与异步RLVR优化：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面向Qwen3-30B-A3B 32K训练场景重构gen-TP、实例数及Trainer/Rollouter资源配比，将代表性稳态吞吐由76提升至211-255 tokens/s/GPU；1:1配比达到236-293，idle ratio由0.41降至0.10-0.14；35B真实RL中CUDA Graph将decode提速约14x。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SFT与长序列性能优化：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Qwen3.5-9B SFT通过num_workers 0-&gt;8与选择性重计算将step time由31s降至9.3s（3.3x），MFU由23%提升至29.6%；Qwen3.5-35B 128K平均耗时优化2x至2240s，并修复CP chunking静默失效导致7.6GB全量logits buffer分配问题。</w:t>
      </w:r>
    </w:p>
    <w:p>
      <w:pPr>
        <w:keepNext/>
        <w:pageBreakBefore/>
        <w:tabs>
          <w:tab w:pos="10411" w:val="right"/>
        </w:tabs>
        <w:spacing w:before="0" w:after="6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8"/>
          <w:lang w:val="zh-CN" w:eastAsia="zh-CN" w:bidi="en-US"/>
        </w:rPr>
        <w:t>TX项目训练业务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7"/>
          <w:lang w:val="zh-CN" w:eastAsia="zh-CN" w:bidi="en-US"/>
        </w:rPr>
        <w:tab/>
        <w:t>2024年10月 - 2025年03月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模型需求：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负责HunyuanVideo模型、参与HunyuanDiT、HunyuanLarge MOE模型的迁移适配、精度对齐、性能优化，通过优化并行策略、优化内存、使能融合算子、优化算子性能等手段，从开箱性能提升30-50%；分析HCCS和ROCE组网下8机性能及优化，进一步探索超大模型分布式训练并行策略研究。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项目管理：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负责TEG平台、PCG、CSIG、AILAB、网平模型业务接口和整体看护，管理团队4-5人，保障模型需求交付、客户适配模型（5+），解决问题（80+）。</w:t>
      </w:r>
    </w:p>
    <w:p>
      <w:pPr>
        <w:keepNext/>
        <w:tabs>
          <w:tab w:pos="10411" w:val="right"/>
        </w:tabs>
        <w:spacing w:before="0" w:after="6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8"/>
          <w:lang w:val="zh-CN" w:eastAsia="zh-CN" w:bidi="en-US"/>
        </w:rPr>
        <w:t>X1项目训练业务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7"/>
          <w:lang w:val="zh-CN" w:eastAsia="zh-CN" w:bidi="en-US"/>
        </w:rPr>
        <w:tab/>
        <w:t>2023年12月 - 2024年09月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MOE：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负责MOE-V2-xxxB模型功能打通，精度对齐，性能优化，从开箱0.16x优化到0.95x，MFU 35%达成客户目标后上线，并保障客户3K卡集群训练任务顺利完成。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多模态：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负责图文类模型（图文ViT-13B/70B/xxxB、图文OCR、图文Swin）和类SORA模型（Vqvae、Stdit2、HunyuanDiT模型）功能打通、精度对齐、性能优化达标；看护模型训练场景，解决30+现网问题，保障千卡集群训练任务长稳进行。</w:t>
      </w:r>
    </w:p>
    <w:p>
      <w:pPr>
        <w:keepNext/>
        <w:tabs>
          <w:tab w:pos="10411" w:val="right"/>
        </w:tabs>
        <w:spacing w:before="0" w:after="6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8"/>
          <w:lang w:val="zh-CN" w:eastAsia="zh-CN" w:bidi="en-US"/>
        </w:rPr>
        <w:t>MT项目训练业务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7"/>
          <w:lang w:val="zh-CN" w:eastAsia="zh-CN" w:bidi="en-US"/>
        </w:rPr>
        <w:tab/>
        <w:t>2023年07月 - 2023年11月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MT推荐模型推理业务精度调优：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通过分别Dump NPU和CPU数据进行Ait比对，对其算子精度，实现FP16模型精度达标、性能达标；达成客户预期，下单X卡；输出精度调优文档(x1)和工作周报(x5)。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模型迁移：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YOLOv6训练loss跳变问题定位分析；LLAMA-13B模型迁移案例输出。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贵安AI硬装、软调实践环境解决方案：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训练、推理服务器配置方案，包括计算、存储、网络，设计服务器组网和设备清单配置。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交付件：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撰写大模型训练组网方案，包括参数面网络、业务面/存储面网络、网络配置元组及参数面负载均衡方案，输出昇腾互联网行业大模型训练解决方案基线文档1份。</w:t>
      </w:r>
    </w:p>
    <w:p>
      <w:pPr>
        <w:keepNext/>
        <w:spacing w:before="80" w:after="24" w:line="240" w:lineRule="auto"/>
        <w:pBdr>
          <w:bottom w:val="single" w:sz="7" w:space="1" w:color="000000"/>
        </w:pBdr>
      </w:pPr>
      <w:r>
        <w:rPr>
          <w:rFonts w:ascii="Arial Unicode MS" w:hAnsi="Arial Unicode MS" w:eastAsia="Arial Unicode MS" w:cs="Arial Unicode MS"/>
          <w:b/>
          <w:i w:val="0"/>
          <w:color w:val="000000"/>
          <w:sz w:val="23"/>
          <w:lang w:val="zh-CN" w:eastAsia="zh-CN" w:bidi="en-US"/>
        </w:rPr>
        <w:t>科研经历</w:t>
      </w:r>
    </w:p>
    <w:p>
      <w:pPr>
        <w:keepNext/>
        <w:tabs>
          <w:tab w:pos="10411" w:val="right"/>
        </w:tabs>
        <w:spacing w:before="0" w:after="6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7"/>
          <w:lang w:val="zh-CN" w:eastAsia="zh-CN" w:bidi="en-US"/>
        </w:rPr>
        <w:t>基于半监督学习的乳腺组织PR免疫组化虚拟染色（项目负责人）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7"/>
          <w:lang w:val="zh-CN" w:eastAsia="zh-CN" w:bidi="en-US"/>
        </w:rPr>
        <w:tab/>
        <w:t>2021年10月 - 2022年03月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方法创新：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设计基于图像配准与相邻切片弱监督的乳腺病理虚拟染色框架，引入分类一致性约束，在无需专家像素级标注的条件下实现H&amp;E至PR图像生成。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论文成果：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第一作者论文发表于医学图像计算领域顶级会议MICCAI 2022（CCF-B），并获Student Travel Award。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论文：</w:t>
      </w:r>
      <w:hyperlink r:id="rId10">
        <w:r>
          <w:rPr>
            <w:rFonts w:ascii="Arial Unicode MS" w:hAnsi="Arial Unicode MS" w:eastAsia="Arial Unicode MS" w:cs="Arial Unicode MS"/>
            <w:b w:val="0"/>
            <w:i w:val="0"/>
            <w:color w:val="4B83F5"/>
            <w:sz w:val="16"/>
            <w:lang w:val="zh-CN" w:eastAsia="zh-CN" w:bidi="en-US"/>
            <w:u w:val="single"/>
          </w:rPr>
          <w:t>MICCAI 2022（Springer）</w:t>
        </w:r>
      </w:hyperlink>
    </w:p>
    <w:p>
      <w:pPr>
        <w:keepNext/>
        <w:tabs>
          <w:tab w:pos="10411" w:val="right"/>
        </w:tabs>
        <w:spacing w:before="0" w:after="6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7"/>
          <w:lang w:val="zh-CN" w:eastAsia="zh-CN" w:bidi="en-US"/>
        </w:rPr>
        <w:t>基于无监督学习的肾组织特殊染色图像生成（核心成员）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7"/>
          <w:lang w:val="zh-CN" w:eastAsia="zh-CN" w:bidi="en-US"/>
        </w:rPr>
        <w:tab/>
        <w:t>2020年12月 - 2021年09月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方法创新：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提出多域虚拟染色GAN，通过风格编码动态建模染色域特征，并以正则化约束平衡组织结构保真与目标染色风格，首次实现多种肾组织特殊染色图像的相互转换。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论文成果：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6"/>
          <w:lang w:val="zh-CN" w:eastAsia="zh-CN" w:bidi="en-US"/>
        </w:rPr>
        <w:t>共同第一作者论文发表于人工智能领域顶级会议AAAI 2022（CCF-A）。</w:t>
      </w:r>
    </w:p>
    <w:p>
      <w:pPr>
        <w:keepLines/>
        <w:numPr>
          <w:ilvl w:val="0"/>
          <w:numId w:val="10"/>
        </w:numPr>
        <w:spacing w:before="0" w:after="7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6"/>
          <w:lang w:val="zh-CN" w:eastAsia="zh-CN" w:bidi="en-US"/>
        </w:rPr>
        <w:t>论文：</w:t>
      </w:r>
      <w:hyperlink r:id="rId11">
        <w:r>
          <w:rPr>
            <w:rFonts w:ascii="Arial Unicode MS" w:hAnsi="Arial Unicode MS" w:eastAsia="Arial Unicode MS" w:cs="Arial Unicode MS"/>
            <w:b w:val="0"/>
            <w:i w:val="0"/>
            <w:color w:val="4B83F5"/>
            <w:sz w:val="16"/>
            <w:lang w:val="zh-CN" w:eastAsia="zh-CN" w:bidi="en-US"/>
            <w:u w:val="single"/>
          </w:rPr>
          <w:t>AAAI 2022（AAAI Digital Library）</w:t>
        </w:r>
      </w:hyperlink>
    </w:p>
    <w:p>
      <w:pPr>
        <w:keepNext/>
        <w:spacing w:before="80" w:after="24" w:line="240" w:lineRule="auto"/>
        <w:pBdr>
          <w:bottom w:val="single" w:sz="7" w:space="1" w:color="000000"/>
        </w:pBdr>
      </w:pPr>
      <w:r>
        <w:rPr>
          <w:rFonts w:ascii="Arial Unicode MS" w:hAnsi="Arial Unicode MS" w:eastAsia="Arial Unicode MS" w:cs="Arial Unicode MS"/>
          <w:b/>
          <w:i w:val="0"/>
          <w:color w:val="000000"/>
          <w:sz w:val="23"/>
          <w:lang w:val="zh-CN" w:eastAsia="zh-CN" w:bidi="en-US"/>
        </w:rPr>
        <w:t>竞赛经历</w:t>
      </w:r>
    </w:p>
    <w:p>
      <w:pPr>
        <w:keepNext/>
        <w:tabs>
          <w:tab w:pos="10411" w:val="right"/>
        </w:tabs>
        <w:spacing w:before="0" w:after="6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7"/>
          <w:lang w:val="zh-CN" w:eastAsia="zh-CN" w:bidi="en-US"/>
        </w:rPr>
        <w:t>Kaggle：Classify Leaves -- Train models to predict the plant species（14th）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7"/>
          <w:lang w:val="zh-CN" w:eastAsia="zh-CN" w:bidi="en-US"/>
        </w:rPr>
        <w:tab/>
        <w:t>2021年05月 - 2021年06月</w:t>
      </w:r>
    </w:p>
    <w:p>
      <w:pPr>
        <w:keepNext/>
        <w:tabs>
          <w:tab w:pos="10411" w:val="right"/>
        </w:tabs>
        <w:spacing w:before="0" w:after="6" w:line="24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17"/>
          <w:lang w:val="zh-CN" w:eastAsia="zh-CN" w:bidi="en-US"/>
        </w:rPr>
        <w:t>NLPCC Workshop 2021：Automatic Information Extraction（Top 3）</w:t>
      </w:r>
      <w:r>
        <w:rPr>
          <w:rFonts w:ascii="Arial Unicode MS" w:hAnsi="Arial Unicode MS" w:eastAsia="Arial Unicode MS" w:cs="Arial Unicode MS"/>
          <w:b w:val="0"/>
          <w:i w:val="0"/>
          <w:color w:val="000000"/>
          <w:sz w:val="17"/>
          <w:lang w:val="zh-CN" w:eastAsia="zh-CN" w:bidi="en-US"/>
        </w:rPr>
        <w:tab/>
        <w:t>2021年06月</w:t>
      </w:r>
    </w:p>
    <w:sectPr w:rsidR="00FC693F" w:rsidRPr="0006063C" w:rsidSect="00034616">
      <w:headerReference w:type="first" r:id="rId9"/>
      <w:pgSz w:w="11906" w:h="16838"/>
      <w:pgMar w:top="605" w:right="749" w:bottom="605" w:left="749" w:header="173" w:footer="28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6254496</wp:posOffset>
          </wp:positionH>
          <wp:positionV relativeFrom="page">
            <wp:posOffset>246888</wp:posOffset>
          </wp:positionV>
          <wp:extent cx="832104" cy="997707"/>
          <wp:wrapNone/>
          <wp:docPr id="1" name="Picture 1" descr="曾柏炜证件照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original-phot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2104" cy="997707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430"/>
        </w:tabs>
        <w:ind w:left="430" w:hanging="260"/>
        <w:spacing w:before="0" w:after="8" w:line="240" w:lineRule="auto"/>
      </w:pPr>
      <w:rPr>
        <w:rFonts w:ascii="Arial Unicode MS" w:hAnsi="Arial Unicode MS" w:eastAsia="Arial Unicode MS" w:cs="Arial Unicode M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</w:pPr>
    <w:rPr>
      <w:rFonts w:ascii="Arial Unicode MS" w:hAnsi="Arial Unicode MS" w:eastAsia="Arial Unicode MS" w:cs="Arial Unicode MS"/>
      <w:b w:val="0"/>
      <w:color w:val="000000"/>
      <w:sz w:val="16"/>
      <w:lang w:val="zh-CN" w:eastAsia="zh-CN" w:bidi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Arial Unicode MS" w:hAnsi="Arial Unicode MS" w:eastAsia="Arial Unicode MS" w:cs="Arial Unicode MS"/>
      <w:b w:val="0"/>
      <w:color w:val="000000"/>
      <w:sz w:val="16"/>
      <w:lang w:val="zh-CN" w:eastAsia="zh-CN" w:bidi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Arial Unicode MS" w:hAnsi="Arial Unicode MS" w:eastAsia="Arial Unicode MS" w:cs="Arial Unicode MS"/>
      <w:b w:val="0"/>
      <w:color w:val="000000"/>
      <w:sz w:val="16"/>
      <w:lang w:val="zh-CN" w:eastAsia="zh-CN" w:bidi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link.springer.com/chapter/10.1007/978-3-031-16434-7_23" TargetMode="External"/><Relationship Id="rId11" Type="http://schemas.openxmlformats.org/officeDocument/2006/relationships/hyperlink" Target="https://ojs.aaai.org/index.php/AAAI/article/view/20054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曾柏炜 - 大模型训练推理 Infra 高级工程师简历</dc:title>
  <dc:subject>按原简历格式更新的小鹏与华为工作经历</dc:subject>
  <dc:creator>曾柏炜</dc:creator>
  <cp:keywords>大模型Infra, VeRL, AReaL, Megatron-Core, RLVR, Agentic RL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