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Title"/>
        <w:keepNext/>
      </w:pPr>
      <w:r>
        <w:t>曾柏炜</w:t>
      </w:r>
    </w:p>
    <w:p>
      <w:pPr>
        <w:pStyle w:val="ResumeSubtitle"/>
        <w:keepNext/>
      </w:pPr>
      <w:r>
        <w:t>大模型训练推理 Infra 高级工程师</w:t>
      </w:r>
    </w:p>
    <w:p>
      <w:pPr>
        <w:spacing w:before="0" w:after="100" w:line="240" w:lineRule="auto"/>
        <w:jc w:val="left"/>
      </w:pPr>
      <w:r>
        <w:rPr>
          <w:rFonts w:ascii="Noto Sans CJK SC" w:hAnsi="Noto Sans CJK SC" w:eastAsia="Noto Sans CJK SC"/>
          <w:color w:val="59636E"/>
          <w:sz w:val="18"/>
        </w:rPr>
        <w:t>18859272673  |  zbw20@tsinghua.org.cn  |  深圳</w:t>
      </w:r>
    </w:p>
    <w:p>
      <w:pPr>
        <w:pStyle w:val="Heading1"/>
        <w:keepNext/>
      </w:pPr>
      <w:r>
        <w:t>职业概述</w:t>
      </w:r>
    </w:p>
    <w:p>
      <w:pPr>
        <w:spacing w:before="0" w:after="60" w:line="274" w:lineRule="auto"/>
      </w:pPr>
      <w:r>
        <w:rPr>
          <w:rFonts w:ascii="Noto Sans CJK SC" w:hAnsi="Noto Sans CJK SC" w:eastAsia="Noto Sans CJK SC"/>
          <w:b/>
          <w:color w:val="17324D"/>
          <w:sz w:val="19"/>
        </w:rPr>
        <w:t>3 年大模型训练基础设施与性能优化经验</w:t>
      </w:r>
      <w:r>
        <w:rPr>
          <w:rFonts w:ascii="Noto Sans CJK SC" w:hAnsi="Noto Sans CJK SC" w:eastAsia="Noto Sans CJK SC"/>
          <w:color w:val="202A33"/>
          <w:sz w:val="19"/>
        </w:rPr>
        <w:t>，先后负责昇腾大规模训练优化与 GPU 后训练 Infra；当前聚焦基于 Megatron-Core、verl、AReaL 的长上下文 SFT/RLVR、异步 rollout、Agentic RL、轨迹数据链路和在线蒸馏。擅长从性能、数值正确性与模型效果三层建立可验证反馈回路。</w:t>
      </w:r>
    </w:p>
    <w:p>
      <w:pPr>
        <w:pStyle w:val="Heading1"/>
        <w:keepNext/>
      </w:pPr>
      <w:r>
        <w:t>核心能力</w:t>
      </w:r>
    </w:p>
    <w:p>
      <w:pPr>
        <w:keepLines/>
        <w:spacing w:before="0" w:after="34" w:line="264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训练与 RL：</w:t>
      </w:r>
      <w:r>
        <w:rPr>
          <w:rFonts w:ascii="Noto Sans CJK SC" w:hAnsi="Noto Sans CJK SC" w:eastAsia="Noto Sans CJK SC"/>
          <w:color w:val="202A33"/>
          <w:sz w:val="18"/>
        </w:rPr>
        <w:t>SFT、RLVR、PPO/GRPO、DAPO、On-Policy Distillation/MOPD、rule/model reward、policy staleness</w:t>
      </w:r>
    </w:p>
    <w:p>
      <w:pPr>
        <w:keepLines/>
        <w:spacing w:before="0" w:after="34" w:line="264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框架与推理：</w:t>
      </w:r>
      <w:r>
        <w:rPr>
          <w:rFonts w:ascii="Noto Sans CJK SC" w:hAnsi="Noto Sans CJK SC" w:eastAsia="Noto Sans CJK SC"/>
          <w:color w:val="202A33"/>
          <w:sz w:val="18"/>
        </w:rPr>
        <w:t>PyTorch、Megatron-Core、verl、AReaL、vLLM、SGLang、Ray、MindSpeed、DeepSpeed</w:t>
      </w:r>
    </w:p>
    <w:p>
      <w:pPr>
        <w:keepLines/>
        <w:spacing w:before="0" w:after="34" w:line="264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分布式与性能：</w:t>
      </w:r>
      <w:r>
        <w:rPr>
          <w:rFonts w:ascii="Noto Sans CJK SC" w:hAnsi="Noto Sans CJK SC" w:eastAsia="Noto Sans CJK SC"/>
          <w:color w:val="202A33"/>
          <w:sz w:val="18"/>
        </w:rPr>
        <w:t>TP/PP/CP/DP/EP、MoE、packed sequence、recompute/offload、NCCL/HCCS/RoCE、MFU、显存建模、通信重叠、tracing、checkpoint/recovery</w:t>
      </w:r>
    </w:p>
    <w:p>
      <w:pPr>
        <w:keepLines/>
        <w:spacing w:before="0" w:after="16" w:line="264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工程：</w:t>
      </w:r>
      <w:r>
        <w:rPr>
          <w:rFonts w:ascii="Noto Sans CJK SC" w:hAnsi="Noto Sans CJK SC" w:eastAsia="Noto Sans CJK SC"/>
          <w:color w:val="202A33"/>
          <w:sz w:val="18"/>
        </w:rPr>
        <w:t>Python、C++、Shell、Linux、Git；多机 A100/昇腾集群部署、性能分析与生产故障定位</w:t>
      </w:r>
    </w:p>
    <w:p>
      <w:pPr>
        <w:pStyle w:val="Heading1"/>
        <w:keepNext/>
      </w:pPr>
      <w:r>
        <w:t>工作经历</w:t>
      </w:r>
    </w:p>
    <w:p>
      <w:pPr>
        <w:pStyle w:val="Heading2"/>
        <w:tabs>
          <w:tab w:pos="9360" w:val="right"/>
        </w:tabs>
      </w:pPr>
      <w:r>
        <w:rPr>
          <w:rFonts w:ascii="Noto Sans CJK SC" w:hAnsi="Noto Sans CJK SC" w:eastAsia="Noto Sans CJK SC"/>
          <w:b/>
          <w:color w:val="17324D"/>
          <w:sz w:val="20"/>
        </w:rPr>
        <w:t>小鹏机器人</w:t>
      </w:r>
      <w:r>
        <w:rPr>
          <w:rFonts w:ascii="Noto Sans CJK SC" w:hAnsi="Noto Sans CJK SC" w:eastAsia="Noto Sans CJK SC"/>
          <w:b w:val="0"/>
          <w:color w:val="59636E"/>
          <w:sz w:val="18"/>
        </w:rPr>
        <w:t xml:space="preserve">  |  大模型后训练基础设施</w:t>
      </w:r>
      <w:r>
        <w:rPr>
          <w:rFonts w:ascii="Noto Sans CJK SC" w:hAnsi="Noto Sans CJK SC" w:eastAsia="Noto Sans CJK SC"/>
          <w:b/>
          <w:color w:val="59636E"/>
          <w:sz w:val="18"/>
        </w:rPr>
        <w:tab/>
        <w:t>2025.11 - 至今</w:t>
      </w:r>
    </w:p>
    <w:p>
      <w:pPr>
        <w:keepNext/>
        <w:spacing w:before="0" w:after="50" w:line="259" w:lineRule="auto"/>
      </w:pPr>
      <w:r>
        <w:rPr>
          <w:rFonts w:ascii="Noto Sans CJK SC" w:hAnsi="Noto Sans CJK SC" w:eastAsia="Noto Sans CJK SC"/>
          <w:b/>
          <w:color w:val="087E8B"/>
          <w:sz w:val="18"/>
        </w:rPr>
        <w:t>大模型训练推理 Infra 高级工程师</w:t>
      </w:r>
      <w:r>
        <w:rPr>
          <w:rFonts w:ascii="Noto Sans CJK SC" w:hAnsi="Noto Sans CJK SC" w:eastAsia="Noto Sans CJK SC"/>
          <w:color w:val="202A33"/>
          <w:sz w:val="18"/>
        </w:rPr>
        <w:t xml:space="preserve">  |  负责 SFT、RLVR 与 Agentic RL 框架建设及性能/正确性优化</w:t>
      </w:r>
    </w:p>
    <w:p>
      <w:pPr>
        <w:keepLines/>
        <w:widowControl/>
        <w:numPr>
          <w:ilvl w:val="0"/>
          <w:numId w:val="10"/>
        </w:numPr>
        <w:spacing w:before="0" w:after="52" w:line="269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Fully Async RLVR：</w:t>
      </w:r>
      <w:r>
        <w:rPr>
          <w:rFonts w:ascii="Noto Sans CJK SC" w:hAnsi="Noto Sans CJK SC" w:eastAsia="Noto Sans CJK SC"/>
          <w:color w:val="202A33"/>
          <w:sz w:val="18"/>
        </w:rPr>
        <w:t>面向 Qwen3-30B-A3B 32K、32 张 A100-80GB 场景适配 fully async 训练；基于 rollout 生产率与 Trainer 消费率重构 gen-TP、实例数及 Trainer/Rollouter 资源配比，将代表性稳态吞吐由 76 提升至 211-255 tokens/s/GPU；1:1 配比达到 236-293 tokens/s/GPU，Trainer idle ratio 由 0.41 降至 0.10-0.14。</w:t>
      </w:r>
    </w:p>
    <w:p>
      <w:pPr>
        <w:keepLines/>
        <w:widowControl/>
        <w:numPr>
          <w:ilvl w:val="0"/>
          <w:numId w:val="10"/>
        </w:numPr>
        <w:spacing w:before="0" w:after="52" w:line="269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128K SFT：</w:t>
      </w:r>
      <w:r>
        <w:rPr>
          <w:rFonts w:ascii="Noto Sans CJK SC" w:hAnsi="Noto Sans CJK SC" w:eastAsia="Noto Sans CJK SC"/>
          <w:color w:val="202A33"/>
          <w:sz w:val="18"/>
        </w:rPr>
        <w:t>打通 Qwen3.5 9B/27B 与 Qwen3 32B 在 16-64 张 A100 上的 128K 训练路径与边界验证；基于张量级显存账定位 fp32 logits、gradient buffer、CP 通信和 offload 开销，9B 场景采用 TP=2/CP=8，相比 TP=4/CP=4 将 step time 由约 163s 降至 102s（-37%），并补齐长样本 OOM、grad-norm spike 与 checkpoint deadlock 诊断。</w:t>
      </w:r>
    </w:p>
    <w:p>
      <w:pPr>
        <w:keepLines/>
        <w:widowControl/>
        <w:numPr>
          <w:ilvl w:val="0"/>
          <w:numId w:val="10"/>
        </w:numPr>
        <w:spacing w:before="0" w:after="52" w:line="269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Agentic RL Rollout：</w:t>
      </w:r>
      <w:r>
        <w:rPr>
          <w:rFonts w:ascii="Noto Sans CJK SC" w:hAnsi="Noto Sans CJK SC" w:eastAsia="Noto Sans CJK SC"/>
          <w:color w:val="202A33"/>
          <w:sz w:val="18"/>
        </w:rPr>
        <w:t>面向 Qwen3.5-9B 128K、32 cohorts x 8 trajectories、32 张 A100 场景建立 overlap-aware step、cohort tail、prefix cache 与 per-turn LLM 指标体系；量化基线 step 均值 83.89 min，其中 rollout wait 73.21 min、占 87.27%，并以 wait-after-7th p95 约 51.5 min 定位长上下文后期推理与 8-way cohort straggler 为一阶瓶颈。</w:t>
      </w:r>
    </w:p>
    <w:p>
      <w:pPr>
        <w:spacing w:before="0" w:after="0"/>
      </w:pPr>
      <w:r>
        <w:br w:type="page"/>
      </w:r>
    </w:p>
    <w:p>
      <w:pPr>
        <w:pStyle w:val="Heading2"/>
        <w:tabs>
          <w:tab w:pos="9360" w:val="right"/>
        </w:tabs>
      </w:pPr>
      <w:r>
        <w:rPr>
          <w:rFonts w:ascii="Noto Sans CJK SC" w:hAnsi="Noto Sans CJK SC" w:eastAsia="Noto Sans CJK SC"/>
          <w:b/>
          <w:color w:val="17324D"/>
          <w:sz w:val="20"/>
        </w:rPr>
        <w:t>小鹏机器人（续）</w:t>
      </w:r>
      <w:r>
        <w:rPr>
          <w:rFonts w:ascii="Noto Sans CJK SC" w:hAnsi="Noto Sans CJK SC" w:eastAsia="Noto Sans CJK SC"/>
          <w:b w:val="0"/>
          <w:color w:val="59636E"/>
          <w:sz w:val="18"/>
        </w:rPr>
        <w:t xml:space="preserve">  |  大模型后训练基础设施</w:t>
      </w:r>
      <w:r>
        <w:rPr>
          <w:rFonts w:ascii="Noto Sans CJK SC" w:hAnsi="Noto Sans CJK SC" w:eastAsia="Noto Sans CJK SC"/>
          <w:b/>
          <w:color w:val="59636E"/>
          <w:sz w:val="18"/>
        </w:rPr>
        <w:tab/>
        <w:t>2025.11 - 至今</w:t>
      </w:r>
    </w:p>
    <w:p>
      <w:pPr>
        <w:keepLines/>
        <w:widowControl/>
        <w:numPr>
          <w:ilvl w:val="0"/>
          <w:numId w:val="10"/>
        </w:numPr>
        <w:spacing w:before="0" w:after="52" w:line="269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轨迹利用与算法正确性：</w:t>
      </w:r>
      <w:r>
        <w:rPr>
          <w:rFonts w:ascii="Noto Sans CJK SC" w:hAnsi="Noto Sans CJK SC" w:eastAsia="Noto Sans CJK SC"/>
          <w:color w:val="202A33"/>
          <w:sz w:val="18"/>
        </w:rPr>
        <w:t>打通 generated -&gt; manager -&gt; workflow -&gt; trainer -&gt; loss -&gt; policy gradient 六层 lineage；真实 6-step run 中实现 96 条训练轨迹 100% exact join，识别 94 条 gradient-active 与 2 条 compact-filtered 轨迹，后者消耗 159,330 full-sequence tokens（占 3.91%）但不产生梯度，并将 stale、partial、waiting/final-drain 与 terminal waste 分开归因。</w:t>
      </w:r>
    </w:p>
    <w:p>
      <w:pPr>
        <w:keepLines/>
        <w:widowControl/>
        <w:numPr>
          <w:ilvl w:val="0"/>
          <w:numId w:val="10"/>
        </w:numPr>
        <w:spacing w:before="0" w:after="52" w:line="269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多 Teacher 在线蒸馏：</w:t>
      </w:r>
      <w:r>
        <w:rPr>
          <w:rFonts w:ascii="Noto Sans CJK SC" w:hAnsi="Noto Sans CJK SC" w:eastAsia="Noto Sans CJK SC"/>
          <w:color w:val="202A33"/>
          <w:sz w:val="18"/>
        </w:rPr>
        <w:t>设计并实现 OPD/MOPD，支持 trajectory 按数据域路由至对应 Teacher 计算 logp，覆盖 score 校验、mopd_pg loss、混域训练、equal-trajectory weighting、session drain、断点续训与 held-out paired evaluation；跑通 9B 单 Teacher 30-step 及双 Teacher canary，建立 FUNCTIONAL/NUMERIC/EFFICACY 分层验收门禁。</w:t>
      </w:r>
    </w:p>
    <w:p>
      <w:pPr>
        <w:pStyle w:val="Heading2"/>
        <w:tabs>
          <w:tab w:pos="9360" w:val="right"/>
        </w:tabs>
      </w:pPr>
      <w:r>
        <w:rPr>
          <w:rFonts w:ascii="Noto Sans CJK SC" w:hAnsi="Noto Sans CJK SC" w:eastAsia="Noto Sans CJK SC"/>
          <w:b/>
          <w:color w:val="17324D"/>
          <w:sz w:val="20"/>
        </w:rPr>
        <w:t>华为</w:t>
      </w:r>
      <w:r>
        <w:rPr>
          <w:rFonts w:ascii="Noto Sans CJK SC" w:hAnsi="Noto Sans CJK SC" w:eastAsia="Noto Sans CJK SC"/>
          <w:b w:val="0"/>
          <w:color w:val="59636E"/>
          <w:sz w:val="18"/>
        </w:rPr>
        <w:t xml:space="preserve">  |  计算产品线・昇腾计算</w:t>
      </w:r>
      <w:r>
        <w:rPr>
          <w:rFonts w:ascii="Noto Sans CJK SC" w:hAnsi="Noto Sans CJK SC" w:eastAsia="Noto Sans CJK SC"/>
          <w:b/>
          <w:color w:val="59636E"/>
          <w:sz w:val="18"/>
        </w:rPr>
        <w:tab/>
        <w:t>2023.07 - 2025.11</w:t>
      </w:r>
    </w:p>
    <w:p>
      <w:pPr>
        <w:keepNext/>
        <w:spacing w:before="0" w:after="50" w:line="259" w:lineRule="auto"/>
      </w:pPr>
      <w:r>
        <w:rPr>
          <w:rFonts w:ascii="Noto Sans CJK SC" w:hAnsi="Noto Sans CJK SC" w:eastAsia="Noto Sans CJK SC"/>
          <w:b/>
          <w:color w:val="087E8B"/>
          <w:sz w:val="18"/>
        </w:rPr>
        <w:t>AI 训练优化工程师</w:t>
      </w:r>
      <w:r>
        <w:rPr>
          <w:rFonts w:ascii="Noto Sans CJK SC" w:hAnsi="Noto Sans CJK SC" w:eastAsia="Noto Sans CJK SC"/>
          <w:color w:val="202A33"/>
          <w:sz w:val="18"/>
        </w:rPr>
        <w:t xml:space="preserve">  |  负责客户大模型迁移适配、精度对齐、性能优化及大规模集群交付</w:t>
      </w:r>
    </w:p>
    <w:p>
      <w:pPr>
        <w:keepLines/>
        <w:widowControl/>
        <w:numPr>
          <w:ilvl w:val="0"/>
          <w:numId w:val="10"/>
        </w:numPr>
        <w:spacing w:before="0" w:after="52" w:line="269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项目与团队负责：</w:t>
      </w:r>
      <w:r>
        <w:rPr>
          <w:rFonts w:ascii="Noto Sans CJK SC" w:hAnsi="Noto Sans CJK SC" w:eastAsia="Noto Sans CJK SC"/>
          <w:color w:val="202A33"/>
          <w:sz w:val="18"/>
        </w:rPr>
        <w:t>担任 TX 项目训练负责人，端到端负责训练解决方案设计、现场 POC 与长稳运行，覆盖 TEG、PCG、CSIG、AI LAB、网平等部门，带领 4-5 人团队交付 5+ 模型、闭环 80+ 现网问题。</w:t>
      </w:r>
    </w:p>
    <w:p>
      <w:pPr>
        <w:keepLines/>
        <w:widowControl/>
        <w:numPr>
          <w:ilvl w:val="0"/>
          <w:numId w:val="10"/>
        </w:numPr>
        <w:spacing w:before="0" w:after="52" w:line="269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大模型性能优化：</w:t>
      </w:r>
      <w:r>
        <w:rPr>
          <w:rFonts w:ascii="Noto Sans CJK SC" w:hAnsi="Noto Sans CJK SC" w:eastAsia="Noto Sans CJK SC"/>
          <w:color w:val="202A33"/>
          <w:sz w:val="18"/>
        </w:rPr>
        <w:t>负责 HunyuanVideo，参与 HunyuanDiT、HunyuanLarge MoE 等模型迁移与优化；通过并行策略、显存、融合算子与下发优化，将开箱性能提升 30%-50%，并完成 HCCS/RoCE 组网下 8 机性能分析。</w:t>
      </w:r>
    </w:p>
    <w:p>
      <w:pPr>
        <w:keepLines/>
        <w:widowControl/>
        <w:numPr>
          <w:ilvl w:val="0"/>
          <w:numId w:val="10"/>
        </w:numPr>
        <w:spacing w:before="0" w:after="52" w:line="269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MoE 训练优化：</w:t>
      </w:r>
      <w:r>
        <w:rPr>
          <w:rFonts w:ascii="Noto Sans CJK SC" w:hAnsi="Noto Sans CJK SC" w:eastAsia="Noto Sans CJK SC"/>
          <w:color w:val="202A33"/>
          <w:sz w:val="18"/>
        </w:rPr>
        <w:t>完成超大规模 MoE 模型功能打通、精度对齐与性能优化，将相对性能由 0.16x 提升至 0.95x、MFU 达 35%，支撑客户 3,000 卡集群训练任务顺利完成。</w:t>
      </w:r>
    </w:p>
    <w:p>
      <w:pPr>
        <w:keepLines/>
        <w:widowControl/>
        <w:numPr>
          <w:ilvl w:val="0"/>
          <w:numId w:val="10"/>
        </w:numPr>
        <w:spacing w:before="0" w:after="52" w:line="269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多模态与稳定性：</w:t>
      </w:r>
      <w:r>
        <w:rPr>
          <w:rFonts w:ascii="Noto Sans CJK SC" w:hAnsi="Noto Sans CJK SC" w:eastAsia="Noto Sans CJK SC"/>
          <w:color w:val="202A33"/>
          <w:sz w:val="18"/>
        </w:rPr>
        <w:t>适配图文 ViT、OCR、Swin 及 VQ-VAE、ST-DiT2、HunyuanDiT 等多模态/视频生成模型，完成精度与性能达标，解决 30+ 训练问题，保障千卡集群长稳运行。</w:t>
      </w:r>
    </w:p>
    <w:p>
      <w:pPr>
        <w:keepLines/>
        <w:widowControl/>
        <w:numPr>
          <w:ilvl w:val="0"/>
          <w:numId w:val="10"/>
        </w:numPr>
        <w:spacing w:before="0" w:after="52" w:line="269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集群与网络方案：</w:t>
      </w:r>
      <w:r>
        <w:rPr>
          <w:rFonts w:ascii="Noto Sans CJK SC" w:hAnsi="Noto Sans CJK SC" w:eastAsia="Noto Sans CJK SC"/>
          <w:color w:val="202A33"/>
          <w:sz w:val="18"/>
        </w:rPr>
        <w:t>参与千卡至万卡训练业务交付，输出计算、存储、参数面与业务面网络方案，覆盖 HCCS/RoCE 组网、参数面负载均衡和训练故障定位；完成 LLAMA-13B 迁移案例及 YOLOv6 loss 跳变分析。</w:t>
      </w:r>
    </w:p>
    <w:p>
      <w:pPr>
        <w:pStyle w:val="Heading1"/>
        <w:keepNext/>
      </w:pPr>
      <w:r>
        <w:t>教育经历</w:t>
      </w:r>
    </w:p>
    <w:p>
      <w:pPr>
        <w:keepLines/>
        <w:tabs>
          <w:tab w:pos="9360" w:val="right"/>
        </w:tabs>
        <w:spacing w:before="20" w:after="20" w:line="252" w:lineRule="auto"/>
      </w:pPr>
      <w:r>
        <w:rPr>
          <w:rFonts w:ascii="Noto Sans CJK SC" w:hAnsi="Noto Sans CJK SC" w:eastAsia="Noto Sans CJK SC"/>
          <w:b/>
          <w:color w:val="17324D"/>
          <w:sz w:val="19"/>
        </w:rPr>
        <w:t>清华大学</w:t>
      </w:r>
      <w:r>
        <w:rPr>
          <w:rFonts w:ascii="Noto Sans CJK SC" w:hAnsi="Noto Sans CJK SC" w:eastAsia="Noto Sans CJK SC"/>
          <w:color w:val="202A33"/>
          <w:sz w:val="18"/>
        </w:rPr>
        <w:t xml:space="preserve">  |  工学硕士｜电子信息（人工智能方向）</w:t>
      </w:r>
      <w:r>
        <w:rPr>
          <w:rFonts w:ascii="Noto Sans CJK SC" w:hAnsi="Noto Sans CJK SC" w:eastAsia="Noto Sans CJK SC"/>
          <w:b/>
          <w:color w:val="59636E"/>
          <w:sz w:val="18"/>
        </w:rPr>
        <w:tab/>
        <w:t>2020.09 - 2023.06</w:t>
      </w:r>
    </w:p>
    <w:p>
      <w:pPr>
        <w:spacing w:before="0" w:after="44" w:line="252" w:lineRule="auto"/>
      </w:pPr>
      <w:r>
        <w:rPr>
          <w:rFonts w:ascii="Noto Sans CJK SC" w:hAnsi="Noto Sans CJK SC" w:eastAsia="Noto Sans CJK SC"/>
          <w:color w:val="59636E"/>
          <w:sz w:val="17"/>
        </w:rPr>
        <w:t>2022 年清华大学校级一等奖学金（专业唯一获奖者）</w:t>
      </w:r>
    </w:p>
    <w:p>
      <w:pPr>
        <w:keepLines/>
        <w:tabs>
          <w:tab w:pos="9360" w:val="right"/>
        </w:tabs>
        <w:spacing w:before="20" w:after="20" w:line="252" w:lineRule="auto"/>
      </w:pPr>
      <w:r>
        <w:rPr>
          <w:rFonts w:ascii="Noto Sans CJK SC" w:hAnsi="Noto Sans CJK SC" w:eastAsia="Noto Sans CJK SC"/>
          <w:b/>
          <w:color w:val="17324D"/>
          <w:sz w:val="19"/>
        </w:rPr>
        <w:t>厦门大学</w:t>
      </w:r>
      <w:r>
        <w:rPr>
          <w:rFonts w:ascii="Noto Sans CJK SC" w:hAnsi="Noto Sans CJK SC" w:eastAsia="Noto Sans CJK SC"/>
          <w:color w:val="202A33"/>
          <w:sz w:val="18"/>
        </w:rPr>
        <w:t xml:space="preserve">  |  工学学士｜电气工程及其自动化</w:t>
      </w:r>
      <w:r>
        <w:rPr>
          <w:rFonts w:ascii="Noto Sans CJK SC" w:hAnsi="Noto Sans CJK SC" w:eastAsia="Noto Sans CJK SC"/>
          <w:b/>
          <w:color w:val="59636E"/>
          <w:sz w:val="18"/>
        </w:rPr>
        <w:tab/>
        <w:t>2015.09 - 2019.06</w:t>
      </w:r>
    </w:p>
    <w:p>
      <w:pPr>
        <w:pStyle w:val="Heading1"/>
        <w:keepNext/>
      </w:pPr>
      <w:r>
        <w:t>科研与竞赛</w:t>
      </w:r>
    </w:p>
    <w:p>
      <w:pPr>
        <w:keepLines/>
        <w:widowControl/>
        <w:numPr>
          <w:ilvl w:val="0"/>
          <w:numId w:val="10"/>
        </w:numPr>
        <w:spacing w:before="0" w:after="52" w:line="269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MICCAI 2022：</w:t>
      </w:r>
      <w:r>
        <w:rPr>
          <w:rFonts w:ascii="Noto Sans CJK SC" w:hAnsi="Noto Sans CJK SC" w:eastAsia="Noto Sans CJK SC"/>
          <w:color w:val="202A33"/>
          <w:sz w:val="18"/>
        </w:rPr>
        <w:t>第一作者，半监督乳腺组织 PR 免疫组化虚拟染色，获 Student Travel Award。</w:t>
      </w:r>
    </w:p>
    <w:p>
      <w:pPr>
        <w:keepLines/>
        <w:widowControl/>
        <w:numPr>
          <w:ilvl w:val="0"/>
          <w:numId w:val="10"/>
        </w:numPr>
        <w:spacing w:before="0" w:after="52" w:line="269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AAAI 2022：</w:t>
      </w:r>
      <w:r>
        <w:rPr>
          <w:rFonts w:ascii="Noto Sans CJK SC" w:hAnsi="Noto Sans CJK SC" w:eastAsia="Noto Sans CJK SC"/>
          <w:color w:val="202A33"/>
          <w:sz w:val="18"/>
        </w:rPr>
        <w:t>共同第一作者，无监督肾组织多域特殊染色图像生成。</w:t>
      </w:r>
    </w:p>
    <w:p>
      <w:pPr>
        <w:keepLines/>
        <w:widowControl/>
        <w:numPr>
          <w:ilvl w:val="0"/>
          <w:numId w:val="10"/>
        </w:numPr>
        <w:spacing w:before="0" w:after="52" w:line="269" w:lineRule="auto"/>
      </w:pPr>
      <w:r>
        <w:rPr>
          <w:rFonts w:ascii="Noto Sans CJK SC" w:hAnsi="Noto Sans CJK SC" w:eastAsia="Noto Sans CJK SC"/>
          <w:b/>
          <w:color w:val="17324D"/>
          <w:sz w:val="18"/>
        </w:rPr>
        <w:t>竞赛：</w:t>
      </w:r>
      <w:r>
        <w:rPr>
          <w:rFonts w:ascii="Noto Sans CJK SC" w:hAnsi="Noto Sans CJK SC" w:eastAsia="Noto Sans CJK SC"/>
          <w:color w:val="202A33"/>
          <w:sz w:val="18"/>
        </w:rPr>
        <w:t>Kaggle Classify Leaves 第 14 名；NLPCC 2021 Automatic Information Extraction Top 3。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Noto Sans CJK SC" w:hAnsi="Noto Sans CJK SC" w:eastAsia="Noto Sans CJK SC"/>
        <w:color w:val="59636E"/>
        <w:sz w:val="16"/>
      </w:rPr>
      <w:t xml:space="preserve">曾柏炜  |  大模型训练推理 Infra  |  </w:t>
    </w:r>
    <w:r>
      <w:rPr>
        <w:rFonts w:ascii="Noto Sans CJK SC" w:hAnsi="Noto Sans CJK SC" w:eastAsia="Noto Sans CJK SC"/>
        <w:color w:val="59636E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oto Sans CJK SC" w:hAnsi="Noto Sans CJK SC" w:eastAsia="Noto Sans CJK SC"/>
        <w:color w:val="59636E"/>
        <w:sz w:val="16"/>
      </w:rPr>
      <w:t xml:space="preserve"> / </w:t>
    </w:r>
    <w:r>
      <w:rPr>
        <w:rFonts w:ascii="Noto Sans CJK SC" w:hAnsi="Noto Sans CJK SC" w:eastAsia="Noto Sans CJK SC"/>
        <w:color w:val="59636E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7"/>
        </w:tabs>
        <w:ind w:left="547" w:hanging="288"/>
        <w:spacing w:before="0" w:after="52" w:line="269" w:lineRule="auto"/>
      </w:pPr>
      <w:rPr>
        <w:rFonts w:ascii="Noto Sans CJK SC" w:hAnsi="Noto Sans CJK SC"/>
        <w:color w:val="087E8B"/>
        <w:sz w:val="18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74" w:lineRule="auto"/>
    </w:pPr>
    <w:rPr>
      <w:rFonts w:ascii="Noto Sans CJK SC" w:hAnsi="Noto Sans CJK SC" w:eastAsia="Noto Sans CJK SC"/>
      <w:b w:val="0"/>
      <w:i w:val="0"/>
      <w:color w:val="202A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Noto Sans CJK SC" w:hAnsi="Noto Sans CJK SC" w:eastAsia="Noto Sans CJK SC"/>
      <w:b w:val="0"/>
      <w:i w:val="0"/>
      <w:color w:val="59636E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Noto Sans CJK SC" w:hAnsi="Noto Sans CJK SC" w:eastAsia="Noto Sans CJK SC"/>
      <w:b w:val="0"/>
      <w:i w:val="0"/>
      <w:color w:val="59636E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 w:line="240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87E8B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 w:line="240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1732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 w:line="240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17324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Title">
    <w:name w:val="Resume Title"/>
    <w:pPr>
      <w:spacing w:before="0" w:after="30" w:line="240" w:lineRule="auto"/>
    </w:pPr>
    <w:rPr>
      <w:rFonts w:ascii="Noto Sans CJK SC" w:hAnsi="Noto Sans CJK SC" w:eastAsia="Noto Sans CJK SC"/>
      <w:b/>
      <w:i w:val="0"/>
      <w:color w:val="17324D"/>
      <w:sz w:val="48"/>
    </w:rPr>
  </w:style>
  <w:style w:type="paragraph" w:customStyle="1" w:styleId="ResumeSubtitle">
    <w:name w:val="Resume Subtitle"/>
    <w:pPr>
      <w:spacing w:before="0" w:after="60" w:line="240" w:lineRule="auto"/>
    </w:pPr>
    <w:rPr>
      <w:rFonts w:ascii="Noto Sans CJK SC" w:hAnsi="Noto Sans CJK SC" w:eastAsia="Noto Sans CJK SC"/>
      <w:b/>
      <w:i w:val="0"/>
      <w:color w:val="087E8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曾柏炜 - 大模型训练推理 Infra 高级工程师简历</dc:title>
  <dc:subject>大模型训练、推理、RLVR 与 Agentic RL Infra</dc:subject>
  <dc:creator>曾柏炜</dc:creator>
  <cp:keywords>LLM Infra, verl, AReaL, Megatron-Core, RLVR, Agentic RL, SFT</cp:keywords>
  <dc:description>面向大模型训练推理 Infra 高级工程师岗位的两页中文简历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