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000" w:lineRule="exact"/>
        <w:jc w:val="center"/>
        <w:rPr>
          <w:rFonts w:ascii="仿宋_GB2312" w:hAnsi="华文中宋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华文中宋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华文中宋" w:eastAsia="仿宋_GB2312"/>
          <w:b/>
          <w:bCs/>
          <w:sz w:val="52"/>
          <w:szCs w:val="52"/>
        </w:rPr>
      </w:pPr>
      <w:r>
        <w:rPr>
          <w:rFonts w:hint="eastAsia" w:ascii="仿宋_GB2312" w:hAnsi="华文中宋" w:eastAsia="仿宋_GB2312"/>
          <w:b/>
          <w:bCs/>
          <w:sz w:val="52"/>
          <w:szCs w:val="52"/>
          <w:lang w:val="en-US" w:eastAsia="zh-CN"/>
        </w:rPr>
        <w:t>${title}</w:t>
      </w:r>
      <w:r>
        <w:rPr>
          <w:rFonts w:hint="eastAsia" w:ascii="仿宋_GB2312" w:hAnsi="华文中宋" w:eastAsia="仿宋_GB2312"/>
          <w:b/>
          <w:bCs/>
          <w:sz w:val="52"/>
          <w:szCs w:val="52"/>
        </w:rPr>
        <w:t>国土空间规划</w:t>
      </w:r>
    </w:p>
    <w:p>
      <w:pPr>
        <w:spacing w:line="1000" w:lineRule="exact"/>
        <w:jc w:val="center"/>
        <w:rPr>
          <w:rFonts w:ascii="仿宋_GB2312" w:hAnsi="华文中宋" w:eastAsia="仿宋_GB2312"/>
          <w:sz w:val="52"/>
          <w:szCs w:val="52"/>
        </w:rPr>
      </w:pPr>
      <w:r>
        <w:rPr>
          <w:rFonts w:hint="eastAsia" w:ascii="仿宋_GB2312" w:hAnsi="华文中宋" w:eastAsia="仿宋_GB2312"/>
          <w:b/>
          <w:bCs/>
          <w:sz w:val="52"/>
          <w:szCs w:val="52"/>
        </w:rPr>
        <w:t>（</w:t>
      </w:r>
      <w:r>
        <w:rPr>
          <w:rFonts w:hint="eastAsia" w:ascii="仿宋_GB2312" w:hAnsi="华文中宋" w:eastAsia="仿宋_GB2312"/>
          <w:b/>
          <w:bCs/>
          <w:sz w:val="52"/>
          <w:szCs w:val="52"/>
          <w:lang w:val="en-US" w:eastAsia="zh-CN"/>
        </w:rPr>
        <w:t>${startYear}</w:t>
      </w:r>
      <w:r>
        <w:rPr>
          <w:rFonts w:hint="eastAsia" w:ascii="仿宋_GB2312" w:hAnsi="华文中宋" w:eastAsia="仿宋_GB2312"/>
          <w:b/>
          <w:bCs/>
          <w:sz w:val="52"/>
          <w:szCs w:val="52"/>
        </w:rPr>
        <w:t>-</w:t>
      </w:r>
      <w:r>
        <w:rPr>
          <w:rFonts w:hint="eastAsia" w:ascii="仿宋_GB2312" w:hAnsi="华文中宋" w:eastAsia="仿宋_GB2312"/>
          <w:b/>
          <w:bCs/>
          <w:sz w:val="52"/>
          <w:szCs w:val="52"/>
          <w:lang w:val="en-US" w:eastAsia="zh-CN"/>
        </w:rPr>
        <w:t>${endYear}</w:t>
      </w:r>
      <w:r>
        <w:rPr>
          <w:rFonts w:hint="eastAsia" w:ascii="仿宋_GB2312" w:hAnsi="华文中宋" w:eastAsia="仿宋_GB2312"/>
          <w:b/>
          <w:bCs/>
          <w:sz w:val="52"/>
          <w:szCs w:val="52"/>
        </w:rPr>
        <w:t>年）</w:t>
      </w: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  <w:r>
        <w:rPr>
          <w:rFonts w:hint="eastAsia" w:ascii="仿宋_GB2312" w:hAnsi="仿宋_GB2312" w:eastAsia="仿宋_GB2312"/>
          <w:b/>
          <w:bCs/>
          <w:sz w:val="52"/>
          <w:szCs w:val="52"/>
        </w:rPr>
        <w:t>技术审查报告</w:t>
      </w: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jc w:val="center"/>
        <w:rPr>
          <w:rFonts w:ascii="仿宋_GB2312" w:hAnsi="黑体" w:eastAsia="仿宋_GB2312"/>
          <w:sz w:val="28"/>
          <w:szCs w:val="28"/>
        </w:rPr>
      </w:pPr>
      <w:r>
        <w:rPr>
          <w:rFonts w:hint="eastAsia" w:ascii="仿宋_GB2312" w:hAnsi="黑体" w:eastAsia="仿宋_GB2312"/>
          <w:sz w:val="28"/>
          <w:szCs w:val="28"/>
        </w:rPr>
        <w:t>自然资源部国土空间规划处</w:t>
      </w:r>
    </w:p>
    <w:p>
      <w:pPr>
        <w:jc w:val="center"/>
        <w:rPr>
          <w:rFonts w:ascii="仿宋_GB2312" w:hAnsi="黑体" w:eastAsia="仿宋_GB2312"/>
          <w:sz w:val="28"/>
          <w:szCs w:val="28"/>
        </w:rPr>
      </w:pP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${currentYear}</w:t>
      </w:r>
      <w:r>
        <w:rPr>
          <w:rFonts w:hint="eastAsia" w:ascii="仿宋_GB2312" w:hAnsi="黑体" w:eastAsia="仿宋_GB2312"/>
          <w:sz w:val="28"/>
          <w:szCs w:val="28"/>
        </w:rPr>
        <w:t>年</w:t>
      </w: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${currentMonth}</w:t>
      </w:r>
      <w:r>
        <w:rPr>
          <w:rFonts w:hint="eastAsia" w:ascii="仿宋_GB2312" w:hAnsi="黑体" w:eastAsia="仿宋_GB2312"/>
          <w:sz w:val="28"/>
          <w:szCs w:val="28"/>
        </w:rPr>
        <w:t>月</w:t>
      </w: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${currentDate}</w:t>
      </w:r>
      <w:r>
        <w:rPr>
          <w:rFonts w:hint="eastAsia" w:ascii="仿宋_GB2312" w:hAnsi="黑体" w:eastAsia="仿宋_GB2312"/>
          <w:sz w:val="28"/>
          <w:szCs w:val="28"/>
        </w:rPr>
        <w:t>日</w:t>
      </w:r>
      <w:r>
        <w:rPr>
          <w:rFonts w:hint="eastAsia" w:ascii="仿宋_GB2312" w:eastAsia="仿宋_GB2312"/>
        </w:rPr>
        <w:br w:type="page"/>
      </w:r>
    </w:p>
    <w:p>
      <w:pPr>
        <w:pStyle w:val="2"/>
        <w:spacing w:line="412" w:lineRule="auto"/>
        <w:rPr>
          <w:rFonts w:ascii="仿宋_GB2312" w:hAnsi="华文中宋" w:eastAsia="仿宋_GB2312"/>
        </w:rPr>
      </w:pPr>
      <w:r>
        <w:rPr>
          <w:rFonts w:hint="eastAsia" w:ascii="仿宋_GB2312" w:hAnsi="华文中宋" w:eastAsia="仿宋_GB2312"/>
        </w:rPr>
        <w:t>（一）规划成果</w:t>
      </w:r>
    </w:p>
    <w:p>
      <w:pPr>
        <w:spacing w:before="187" w:line="440" w:lineRule="exact"/>
        <w:ind w:firstLine="900" w:firstLineChars="300"/>
        <w:rPr>
          <w:rFonts w:ascii="仿宋_GB2312" w:hAnsi="仿宋_GB2312" w:eastAsia="仿宋_GB2312"/>
          <w:sz w:val="30"/>
          <w:szCs w:val="30"/>
        </w:rPr>
      </w:pPr>
      <w:r>
        <w:rPr>
          <w:rFonts w:hint="eastAsia" w:ascii="仿宋_GB2312" w:hAnsi="仿宋_GB2312" w:eastAsia="仿宋_GB2312"/>
          <w:sz w:val="30"/>
          <w:szCs w:val="30"/>
        </w:rPr>
        <w:t>1、</w:t>
      </w: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${name}</w:t>
      </w:r>
      <w:r>
        <w:rPr>
          <w:rFonts w:hint="eastAsia" w:ascii="仿宋_GB2312" w:hAnsi="仿宋_GB2312" w:eastAsia="仿宋_GB2312"/>
          <w:sz w:val="30"/>
          <w:szCs w:val="30"/>
        </w:rPr>
        <w:t>国土空间规划（</w:t>
      </w: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${startYear}</w:t>
      </w:r>
      <w:r>
        <w:rPr>
          <w:rFonts w:hint="eastAsia" w:ascii="仿宋_GB2312" w:hAnsi="仿宋_GB2312" w:eastAsia="仿宋_GB2312"/>
          <w:sz w:val="30"/>
          <w:szCs w:val="30"/>
        </w:rPr>
        <w:t>-</w:t>
      </w: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${endYear}</w:t>
      </w:r>
      <w:r>
        <w:rPr>
          <w:rFonts w:hint="eastAsia" w:ascii="仿宋_GB2312" w:hAnsi="仿宋_GB2312" w:eastAsia="仿宋_GB2312"/>
          <w:sz w:val="30"/>
          <w:szCs w:val="30"/>
        </w:rPr>
        <w:t>年）</w:t>
      </w:r>
    </w:p>
    <w:p>
      <w:pPr>
        <w:spacing w:before="187" w:line="440" w:lineRule="exact"/>
        <w:ind w:firstLine="900" w:firstLineChars="300"/>
        <w:rPr>
          <w:rFonts w:hint="default" w:ascii="仿宋_GB2312" w:hAns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${list1}</w:t>
      </w:r>
    </w:p>
    <w:p>
      <w:pPr>
        <w:pStyle w:val="2"/>
        <w:spacing w:line="412" w:lineRule="auto"/>
        <w:rPr>
          <w:rFonts w:ascii="仿宋_GB2312" w:hAnsi="华文中宋" w:eastAsia="仿宋_GB2312"/>
        </w:rPr>
      </w:pPr>
      <w:r>
        <w:rPr>
          <w:rFonts w:hint="eastAsia" w:ascii="仿宋_GB2312" w:hAnsi="华文中宋" w:eastAsia="仿宋_GB2312"/>
        </w:rPr>
        <w:t>（二）审查依据</w:t>
      </w:r>
    </w:p>
    <w:p>
      <w:pPr>
        <w:spacing w:before="187" w:line="440" w:lineRule="exact"/>
        <w:ind w:firstLine="900" w:firstLineChars="300"/>
        <w:rPr>
          <w:rFonts w:ascii="仿宋_GB2312" w:hAnsi="仿宋_GB2312" w:eastAsia="仿宋_GB2312"/>
          <w:sz w:val="30"/>
          <w:szCs w:val="30"/>
        </w:rPr>
      </w:pPr>
      <w:r>
        <w:rPr>
          <w:rFonts w:hint="eastAsia" w:ascii="仿宋_GB2312" w:hAnsi="仿宋_GB2312" w:eastAsia="仿宋_GB2312"/>
          <w:sz w:val="30"/>
          <w:szCs w:val="30"/>
        </w:rPr>
        <w:t>1、中华人民共和国城乡规划法（2008年1月1日实施）</w:t>
      </w:r>
    </w:p>
    <w:p>
      <w:pPr>
        <w:spacing w:before="187" w:line="440" w:lineRule="exact"/>
        <w:ind w:firstLine="900" w:firstLineChars="300"/>
        <w:rPr>
          <w:rFonts w:hint="default" w:ascii="仿宋_GB2312" w:hAns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${list2}</w:t>
      </w:r>
    </w:p>
    <w:p>
      <w:pPr>
        <w:pStyle w:val="2"/>
        <w:spacing w:line="412" w:lineRule="auto"/>
        <w:rPr>
          <w:rFonts w:ascii="仿宋_GB2312" w:hAnsi="华文中宋" w:eastAsia="仿宋_GB2312"/>
        </w:rPr>
      </w:pPr>
      <w:r>
        <w:rPr>
          <w:rFonts w:hint="eastAsia" w:ascii="仿宋_GB2312" w:hAnsi="华文中宋" w:eastAsia="仿宋_GB2312"/>
        </w:rPr>
        <w:t>（三）审查体检表</w:t>
      </w:r>
    </w:p>
    <w:p>
      <w:pPr>
        <w:spacing w:before="120" w:line="360" w:lineRule="auto"/>
        <w:ind w:firstLine="900" w:firstLineChars="300"/>
        <w:rPr>
          <w:rFonts w:ascii="仿宋_GB2312" w:hAnsi="仿宋_GB2312" w:eastAsia="仿宋_GB2312"/>
          <w:sz w:val="30"/>
          <w:szCs w:val="30"/>
        </w:rPr>
      </w:pPr>
      <w:r>
        <w:rPr>
          <w:rFonts w:hint="eastAsia" w:ascii="仿宋_GB2312" w:hAnsi="仿宋_GB2312" w:eastAsia="仿宋_GB2312"/>
          <w:sz w:val="30"/>
          <w:szCs w:val="30"/>
        </w:rPr>
        <w:t>本次审查内容分为技术性审核和成果规范性审核具体情况如下：</w:t>
      </w:r>
    </w:p>
    <w:tbl>
      <w:tblPr>
        <w:tblStyle w:val="8"/>
        <w:tblW w:w="821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405"/>
        <w:gridCol w:w="2529"/>
        <w:gridCol w:w="1405"/>
        <w:gridCol w:w="14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/>
                <w:b/>
                <w:bCs/>
                <w:color w:val="000000"/>
                <w:szCs w:val="21"/>
              </w:rPr>
              <w:t>审查模块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/>
                <w:b/>
                <w:bCs/>
                <w:color w:val="000000"/>
                <w:szCs w:val="21"/>
              </w:rPr>
              <w:t>审查分类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/>
                <w:b/>
                <w:bCs/>
                <w:color w:val="000000"/>
                <w:szCs w:val="21"/>
              </w:rPr>
              <w:t>审查要点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  <w:t>机审结果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  <w:t>结果说明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空间一致性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生态保护红线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压覆国家重大基础设施分析</w:t>
            </w: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Helvetica Neue" w:eastAsia="仿宋_GB2312"/>
                <w:color w:val="000000"/>
                <w:szCs w:val="21"/>
              </w:rPr>
              <w:t>通过/可能存在问题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Helvetica Neue" w:eastAsia="仿宋_GB2312" w:cs="宋体"/>
                <w:color w:val="000000"/>
                <w:kern w:val="0"/>
                <w:szCs w:val="21"/>
              </w:rPr>
              <w:t>压覆面积为（）平方米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空间一致性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生态保护红线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压覆重大民生保障项目分析</w:t>
            </w: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Helvetica Neue" w:eastAsia="仿宋_GB2312"/>
                <w:color w:val="000000"/>
                <w:szCs w:val="21"/>
              </w:rPr>
              <w:t>通过/可能存在问题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Helvetica Neue" w:eastAsia="仿宋_GB2312" w:cs="宋体"/>
                <w:color w:val="000000"/>
                <w:kern w:val="0"/>
                <w:szCs w:val="21"/>
              </w:rPr>
              <w:t>压覆面积为（）平方米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仿宋_GB2312" w:hAnsi="等线" w:eastAsia="仿宋_GB2312" w:cs="宋体"/>
                <w:strike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等线" w:eastAsia="仿宋_GB2312" w:cs="宋体"/>
                <w:strike/>
                <w:kern w:val="0"/>
                <w:szCs w:val="21"/>
                <w:lang w:val="en-US" w:eastAsia="zh-CN"/>
              </w:rPr>
              <w:t>${tbAddRow:tb1}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strike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strike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strike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strike/>
                <w:color w:val="000000"/>
                <w:kern w:val="0"/>
                <w:szCs w:val="21"/>
              </w:rPr>
            </w:pPr>
          </w:p>
        </w:tc>
      </w:tr>
    </w:tbl>
    <w:p>
      <w:pPr>
        <w:spacing w:before="120" w:line="360" w:lineRule="auto"/>
        <w:rPr>
          <w:rFonts w:ascii="仿宋_GB2312" w:hAnsi="仿宋_GB2312" w:eastAsia="仿宋_GB2312"/>
          <w:sz w:val="30"/>
          <w:szCs w:val="30"/>
        </w:rPr>
      </w:pPr>
    </w:p>
    <w:p>
      <w:pPr>
        <w:pStyle w:val="2"/>
        <w:spacing w:line="412" w:lineRule="auto"/>
        <w:rPr>
          <w:rFonts w:ascii="仿宋_GB2312" w:hAnsi="华文中宋" w:eastAsia="仿宋_GB2312"/>
        </w:rPr>
      </w:pPr>
      <w:r>
        <w:rPr>
          <w:rFonts w:hint="eastAsia" w:ascii="仿宋_GB2312" w:hAnsi="华文中宋" w:eastAsia="仿宋_GB2312"/>
        </w:rPr>
        <w:t>附件</w:t>
      </w:r>
    </w:p>
    <w:p>
      <w:pPr>
        <w:jc w:val="center"/>
        <w:rPr>
          <w:rFonts w:ascii="仿宋_GB2312" w:hAnsi="华文中宋" w:eastAsia="仿宋_GB2312"/>
          <w:sz w:val="30"/>
          <w:szCs w:val="30"/>
        </w:rPr>
      </w:pPr>
      <w:r>
        <w:rPr>
          <w:rFonts w:hint="eastAsia" w:ascii="仿宋_GB2312" w:hAnsi="华文中宋" w:eastAsia="仿宋_GB2312"/>
          <w:sz w:val="30"/>
          <w:szCs w:val="30"/>
          <w:lang w:val="en-US" w:eastAsia="zh-CN"/>
        </w:rPr>
        <w:t>${name}</w:t>
      </w:r>
      <w:r>
        <w:rPr>
          <w:rFonts w:hint="eastAsia" w:ascii="仿宋_GB2312" w:hAnsi="华文中宋" w:eastAsia="仿宋_GB2312"/>
          <w:sz w:val="30"/>
          <w:szCs w:val="30"/>
        </w:rPr>
        <w:t>国土空间规划（</w:t>
      </w:r>
      <w:r>
        <w:rPr>
          <w:rFonts w:hint="eastAsia" w:ascii="仿宋_GB2312" w:hAnsi="华文中宋" w:eastAsia="仿宋_GB2312"/>
          <w:sz w:val="30"/>
          <w:szCs w:val="30"/>
          <w:lang w:val="en-US" w:eastAsia="zh-CN"/>
        </w:rPr>
        <w:t>${startYear}</w:t>
      </w:r>
      <w:r>
        <w:rPr>
          <w:rFonts w:hint="eastAsia" w:ascii="仿宋_GB2312" w:hAnsi="华文中宋" w:eastAsia="仿宋_GB2312"/>
          <w:sz w:val="30"/>
          <w:szCs w:val="30"/>
        </w:rPr>
        <w:t>-</w:t>
      </w:r>
      <w:r>
        <w:rPr>
          <w:rFonts w:hint="eastAsia" w:ascii="仿宋_GB2312" w:hAnsi="华文中宋" w:eastAsia="仿宋_GB2312"/>
          <w:sz w:val="30"/>
          <w:szCs w:val="30"/>
          <w:lang w:val="en-US" w:eastAsia="zh-CN"/>
        </w:rPr>
        <w:t>${endYear}</w:t>
      </w:r>
      <w:r>
        <w:rPr>
          <w:rFonts w:hint="eastAsia" w:ascii="仿宋_GB2312" w:hAnsi="华文中宋" w:eastAsia="仿宋_GB2312"/>
          <w:sz w:val="30"/>
          <w:szCs w:val="30"/>
        </w:rPr>
        <w:t>年）</w:t>
      </w:r>
    </w:p>
    <w:p>
      <w:pPr>
        <w:jc w:val="center"/>
        <w:rPr>
          <w:rFonts w:ascii="仿宋_GB2312" w:hAnsi="华文中宋" w:eastAsia="仿宋_GB2312"/>
          <w:sz w:val="28"/>
          <w:szCs w:val="28"/>
        </w:rPr>
      </w:pPr>
      <w:r>
        <w:rPr>
          <w:rFonts w:hint="eastAsia" w:ascii="仿宋_GB2312" w:hAnsi="华文中宋" w:eastAsia="仿宋_GB2312"/>
          <w:sz w:val="28"/>
          <w:szCs w:val="28"/>
        </w:rPr>
        <w:t>一、成果审核情况表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6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07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</w:rPr>
              <w:t>一、指标符合性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</w:rPr>
              <w:t>原文位置</w:t>
            </w:r>
          </w:p>
        </w:tc>
        <w:tc>
          <w:tcPr>
            <w:tcW w:w="6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</w:rPr>
              <w:t>审查意见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指标a</w:t>
            </w:r>
          </w:p>
        </w:tc>
        <w:tc>
          <w:tcPr>
            <w:tcW w:w="6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指标a的意见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指标b</w:t>
            </w:r>
          </w:p>
        </w:tc>
        <w:tc>
          <w:tcPr>
            <w:tcW w:w="6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指标b的意见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default" w:ascii="仿宋_GB2312" w:hAns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/>
                <w:szCs w:val="21"/>
                <w:lang w:val="en-US" w:eastAsia="zh-CN"/>
              </w:rPr>
              <w:t>${tbAddRow:tb2}</w:t>
            </w:r>
          </w:p>
        </w:tc>
        <w:tc>
          <w:tcPr>
            <w:tcW w:w="6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hint="eastAsia" w:ascii="仿宋_GB2312" w:hAnsi="仿宋_GB2312" w:eastAsia="仿宋_GB2312"/>
                <w:szCs w:val="21"/>
              </w:rPr>
            </w:pPr>
          </w:p>
        </w:tc>
      </w:tr>
    </w:tbl>
    <w:p>
      <w:pPr>
        <w:jc w:val="center"/>
        <w:rPr>
          <w:rFonts w:ascii="仿宋_GB2312" w:hAnsi="华文中宋" w:eastAsia="仿宋_GB2312"/>
          <w:sz w:val="28"/>
          <w:szCs w:val="28"/>
        </w:rPr>
      </w:pPr>
    </w:p>
    <w:p>
      <w:pPr>
        <w:jc w:val="center"/>
        <w:rPr>
          <w:rFonts w:ascii="仿宋_GB2312" w:hAnsi="华文中宋" w:eastAsia="仿宋_GB2312"/>
          <w:sz w:val="28"/>
          <w:szCs w:val="28"/>
        </w:rPr>
      </w:pPr>
      <w:r>
        <w:rPr>
          <w:rFonts w:hint="eastAsia" w:ascii="仿宋_GB2312" w:hAnsi="华文中宋" w:eastAsia="仿宋_GB2312"/>
          <w:sz w:val="28"/>
          <w:szCs w:val="28"/>
        </w:rPr>
        <w:t>二、上位规划指标体系的传导与管控情况表</w:t>
      </w:r>
    </w:p>
    <w:tbl>
      <w:tblPr>
        <w:tblStyle w:val="9"/>
        <w:tblW w:w="0" w:type="auto"/>
        <w:tblInd w:w="-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30"/>
        <w:gridCol w:w="694"/>
        <w:gridCol w:w="873"/>
        <w:gridCol w:w="772"/>
        <w:gridCol w:w="1195"/>
        <w:gridCol w:w="992"/>
        <w:gridCol w:w="684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b/>
                <w:bCs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序号</w:t>
            </w:r>
          </w:p>
        </w:tc>
        <w:tc>
          <w:tcPr>
            <w:tcW w:w="14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指标名称</w:t>
            </w:r>
          </w:p>
        </w:tc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单位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属性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年份</w:t>
            </w:r>
          </w:p>
        </w:tc>
        <w:tc>
          <w:tcPr>
            <w:tcW w:w="1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文本上报值</w:t>
            </w:r>
          </w:p>
        </w:tc>
        <w:tc>
          <w:tcPr>
            <w:tcW w:w="1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上级下达指标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b/>
                <w:bCs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差值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机审结果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1</w:t>
            </w:r>
          </w:p>
        </w:tc>
        <w:tc>
          <w:tcPr>
            <w:tcW w:w="14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耕地保有量</w:t>
            </w:r>
          </w:p>
        </w:tc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公顷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约束性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2005</w:t>
            </w:r>
          </w:p>
        </w:tc>
        <w:tc>
          <w:tcPr>
            <w:tcW w:w="1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317058.2</w:t>
            </w:r>
          </w:p>
        </w:tc>
        <w:tc>
          <w:tcPr>
            <w:tcW w:w="1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-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2</w:t>
            </w:r>
          </w:p>
        </w:tc>
        <w:tc>
          <w:tcPr>
            <w:tcW w:w="14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耕地保有量</w:t>
            </w:r>
          </w:p>
        </w:tc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公顷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约束性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2010</w:t>
            </w:r>
          </w:p>
        </w:tc>
        <w:tc>
          <w:tcPr>
            <w:tcW w:w="1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316045.3</w:t>
            </w:r>
          </w:p>
        </w:tc>
        <w:tc>
          <w:tcPr>
            <w:tcW w:w="1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仿宋_GB2312" w:hAns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/>
                <w:szCs w:val="21"/>
                <w:lang w:val="en-US" w:eastAsia="zh-CN"/>
              </w:rPr>
              <w:t>${tbAddRow:tb3}</w:t>
            </w:r>
          </w:p>
        </w:tc>
        <w:tc>
          <w:tcPr>
            <w:tcW w:w="14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1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1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</w:tbl>
    <w:p>
      <w:pPr>
        <w:jc w:val="center"/>
        <w:rPr>
          <w:rFonts w:ascii="仿宋_GB2312" w:hAnsi="华文中宋" w:eastAsia="仿宋_GB2312"/>
          <w:sz w:val="28"/>
          <w:szCs w:val="28"/>
        </w:rPr>
      </w:pPr>
    </w:p>
    <w:p>
      <w:pPr>
        <w:jc w:val="center"/>
        <w:rPr>
          <w:rFonts w:ascii="仿宋_GB2312" w:hAnsi="华文中宋" w:eastAsia="仿宋_GB2312"/>
          <w:sz w:val="28"/>
          <w:szCs w:val="28"/>
        </w:rPr>
      </w:pPr>
      <w:r>
        <w:rPr>
          <w:rFonts w:hint="eastAsia" w:ascii="仿宋_GB2312" w:hAnsi="华文中宋" w:eastAsia="仿宋_GB2312"/>
          <w:sz w:val="28"/>
          <w:szCs w:val="28"/>
        </w:rPr>
        <w:t>三、国土用途规划分类</w:t>
      </w:r>
      <w:r>
        <w:rPr>
          <w:rFonts w:hint="eastAsia" w:ascii="仿宋_GB2312" w:hAnsi="华文中宋" w:eastAsia="仿宋_GB2312"/>
          <w:sz w:val="28"/>
          <w:szCs w:val="28"/>
          <w:highlight w:val="yellow"/>
        </w:rPr>
        <w:t>用地平衡</w:t>
      </w:r>
      <w:r>
        <w:rPr>
          <w:rFonts w:hint="eastAsia" w:ascii="仿宋_GB2312" w:hAnsi="华文中宋" w:eastAsia="仿宋_GB2312"/>
          <w:sz w:val="28"/>
          <w:szCs w:val="28"/>
        </w:rPr>
        <w:t>统计表</w:t>
      </w:r>
    </w:p>
    <w:tbl>
      <w:tblPr>
        <w:tblStyle w:val="9"/>
        <w:tblW w:w="0" w:type="auto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184"/>
        <w:gridCol w:w="747"/>
        <w:gridCol w:w="747"/>
        <w:gridCol w:w="747"/>
        <w:gridCol w:w="747"/>
        <w:gridCol w:w="747"/>
        <w:gridCol w:w="747"/>
        <w:gridCol w:w="748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代码</w:t>
            </w:r>
          </w:p>
        </w:tc>
        <w:tc>
          <w:tcPr>
            <w:tcW w:w="1379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地类</w:t>
            </w:r>
          </w:p>
        </w:tc>
        <w:tc>
          <w:tcPr>
            <w:tcW w:w="6638" w:type="dxa"/>
            <w:gridSpan w:val="8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规划目标年（</w:t>
            </w:r>
            <w:r>
              <w:rPr>
                <w:rFonts w:hint="eastAsia" w:ascii="仿宋_GB2312" w:hAnsi="仿宋_GB2312" w:eastAsia="仿宋_GB2312"/>
                <w:b/>
                <w:szCs w:val="21"/>
                <w:lang w:val="en-US" w:eastAsia="zh-CN"/>
              </w:rPr>
              <w:t>${currentYear}</w:t>
            </w:r>
            <w:r>
              <w:rPr>
                <w:rFonts w:hint="eastAsia" w:ascii="仿宋_GB2312" w:hAnsi="仿宋_GB2312" w:eastAsia="仿宋_GB2312"/>
                <w:b/>
                <w:szCs w:val="21"/>
              </w:rPr>
              <w:t>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</w:p>
        </w:tc>
        <w:tc>
          <w:tcPr>
            <w:tcW w:w="1379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</w:p>
        </w:tc>
        <w:tc>
          <w:tcPr>
            <w:tcW w:w="2488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面积（公顷）</w:t>
            </w:r>
          </w:p>
        </w:tc>
        <w:tc>
          <w:tcPr>
            <w:tcW w:w="1660" w:type="dxa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比例（%）</w:t>
            </w:r>
          </w:p>
        </w:tc>
        <w:tc>
          <w:tcPr>
            <w:tcW w:w="1660" w:type="dxa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人均（㎡/人）</w:t>
            </w:r>
          </w:p>
        </w:tc>
        <w:tc>
          <w:tcPr>
            <w:tcW w:w="830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机审结果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1379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表格面积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图上面积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差值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表格比例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图上比例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表格人均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图上人均</w:t>
            </w:r>
          </w:p>
        </w:tc>
        <w:tc>
          <w:tcPr>
            <w:tcW w:w="830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01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耕地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02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种植园用地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/>
                <w:szCs w:val="21"/>
                <w:lang w:val="en-US" w:eastAsia="zh-CN"/>
              </w:rPr>
              <w:t>${tbAddRow:tb4}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</w:tbl>
    <w:p>
      <w:pPr>
        <w:rPr>
          <w:rFonts w:hint="eastAsia" w:ascii="仿宋_GB2312" w:hAnsi="宋体" w:eastAsia="仿宋_GB2312"/>
          <w:lang w:val="en-US" w:eastAsia="zh-CN"/>
        </w:rPr>
      </w:pPr>
    </w:p>
    <w:p>
      <w:pPr>
        <w:rPr>
          <w:rFonts w:hint="default" w:ascii="仿宋_GB2312" w:hAnsi="宋体" w:eastAsia="仿宋_GB2312"/>
          <w:lang w:val="en-US" w:eastAsia="zh-CN"/>
        </w:rPr>
      </w:pPr>
      <w:r>
        <w:rPr>
          <w:rFonts w:hint="eastAsia" w:ascii="仿宋_GB2312" w:hAnsi="宋体" w:eastAsia="仿宋_GB2312"/>
          <w:lang w:val="en-US" w:eastAsia="zh-CN"/>
        </w:rPr>
        <w:t>行中的图片要独占一行</w:t>
      </w:r>
    </w:p>
    <w:p>
      <w:pPr>
        <w:rPr>
          <w:rFonts w:hint="eastAsia" w:ascii="仿宋_GB2312" w:hAnsi="宋体" w:eastAsia="仿宋_GB2312"/>
          <w:lang w:val="en-US" w:eastAsia="zh-CN"/>
        </w:rPr>
      </w:pPr>
      <w:r>
        <w:rPr>
          <w:rFonts w:hint="eastAsia" w:ascii="仿宋_GB2312" w:hAnsi="宋体" w:eastAsia="仿宋_GB2312"/>
          <w:lang w:val="en-US" w:eastAsia="zh-CN"/>
        </w:rPr>
        <w:t>${image:image1}</w:t>
      </w:r>
      <w:bookmarkStart w:id="0" w:name="_GoBack"/>
      <w:bookmarkEnd w:id="0"/>
    </w:p>
    <w:p>
      <w:pPr>
        <w:rPr>
          <w:rFonts w:hint="default" w:ascii="仿宋_GB2312" w:hAnsi="宋体" w:eastAsia="仿宋_GB2312"/>
          <w:lang w:val="en-US" w:eastAsia="zh-CN"/>
        </w:rPr>
      </w:pPr>
      <w:r>
        <w:rPr>
          <w:rFonts w:hint="eastAsia" w:ascii="仿宋_GB2312" w:hAnsi="宋体" w:eastAsia="仿宋_GB2312"/>
          <w:lang w:val="en-US" w:eastAsia="zh-CN"/>
        </w:rPr>
        <w:t>下面是表格中的图片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仿宋_GB2312" w:hAnsi="宋体" w:eastAsia="仿宋_GB2312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vertAlign w:val="baseline"/>
                <w:lang w:val="en-US" w:eastAsia="zh-CN"/>
              </w:rPr>
              <w:t>11</w:t>
            </w:r>
          </w:p>
        </w:tc>
        <w:tc>
          <w:tcPr>
            <w:tcW w:w="4261" w:type="dxa"/>
          </w:tcPr>
          <w:p>
            <w:pPr>
              <w:rPr>
                <w:rFonts w:hint="default" w:ascii="仿宋_GB2312" w:hAnsi="宋体" w:eastAsia="仿宋_GB2312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仿宋_GB2312" w:hAnsi="宋体" w:eastAsia="仿宋_GB2312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vertAlign w:val="baseline"/>
                <w:lang w:val="en-US" w:eastAsia="zh-CN"/>
              </w:rPr>
              <w:t>表格中的图片要独占一格</w:t>
            </w:r>
          </w:p>
        </w:tc>
        <w:tc>
          <w:tcPr>
            <w:tcW w:w="4261" w:type="dxa"/>
          </w:tcPr>
          <w:p>
            <w:pPr>
              <w:rPr>
                <w:rFonts w:hint="default" w:ascii="仿宋_GB2312" w:hAnsi="宋体" w:eastAsia="仿宋_GB2312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vertAlign w:val="baseline"/>
                <w:lang w:val="en-US" w:eastAsia="zh-CN"/>
              </w:rPr>
              <w:t>${image:image2}</w:t>
            </w:r>
          </w:p>
        </w:tc>
      </w:tr>
    </w:tbl>
    <w:p>
      <w:pPr>
        <w:rPr>
          <w:rFonts w:ascii="仿宋_GB2312" w:hAnsi="宋体" w:eastAsia="仿宋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41C6"/>
    <w:rsid w:val="00046C1A"/>
    <w:rsid w:val="00064237"/>
    <w:rsid w:val="000743E9"/>
    <w:rsid w:val="000C51B7"/>
    <w:rsid w:val="000E4F11"/>
    <w:rsid w:val="0013217D"/>
    <w:rsid w:val="00181BA1"/>
    <w:rsid w:val="001D5CEB"/>
    <w:rsid w:val="00216EB9"/>
    <w:rsid w:val="002660A0"/>
    <w:rsid w:val="00267BC6"/>
    <w:rsid w:val="00292F67"/>
    <w:rsid w:val="002E5537"/>
    <w:rsid w:val="00333298"/>
    <w:rsid w:val="00345681"/>
    <w:rsid w:val="003768BC"/>
    <w:rsid w:val="003A1B4B"/>
    <w:rsid w:val="003B17BE"/>
    <w:rsid w:val="003D47B4"/>
    <w:rsid w:val="004111E6"/>
    <w:rsid w:val="0041428B"/>
    <w:rsid w:val="004162A5"/>
    <w:rsid w:val="00425957"/>
    <w:rsid w:val="00426E38"/>
    <w:rsid w:val="00461965"/>
    <w:rsid w:val="00481886"/>
    <w:rsid w:val="004C4F96"/>
    <w:rsid w:val="004D0930"/>
    <w:rsid w:val="004E23CC"/>
    <w:rsid w:val="00526D86"/>
    <w:rsid w:val="005405FD"/>
    <w:rsid w:val="005858FE"/>
    <w:rsid w:val="00587B34"/>
    <w:rsid w:val="0059531B"/>
    <w:rsid w:val="005F6193"/>
    <w:rsid w:val="006125A2"/>
    <w:rsid w:val="00616505"/>
    <w:rsid w:val="0062213C"/>
    <w:rsid w:val="00633F40"/>
    <w:rsid w:val="006549AD"/>
    <w:rsid w:val="00674856"/>
    <w:rsid w:val="00684D9C"/>
    <w:rsid w:val="00685FCC"/>
    <w:rsid w:val="006C29C9"/>
    <w:rsid w:val="007276FC"/>
    <w:rsid w:val="00744143"/>
    <w:rsid w:val="007E5F50"/>
    <w:rsid w:val="00811F3A"/>
    <w:rsid w:val="008C7922"/>
    <w:rsid w:val="008E7D27"/>
    <w:rsid w:val="00930B5E"/>
    <w:rsid w:val="00955CB0"/>
    <w:rsid w:val="009626A0"/>
    <w:rsid w:val="009877D2"/>
    <w:rsid w:val="009C1F45"/>
    <w:rsid w:val="009E2E99"/>
    <w:rsid w:val="00A4024C"/>
    <w:rsid w:val="00A540EB"/>
    <w:rsid w:val="00A5594E"/>
    <w:rsid w:val="00A60633"/>
    <w:rsid w:val="00A80A24"/>
    <w:rsid w:val="00B02331"/>
    <w:rsid w:val="00B025E3"/>
    <w:rsid w:val="00B16987"/>
    <w:rsid w:val="00BA0C1A"/>
    <w:rsid w:val="00BC0129"/>
    <w:rsid w:val="00BC1045"/>
    <w:rsid w:val="00BC115D"/>
    <w:rsid w:val="00BD1106"/>
    <w:rsid w:val="00BF488D"/>
    <w:rsid w:val="00C061CB"/>
    <w:rsid w:val="00C30235"/>
    <w:rsid w:val="00C604EC"/>
    <w:rsid w:val="00D03677"/>
    <w:rsid w:val="00D13178"/>
    <w:rsid w:val="00D44CBD"/>
    <w:rsid w:val="00D56922"/>
    <w:rsid w:val="00E011E6"/>
    <w:rsid w:val="00E226C1"/>
    <w:rsid w:val="00E26251"/>
    <w:rsid w:val="00E31005"/>
    <w:rsid w:val="00E40B70"/>
    <w:rsid w:val="00E63CAE"/>
    <w:rsid w:val="00EA1EE8"/>
    <w:rsid w:val="00F46B8A"/>
    <w:rsid w:val="00F53662"/>
    <w:rsid w:val="00F537F7"/>
    <w:rsid w:val="00F81A74"/>
    <w:rsid w:val="00F97358"/>
    <w:rsid w:val="00FA0EFF"/>
    <w:rsid w:val="00FF022B"/>
    <w:rsid w:val="02B8088F"/>
    <w:rsid w:val="083D07F0"/>
    <w:rsid w:val="105E3B74"/>
    <w:rsid w:val="1C2C4424"/>
    <w:rsid w:val="1CD54CE6"/>
    <w:rsid w:val="1DEC38DC"/>
    <w:rsid w:val="20524974"/>
    <w:rsid w:val="26CE0C14"/>
    <w:rsid w:val="27BD2CDC"/>
    <w:rsid w:val="30456175"/>
    <w:rsid w:val="36772279"/>
    <w:rsid w:val="434067C1"/>
    <w:rsid w:val="53AB7574"/>
    <w:rsid w:val="568D20C3"/>
    <w:rsid w:val="5B2A1C9E"/>
    <w:rsid w:val="6A9862D5"/>
    <w:rsid w:val="6E557710"/>
    <w:rsid w:val="6EAF13B0"/>
    <w:rsid w:val="71061E72"/>
    <w:rsid w:val="768804FE"/>
    <w:rsid w:val="7A3B2499"/>
    <w:rsid w:val="7DC2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10"/>
    <w:link w:val="3"/>
    <w:semiHidden/>
    <w:qFormat/>
    <w:uiPriority w:val="99"/>
    <w:rPr>
      <w:kern w:val="2"/>
      <w:sz w:val="21"/>
      <w:szCs w:val="22"/>
    </w:rPr>
  </w:style>
  <w:style w:type="character" w:customStyle="1" w:styleId="16">
    <w:name w:val="批注主题 字符"/>
    <w:basedOn w:val="15"/>
    <w:link w:val="7"/>
    <w:semiHidden/>
    <w:qFormat/>
    <w:uiPriority w:val="99"/>
    <w:rPr>
      <w:b/>
      <w:bCs/>
      <w:kern w:val="2"/>
      <w:sz w:val="21"/>
      <w:szCs w:val="22"/>
    </w:rPr>
  </w:style>
  <w:style w:type="character" w:customStyle="1" w:styleId="17">
    <w:name w:val="批注框文本 字符"/>
    <w:basedOn w:val="10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font-family:华文楷体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124DA1-93BE-4C2E-AF13-421196BAE3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96</Words>
  <Characters>548</Characters>
  <Lines>4</Lines>
  <Paragraphs>1</Paragraphs>
  <TotalTime>0</TotalTime>
  <ScaleCrop>false</ScaleCrop>
  <LinksUpToDate>false</LinksUpToDate>
  <CharactersWithSpaces>643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2019-10-24T05:23:00Z</dcterms:created>
  <dc:creator>Tencent</dc:creator>
  <cp:lastModifiedBy>复合式→展开式</cp:lastModifiedBy>
  <dcterms:modified xsi:type="dcterms:W3CDTF">2019-10-26T15:08:51Z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