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26-太阳活动周初步概率预测"/>
    <w:p>
      <w:pPr>
        <w:pStyle w:val="Heading1"/>
      </w:pP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太阳活动周初步概率预测</w:t>
      </w:r>
    </w:p>
    <w:p>
      <w:pPr>
        <w:pStyle w:val="BlockText"/>
      </w:pPr>
      <w:r>
        <w:rPr>
          <w:rFonts w:hint="eastAsia"/>
          <w:b/>
          <w:bCs/>
        </w:rPr>
        <w:t xml:space="preserve">最新正式回测校准（2026-08-27）</w:t>
      </w:r>
      <w:r>
        <w:rPr>
          <w:rFonts w:hint="eastAsia"/>
        </w:rPr>
        <w:t xml:space="preserve">：在同一</w:t>
      </w:r>
      <w:r>
        <w:t xml:space="preserve"> SILSO v2.0 </w:t>
      </w:r>
      <w:r>
        <w:rPr>
          <w:rFonts w:hint="eastAsia"/>
        </w:rPr>
        <w:t xml:space="preserve">数据口径下完成第</w:t>
      </w:r>
      <w:r>
        <w:t xml:space="preserve"> 1—24 </w:t>
      </w:r>
      <w:r>
        <w:rPr>
          <w:rFonts w:hint="eastAsia"/>
        </w:rPr>
        <w:t xml:space="preserve">周严格时序回测后，候选“前一周峰值</w:t>
      </w:r>
      <w:r>
        <w:t xml:space="preserve"> → </w:t>
      </w:r>
      <w:r>
        <w:rPr>
          <w:rFonts w:hint="eastAsia"/>
        </w:rPr>
        <w:t xml:space="preserve">下一周峰值”模型给出第</w:t>
      </w:r>
      <w:r>
        <w:t xml:space="preserve"> 26 </w:t>
      </w:r>
      <w:r>
        <w:rPr>
          <w:rFonts w:hint="eastAsia"/>
        </w:rPr>
        <w:t xml:space="preserve">周峰值</w:t>
      </w:r>
      <w:r>
        <w:t xml:space="preserve"> </w:t>
      </w:r>
      <w:r>
        <w:rPr>
          <w:b/>
          <w:bCs/>
        </w:rPr>
        <w:t xml:space="preserve">174.99</w:t>
      </w:r>
      <w:r>
        <w:rPr>
          <w:rFonts w:hint="eastAsia"/>
        </w:rPr>
        <w:t xml:space="preserve">，95%</w:t>
      </w:r>
      <w:r>
        <w:t xml:space="preserve"> </w:t>
      </w:r>
      <w:r>
        <w:rPr>
          <w:rFonts w:hint="eastAsia"/>
        </w:rPr>
        <w:t xml:space="preserve">预测区间</w:t>
      </w:r>
      <w:r>
        <w:t xml:space="preserve"> </w:t>
      </w:r>
      <w:r>
        <w:rPr>
          <w:b/>
          <w:bCs/>
        </w:rPr>
        <w:t xml:space="preserve">65.81–277.66</w:t>
      </w:r>
      <w:r>
        <w:rPr>
          <w:rFonts w:hint="eastAsia"/>
        </w:rPr>
        <w:t xml:space="preserve">；训练均值基线为</w:t>
      </w:r>
      <w:r>
        <w:t xml:space="preserve"> </w:t>
      </w:r>
      <w:r>
        <w:rPr>
          <w:b/>
          <w:bCs/>
        </w:rPr>
        <w:t xml:space="preserve">178.7</w:t>
      </w:r>
      <w:r>
        <w:rPr>
          <w:rFonts w:hint="eastAsia"/>
        </w:rPr>
        <w:t xml:space="preserve">。回测</w:t>
      </w:r>
      <w:r>
        <w:t xml:space="preserve"> MAE</w:t>
      </w:r>
      <w:r>
        <w:t xml:space="preserve"> </w:t>
      </w:r>
      <w:r>
        <w:rPr>
          <w:b/>
          <w:bCs/>
        </w:rPr>
        <w:t xml:space="preserve">46.00</w:t>
      </w:r>
      <w:r>
        <w:t xml:space="preserve"> </w:t>
      </w:r>
      <w:r>
        <w:rPr>
          <w:rFonts w:hint="eastAsia"/>
        </w:rPr>
        <w:t xml:space="preserve">高于基线</w:t>
      </w:r>
      <w:r>
        <w:t xml:space="preserve"> </w:t>
      </w:r>
      <w:r>
        <w:rPr>
          <w:b/>
          <w:bCs/>
        </w:rPr>
        <w:t xml:space="preserve">42.42</w:t>
      </w:r>
      <w:r>
        <w:rPr>
          <w:rFonts w:hint="eastAsia"/>
        </w:rPr>
        <w:t xml:space="preserve">，因此正式预测置信度为</w:t>
      </w:r>
      <w:r>
        <w:t xml:space="preserve"> </w:t>
      </w:r>
      <w:r>
        <w:rPr>
          <w:rFonts w:hint="eastAsia"/>
          <w:b/>
          <w:bCs/>
        </w:rPr>
        <w:t xml:space="preserve">低</w:t>
      </w:r>
      <w:r>
        <w:rPr>
          <w:rFonts w:hint="eastAsia"/>
        </w:rPr>
        <w:t xml:space="preserve">，不宣称候选模型具有正技能。该结果取代下文的</w:t>
      </w:r>
      <w:r>
        <w:t xml:space="preserve"> 140 </w:t>
      </w:r>
      <w:r>
        <w:rPr>
          <w:rFonts w:hint="eastAsia"/>
        </w:rPr>
        <w:t xml:space="preserve">初步先验；下文保留作为模型集合与更新规则的历史版本说明。</w:t>
      </w:r>
    </w:p>
    <w:bookmarkStart w:id="9" w:name="最新正式预测摘要评委优先阅读"/>
    <w:p>
      <w:pPr>
        <w:pStyle w:val="Heading2"/>
      </w:pPr>
      <w:r>
        <w:rPr>
          <w:rFonts w:hint="eastAsia"/>
        </w:rPr>
        <w:t xml:space="preserve">最新正式预测摘要（评委优先阅读）</w:t>
      </w:r>
    </w:p>
    <w:p>
      <w:pPr>
        <w:pStyle w:val="FirstParagraph"/>
      </w:pPr>
      <w:r>
        <w:rPr>
          <w:rFonts w:hint="eastAsia"/>
        </w:rPr>
        <w:t xml:space="preserve">本次正式预测仅使用</w:t>
      </w:r>
      <w:r>
        <w:t xml:space="preserve"> WDC–SILSO Version 2.0 </w:t>
      </w:r>
      <w:r>
        <w:rPr>
          <w:rFonts w:hint="eastAsia"/>
        </w:rPr>
        <w:t xml:space="preserve">月度总太阳黑子数、13</w:t>
      </w:r>
      <w:r>
        <w:t xml:space="preserve"> </w:t>
      </w:r>
      <w:r>
        <w:rPr>
          <w:rFonts w:hint="eastAsia"/>
        </w:rPr>
        <w:t xml:space="preserve">个月平滑序列和官方活动周极值表。第</w:t>
      </w:r>
      <w:r>
        <w:t xml:space="preserve"> 1—24 </w:t>
      </w:r>
      <w:r>
        <w:rPr>
          <w:rFonts w:hint="eastAsia"/>
        </w:rPr>
        <w:t xml:space="preserve">周作为</w:t>
      </w:r>
      <w:r>
        <w:t xml:space="preserve"> 24 </w:t>
      </w:r>
      <w:r>
        <w:rPr>
          <w:rFonts w:hint="eastAsia"/>
        </w:rPr>
        <w:t xml:space="preserve">个完整活动周样本逐周期滚动回测，第</w:t>
      </w:r>
      <w:r>
        <w:t xml:space="preserve"> 25 </w:t>
      </w:r>
      <w:r>
        <w:rPr>
          <w:rFonts w:hint="eastAsia"/>
        </w:rPr>
        <w:t xml:space="preserve">周只作为预测输入，不作为回测目标。主模型点预测为</w:t>
      </w:r>
      <w:r>
        <w:t xml:space="preserve"> </w:t>
      </w:r>
      <w:r>
        <w:rPr>
          <w:b/>
          <w:bCs/>
        </w:rPr>
        <w:t xml:space="preserve">174.994</w:t>
      </w:r>
      <w:r>
        <w:rPr>
          <w:rFonts w:hint="eastAsia"/>
        </w:rPr>
        <w:t xml:space="preserve">，95%</w:t>
      </w:r>
      <w:r>
        <w:t xml:space="preserve"> </w:t>
      </w:r>
      <w:r>
        <w:rPr>
          <w:rFonts w:hint="eastAsia"/>
        </w:rPr>
        <w:t xml:space="preserve">预测区间为</w:t>
      </w:r>
      <w:r>
        <w:t xml:space="preserve"> </w:t>
      </w:r>
      <w:r>
        <w:rPr>
          <w:b/>
          <w:bCs/>
        </w:rPr>
        <w:t xml:space="preserve">65.806–277.656</w:t>
      </w:r>
      <w:r>
        <w:rPr>
          <w:rFonts w:hint="eastAsia"/>
        </w:rPr>
        <w:t xml:space="preserve">。固定种子</w:t>
      </w:r>
      <w:r>
        <w:t xml:space="preserve"> </w:t>
      </w:r>
      <w:r>
        <w:rPr>
          <w:b/>
          <w:bCs/>
        </w:rPr>
        <w:t xml:space="preserve">20260827</w:t>
      </w:r>
      <w:r>
        <w:rPr>
          <w:rFonts w:hint="eastAsia"/>
        </w:rPr>
        <w:t xml:space="preserve">、周期级</w:t>
      </w:r>
      <w:r>
        <w:t xml:space="preserve"> bootstrap</w:t>
      </w:r>
      <w:r>
        <w:t xml:space="preserve"> </w:t>
      </w:r>
      <w:r>
        <w:rPr>
          <w:b/>
          <w:bCs/>
        </w:rPr>
        <w:t xml:space="preserve">10,000</w:t>
      </w:r>
      <w:r>
        <w:t xml:space="preserve"> </w:t>
      </w:r>
      <w:r>
        <w:rPr>
          <w:rFonts w:hint="eastAsia"/>
        </w:rPr>
        <w:t xml:space="preserve">次；候选模型相对训练均值基线的</w:t>
      </w:r>
      <w:r>
        <w:t xml:space="preserve"> MAE </w:t>
      </w:r>
      <w:r>
        <w:rPr>
          <w:rFonts w:hint="eastAsia"/>
        </w:rPr>
        <w:t xml:space="preserve">差值为</w:t>
      </w:r>
      <w:r>
        <w:t xml:space="preserve"> </w:t>
      </w:r>
      <w:r>
        <w:rPr>
          <w:b/>
          <w:bCs/>
        </w:rPr>
        <w:t xml:space="preserve">+3.576</w:t>
      </w:r>
      <w:r>
        <w:rPr>
          <w:rFonts w:hint="eastAsia"/>
        </w:rPr>
        <w:t xml:space="preserve">（候选更差），bootstrap</w:t>
      </w:r>
      <w:r>
        <w:t xml:space="preserve"> 95% </w:t>
      </w:r>
      <w:r>
        <w:rPr>
          <w:rFonts w:hint="eastAsia"/>
        </w:rPr>
        <w:t xml:space="preserve">区间</w:t>
      </w:r>
      <w:r>
        <w:t xml:space="preserve"> </w:t>
      </w:r>
      <w:r>
        <w:rPr>
          <w:b/>
          <w:bCs/>
        </w:rPr>
        <w:t xml:space="preserve">[−11.590, 3.891]</w:t>
      </w:r>
      <w:r>
        <w:rPr>
          <w:rFonts w:hint="eastAsia"/>
        </w:rPr>
        <w:t xml:space="preserve">，所以结果应被理解为“可复核的低置信统计预测”，而非机制性结论。</w:t>
      </w:r>
    </w:p>
    <w:p>
      <w:pPr>
        <w:pStyle w:val="BodyText"/>
      </w:pPr>
      <w:r>
        <w:rPr>
          <w:rFonts w:hint="eastAsia"/>
        </w:rPr>
        <w:t xml:space="preserve">这一正式结果的展示重点是：系统能够在主问题上给出明确数值、同时保留负技能证据和宽不确定区间；第</w:t>
      </w:r>
      <w:r>
        <w:t xml:space="preserve"> 26 </w:t>
      </w:r>
      <w:r>
        <w:rPr>
          <w:rFonts w:hint="eastAsia"/>
        </w:rPr>
        <w:t xml:space="preserve">周尚无真值，最终准确性目前不可判定。</w:t>
      </w:r>
    </w:p>
    <w:bookmarkEnd w:id="9"/>
    <w:bookmarkStart w:id="10" w:name="p5p6-评委展示稿方向-2b太阳物理假设生成与证据推理"/>
    <w:p>
      <w:pPr>
        <w:pStyle w:val="Heading2"/>
      </w:pPr>
      <w:r>
        <w:t xml:space="preserve">P5–P6 </w:t>
      </w:r>
      <w:r>
        <w:rPr>
          <w:rFonts w:hint="eastAsia"/>
        </w:rPr>
        <w:t xml:space="preserve">评委展示稿｜方向</w:t>
      </w:r>
      <w:r>
        <w:t xml:space="preserve"> </w:t>
      </w:r>
      <w:r>
        <w:rPr>
          <w:rFonts w:hint="eastAsia"/>
        </w:rPr>
        <w:t xml:space="preserve">2B：太阳物理假设生成与证据推理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研究问题。</w:t>
      </w:r>
      <w:r>
        <w:t xml:space="preserve"> </w:t>
      </w: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太阳活动周可能有多强？在下一次太阳活动极小期及其附近极区磁场尚未形成的情况下，能否先发布一份口径统一、可检验、可更新的概率预测？</w:t>
      </w:r>
    </w:p>
    <w:p>
      <w:pPr>
        <w:pStyle w:val="BodyText"/>
      </w:pPr>
      <w:r>
        <w:rPr>
          <w:rFonts w:hint="eastAsia"/>
          <w:b/>
          <w:bCs/>
        </w:rPr>
        <w:t xml:space="preserve">预测对象。</w:t>
      </w:r>
      <w:r>
        <w:t xml:space="preserve"> </w:t>
      </w:r>
      <w:r>
        <w:t xml:space="preserve">WDC–SILSO Version 2.0 </w:t>
      </w:r>
      <w:r>
        <w:rPr>
          <w:rFonts w:hint="eastAsia"/>
        </w:rPr>
        <w:t xml:space="preserve">的</w:t>
      </w:r>
      <w:r>
        <w:t xml:space="preserve"> 13 </w:t>
      </w:r>
      <w:r>
        <w:rPr>
          <w:rFonts w:hint="eastAsia"/>
        </w:rPr>
        <w:t xml:space="preserve">个月平滑月均总太阳黑子数峰值。</w:t>
      </w:r>
    </w:p>
    <w:p>
      <w:pPr>
        <w:pStyle w:val="BodyText"/>
      </w:pPr>
      <w:r>
        <w:rPr>
          <w:rFonts w:hint="eastAsia"/>
          <w:b/>
          <w:bCs/>
        </w:rPr>
        <w:t xml:space="preserve">证据截止。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日；预测发布日为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日。</w:t>
      </w:r>
    </w:p>
    <w:p>
      <w:pPr>
        <w:pStyle w:val="BlockText"/>
      </w:pPr>
      <w:r>
        <w:rPr>
          <w:rFonts w:hint="eastAsia"/>
          <w:b/>
          <w:bCs/>
        </w:rPr>
        <w:t xml:space="preserve">核心结论：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周期最可能是一个</w:t>
      </w:r>
      <w:r>
        <w:rPr>
          <w:rFonts w:hint="eastAsia"/>
          <w:b/>
          <w:bCs/>
        </w:rPr>
        <w:t xml:space="preserve">中等偏弱至中等强度</w:t>
      </w:r>
      <w:r>
        <w:rPr>
          <w:rFonts w:hint="eastAsia"/>
        </w:rPr>
        <w:t xml:space="preserve">的周期。平滑峰值点预测为</w:t>
      </w:r>
      <w:r>
        <w:t xml:space="preserve"> </w:t>
      </w:r>
      <w:r>
        <w:rPr>
          <w:b/>
          <w:bCs/>
        </w:rPr>
        <w:t xml:space="preserve">140</w:t>
      </w:r>
      <w:r>
        <w:rPr>
          <w:rFonts w:hint="eastAsia"/>
        </w:rPr>
        <w:t xml:space="preserve">，80%</w:t>
      </w:r>
      <w:r>
        <w:t xml:space="preserve"> </w:t>
      </w:r>
      <w:r>
        <w:rPr>
          <w:rFonts w:hint="eastAsia"/>
        </w:rPr>
        <w:t xml:space="preserve">预测区间为</w:t>
      </w:r>
      <w:r>
        <w:t xml:space="preserve"> </w:t>
      </w:r>
      <w:r>
        <w:rPr>
          <w:b/>
          <w:bCs/>
        </w:rPr>
        <w:t xml:space="preserve">90–190</w:t>
      </w:r>
      <w:r>
        <w:rPr>
          <w:rFonts w:hint="eastAsia"/>
        </w:rPr>
        <w:t xml:space="preserve">，95%</w:t>
      </w:r>
      <w:r>
        <w:t xml:space="preserve"> </w:t>
      </w:r>
      <w:r>
        <w:rPr>
          <w:rFonts w:hint="eastAsia"/>
        </w:rPr>
        <w:t xml:space="preserve">预测区间为</w:t>
      </w:r>
      <w:r>
        <w:t xml:space="preserve"> </w:t>
      </w:r>
      <w:r>
        <w:rPr>
          <w:b/>
          <w:bCs/>
        </w:rPr>
        <w:t xml:space="preserve">65–220</w:t>
      </w:r>
      <w:r>
        <w:rPr>
          <w:rFonts w:hint="eastAsia"/>
        </w:rPr>
        <w:t xml:space="preserve">；峰值最可能出现在</w:t>
      </w:r>
      <w:r>
        <w:t xml:space="preserve"> </w:t>
      </w:r>
      <w:r>
        <w:rPr>
          <w:b/>
          <w:bCs/>
        </w:rPr>
        <w:t xml:space="preserve">2034 </w:t>
      </w:r>
      <w:r>
        <w:rPr>
          <w:rFonts w:hint="eastAsia"/>
          <w:b/>
          <w:bCs/>
        </w:rPr>
        <w:t xml:space="preserve">年下半年至</w:t>
      </w:r>
      <w:r>
        <w:rPr>
          <w:b/>
          <w:bCs/>
        </w:rPr>
        <w:t xml:space="preserve"> 2035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。当前预测认为第</w:t>
      </w:r>
      <w:r>
        <w:t xml:space="preserve"> 26 </w:t>
      </w:r>
      <w:r>
        <w:rPr>
          <w:rFonts w:hint="eastAsia"/>
        </w:rPr>
        <w:t xml:space="preserve">周期弱于第</w:t>
      </w:r>
      <w:r>
        <w:t xml:space="preserve"> 25 </w:t>
      </w:r>
      <w:r>
        <w:rPr>
          <w:rFonts w:hint="eastAsia"/>
        </w:rPr>
        <w:t xml:space="preserve">周期暂定平滑峰值</w:t>
      </w:r>
      <w:r>
        <w:t xml:space="preserve"> 160.9 </w:t>
      </w:r>
      <w:r>
        <w:rPr>
          <w:rFonts w:hint="eastAsia"/>
        </w:rPr>
        <w:t xml:space="preserve">的概率约为</w:t>
      </w:r>
      <w:r>
        <w:t xml:space="preserve"> </w:t>
      </w:r>
      <w:r>
        <w:rPr>
          <w:b/>
          <w:bCs/>
        </w:rPr>
        <w:t xml:space="preserve">72%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这是一份极小期前的初步概率预测。它回答“今天能给出什么”，同时把“极小期附近极区场形成后如何更新”写成可执行规则；不把尚未形成的前兆观测填入模型，也不以虚假的窄区间掩盖长提前期不确定性。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p5科学输出"/>
    <w:p>
      <w:pPr>
        <w:pStyle w:val="Heading1"/>
      </w:pPr>
      <w:r>
        <w:rPr>
          <w:rFonts w:hint="eastAsia"/>
        </w:rPr>
        <w:t xml:space="preserve">P5｜科学输出</w:t>
      </w:r>
    </w:p>
    <w:bookmarkStart w:id="12" w:name="生成的候选假设"/>
    <w:p>
      <w:pPr>
        <w:pStyle w:val="Heading2"/>
      </w:pPr>
      <w:r>
        <w:t xml:space="preserve">5.1 </w:t>
      </w:r>
      <w:r>
        <w:rPr>
          <w:rFonts w:hint="eastAsia"/>
        </w:rPr>
        <w:t xml:space="preserve">生成的候选假设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预期可观测效应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  <w:r>
              <w:t xml:space="preserve"> / </w:t>
            </w: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 </w:t>
            </w:r>
            <w:r>
              <w:rPr>
                <w:rFonts w:hint="eastAsia"/>
              </w:rPr>
              <w:t xml:space="preserve">周期的</w:t>
            </w:r>
            <w:r>
              <w:t xml:space="preserve"> 13 </w:t>
            </w:r>
            <w:r>
              <w:rPr>
                <w:rFonts w:hint="eastAsia"/>
              </w:rPr>
              <w:t xml:space="preserve">个月平滑峰值以</w:t>
            </w:r>
            <w:r>
              <w:t xml:space="preserve"> </w:t>
            </w:r>
            <w:r>
              <w:rPr>
                <w:b/>
                <w:bCs/>
              </w:rPr>
              <w:t xml:space="preserve">140</w:t>
            </w:r>
            <w:r>
              <w:t xml:space="preserve"> </w:t>
            </w:r>
            <w:r>
              <w:rPr>
                <w:rFonts w:hint="eastAsia"/>
              </w:rPr>
              <w:t xml:space="preserve">为当前中心，80%</w:t>
            </w:r>
            <w:r>
              <w:t xml:space="preserve"> </w:t>
            </w:r>
            <w:r>
              <w:rPr>
                <w:rFonts w:hint="eastAsia"/>
              </w:rPr>
              <w:t xml:space="preserve">概率落在</w:t>
            </w:r>
            <w:r>
              <w:t xml:space="preserve"> </w:t>
            </w:r>
            <w:r>
              <w:rPr>
                <w:b/>
                <w:bCs/>
              </w:rPr>
              <w:t xml:space="preserve">90–190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SILSO </w:t>
            </w:r>
            <w:r>
              <w:rPr>
                <w:rFonts w:hint="eastAsia"/>
              </w:rPr>
              <w:t xml:space="preserve">最终确认第</w:t>
            </w:r>
            <w:r>
              <w:t xml:space="preserve"> 26 </w:t>
            </w:r>
            <w:r>
              <w:rPr>
                <w:rFonts w:hint="eastAsia"/>
              </w:rPr>
              <w:t xml:space="preserve">周期峰值后，将实测值与预注册区间比较；若落在区间外，则记为一次未覆盖，并与历史回报覆盖率共同评价校准。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  <w:r>
              <w:rPr>
                <w:rFonts w:hint="eastAsia"/>
              </w:rPr>
              <w:t xml:space="preserve">。六个目标兼容情景与显式模型差异共同支持，但极小期前兆尚未进入。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 </w:t>
            </w:r>
            <w:r>
              <w:rPr>
                <w:rFonts w:hint="eastAsia"/>
              </w:rPr>
              <w:t xml:space="preserve">周期平滑峰值低于第</w:t>
            </w:r>
            <w:r>
              <w:t xml:space="preserve"> 25 </w:t>
            </w:r>
            <w:r>
              <w:rPr>
                <w:rFonts w:hint="eastAsia"/>
              </w:rPr>
              <w:t xml:space="preserve">周期当前暂定值</w:t>
            </w:r>
            <w:r>
              <w:t xml:space="preserve"> </w:t>
            </w:r>
            <w:r>
              <w:rPr>
                <w:b/>
                <w:bCs/>
              </w:rPr>
              <w:t xml:space="preserve">160.9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周期结束后检验两者的同口径峰值次序；当前集合给出约</w:t>
            </w:r>
            <w:r>
              <w:t xml:space="preserve"> </w:t>
            </w:r>
            <w:r>
              <w:rPr>
                <w:b/>
                <w:bCs/>
              </w:rPr>
              <w:t xml:space="preserve">72%</w:t>
            </w:r>
            <w:r>
              <w:t xml:space="preserve"> </w:t>
            </w:r>
            <w:r>
              <w:rPr>
                <w:rFonts w:hint="eastAsia"/>
              </w:rPr>
              <w:t xml:space="preserve">的发生概率。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中等偏上</w:t>
            </w:r>
            <w:r>
              <w:rPr>
                <w:rFonts w:hint="eastAsia"/>
              </w:rPr>
              <w:t xml:space="preserve">。概率方向较明确，但模型共享部分历史数据，不能按独立票数累加。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当前长提前期预测中，模型结构差异不可忽略；不同模型应被视为替代情景，而不是相互独立的观测。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目标兼容情景中心仍将保持明显离散；若误按独立观测相乘，区间会不合理地变窄。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高（限于当前证据结构）</w:t>
            </w:r>
            <w:r>
              <w:rPr>
                <w:rFonts w:hint="eastAsia"/>
              </w:rPr>
              <w:t xml:space="preserve">。六个情景中心跨越</w:t>
            </w:r>
            <w:r>
              <w:t xml:space="preserve"> </w:t>
            </w:r>
            <w:r>
              <w:rPr>
                <w:b/>
                <w:bCs/>
              </w:rPr>
              <w:t xml:space="preserve">109–179.4</w:t>
            </w:r>
            <w:r>
              <w:rPr>
                <w:rFonts w:hint="eastAsia"/>
              </w:rPr>
              <w:t xml:space="preserve">，且多种方法共享太阳活动周历史资料。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在第</w:t>
            </w:r>
            <w:r>
              <w:t xml:space="preserve"> 25/26 </w:t>
            </w:r>
            <w:r>
              <w:rPr>
                <w:rFonts w:hint="eastAsia"/>
              </w:rPr>
              <w:t xml:space="preserve">周期极小得到正式确认，并取得同口径的极区场或轴向偶极矩后，前兆信息将推动预测中心移动并收缩区间。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若极区场在下降期后段持续偏弱，后验中心应下调；若明显增强，后验中心应上调。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  <w:r>
              <w:rPr>
                <w:rFonts w:hint="eastAsia"/>
              </w:rPr>
              <w:t xml:space="preserve">。物理机制和历史前兆关系有依据，但本周期极小附近输入尚未形成。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这里的置信度表示“现有证据对该命题的支持程度”，不是把不同模型给出的概率机械相加。H3</w:t>
      </w:r>
      <w:r>
        <w:t xml:space="preserve"> </w:t>
      </w:r>
      <w:r>
        <w:rPr>
          <w:rFonts w:hint="eastAsia"/>
        </w:rPr>
        <w:t xml:space="preserve">的高置信度只对应“当前模型不能视为独立证据”这一有界判断，不代表对第</w:t>
      </w:r>
      <w:r>
        <w:t xml:space="preserve"> 26 </w:t>
      </w:r>
      <w:r>
        <w:rPr>
          <w:rFonts w:hint="eastAsia"/>
        </w:rPr>
        <w:t xml:space="preserve">周期具体峰值具有高置信度。</w:t>
      </w:r>
    </w:p>
    <w:bookmarkEnd w:id="12"/>
    <w:bookmarkStart w:id="16" w:name="证据链构建"/>
    <w:p>
      <w:pPr>
        <w:pStyle w:val="Heading2"/>
      </w:pPr>
      <w:r>
        <w:t xml:space="preserve">5.2 </w:t>
      </w:r>
      <w:r>
        <w:rPr>
          <w:rFonts w:hint="eastAsia"/>
        </w:rPr>
        <w:t xml:space="preserve">证据链构建</w:t>
      </w:r>
    </w:p>
    <w:bookmarkStart w:id="13" w:name="证据链-a统一预测对象"/>
    <w:p>
      <w:pPr>
        <w:pStyle w:val="Heading3"/>
      </w:pPr>
      <w:r>
        <w:rPr>
          <w:rFonts w:hint="eastAsia"/>
        </w:rPr>
        <w:t xml:space="preserve">证据链</w:t>
      </w:r>
      <w:r>
        <w:t xml:space="preserve"> </w:t>
      </w:r>
      <w:r>
        <w:rPr>
          <w:rFonts w:hint="eastAsia"/>
        </w:rPr>
        <w:t xml:space="preserve">A：统一预测对象</w:t>
      </w:r>
    </w:p>
    <w:p>
      <w:pPr>
        <w:pStyle w:val="Compact"/>
        <w:numPr>
          <w:ilvl w:val="0"/>
          <w:numId w:val="1001"/>
        </w:numPr>
      </w:pPr>
      <w:r>
        <w:t xml:space="preserve">SILSO v2 </w:t>
      </w:r>
      <w:r>
        <w:rPr>
          <w:rFonts w:hint="eastAsia"/>
        </w:rPr>
        <w:t xml:space="preserve">官方极值表给出第</w:t>
      </w:r>
      <w:r>
        <w:t xml:space="preserve"> 24 </w:t>
      </w:r>
      <w:r>
        <w:rPr>
          <w:rFonts w:hint="eastAsia"/>
        </w:rPr>
        <w:t xml:space="preserve">周期平滑峰值</w:t>
      </w:r>
      <w:r>
        <w:t xml:space="preserve"> </w:t>
      </w:r>
      <w:r>
        <w:rPr>
          <w:b/>
          <w:bCs/>
        </w:rPr>
        <w:t xml:space="preserve">116.4</w:t>
      </w:r>
      <w:r>
        <w:rPr>
          <w:rFonts w:hint="eastAsia"/>
        </w:rPr>
        <w:t xml:space="preserve">；第</w:t>
      </w:r>
      <w:r>
        <w:t xml:space="preserve"> 25 </w:t>
      </w:r>
      <w:r>
        <w:rPr>
          <w:rFonts w:hint="eastAsia"/>
        </w:rPr>
        <w:t xml:space="preserve">周期当前暂定平滑峰值为</w:t>
      </w:r>
      <w:r>
        <w:t xml:space="preserve"> </w:t>
      </w:r>
      <w:r>
        <w:rPr>
          <w:b/>
          <w:bCs/>
        </w:rPr>
        <w:t xml:space="preserve">160.9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全部情景统一换算为“13</w:t>
      </w:r>
      <w:r>
        <w:t xml:space="preserve"> </w:t>
      </w:r>
      <w:r>
        <w:rPr>
          <w:rFonts w:hint="eastAsia"/>
        </w:rPr>
        <w:t xml:space="preserve">个月平滑月均总太阳黑子数峰值”。未平滑月均峰值不直接混入集合。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因而，最终点预测</w:t>
      </w:r>
      <w:r>
        <w:t xml:space="preserve"> </w:t>
      </w:r>
      <w:r>
        <w:rPr>
          <w:b/>
          <w:bCs/>
        </w:rPr>
        <w:t xml:space="preserve">140</w:t>
      </w:r>
      <w:r>
        <w:t xml:space="preserve"> </w:t>
      </w:r>
      <w:r>
        <w:rPr>
          <w:rFonts w:hint="eastAsia"/>
        </w:rPr>
        <w:t xml:space="preserve">可解释为介于第</w:t>
      </w:r>
      <w:r>
        <w:t xml:space="preserve"> 24 </w:t>
      </w:r>
      <w:r>
        <w:rPr>
          <w:rFonts w:hint="eastAsia"/>
        </w:rPr>
        <w:t xml:space="preserve">周期与第</w:t>
      </w:r>
      <w:r>
        <w:t xml:space="preserve"> 25 </w:t>
      </w:r>
      <w:r>
        <w:rPr>
          <w:rFonts w:hint="eastAsia"/>
        </w:rPr>
        <w:t xml:space="preserve">周期当前暂定水平之间，而不是由口径混合造成的表观折中。</w:t>
      </w:r>
    </w:p>
    <w:bookmarkEnd w:id="13"/>
    <w:bookmarkStart w:id="14" w:name="证据链-b从竞争情景到概率分布"/>
    <w:p>
      <w:pPr>
        <w:pStyle w:val="Heading3"/>
      </w:pPr>
      <w:r>
        <w:rPr>
          <w:rFonts w:hint="eastAsia"/>
        </w:rPr>
        <w:t xml:space="preserve">证据链</w:t>
      </w:r>
      <w:r>
        <w:t xml:space="preserve"> </w:t>
      </w:r>
      <w:r>
        <w:rPr>
          <w:rFonts w:hint="eastAsia"/>
        </w:rPr>
        <w:t xml:space="preserve">B：从竞争情景到概率分布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对结论的作用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已发表情景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五个目标兼容情景的峰值中心分别为</w:t>
            </w:r>
            <w:r>
              <w:t xml:space="preserve"> </w:t>
            </w:r>
            <w:r>
              <w:rPr>
                <w:b/>
                <w:bCs/>
              </w:rPr>
              <w:t xml:space="preserve">109.0、118.2、121.2、141.8、158.45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给出多种模型结构下的可比较预测。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可复算历史基线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用已完成周期的“本周期长度—下一周期振幅”关系复算，得到第</w:t>
            </w:r>
            <w:r>
              <w:t xml:space="preserve"> 26 </w:t>
            </w:r>
            <w:r>
              <w:rPr>
                <w:rFonts w:hint="eastAsia"/>
              </w:rPr>
              <w:t xml:space="preserve">周期峰值情景</w:t>
            </w:r>
            <w:r>
              <w:t xml:space="preserve"> </w:t>
            </w:r>
            <w:r>
              <w:rPr>
                <w:b/>
                <w:bCs/>
              </w:rPr>
              <w:t xml:space="preserve">179.4</w:t>
            </w:r>
            <w:r>
              <w:rPr>
                <w:rFonts w:hint="eastAsia"/>
              </w:rPr>
              <w:t xml:space="preserve">；对应相关系数为</w:t>
            </w:r>
            <w:r>
              <w:t xml:space="preserve"> </w:t>
            </w:r>
            <w:r>
              <w:rPr>
                <w:b/>
                <w:bCs/>
              </w:rPr>
              <w:t xml:space="preserve">−0.703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提供不依赖单篇论文实现的透明基线；只作为一个情景，不被当作真值。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依赖性处理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六个情景共享部分历史资料，采用</w:t>
            </w:r>
            <w:r>
              <w:rPr>
                <w:rFonts w:hint="eastAsia"/>
                <w:b/>
                <w:bCs/>
              </w:rPr>
              <w:t xml:space="preserve">等权替代模型混合</w:t>
            </w:r>
            <w:r>
              <w:rPr>
                <w:rFonts w:hint="eastAsia"/>
              </w:rPr>
              <w:t xml:space="preserve">，不把其视为六次独立观测。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防止错误累乘证据导致区间过窄。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每个情景加入标准差</w:t>
            </w:r>
            <w:r>
              <w:t xml:space="preserve"> </w:t>
            </w:r>
            <w:r>
              <w:rPr>
                <w:b/>
                <w:bCs/>
              </w:rPr>
              <w:t xml:space="preserve">30</w:t>
            </w:r>
            <w:r>
              <w:t xml:space="preserve"> </w:t>
            </w:r>
            <w:r>
              <w:rPr>
                <w:rFonts w:hint="eastAsia"/>
              </w:rPr>
              <w:t xml:space="preserve">个太阳黑子数单位的模型差异尺度。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显式保留长提前期的模型结构不确定性。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固定随机种子</w:t>
            </w:r>
            <w:r>
              <w:t xml:space="preserve"> </w:t>
            </w:r>
            <w:r>
              <w:rPr>
                <w:b/>
                <w:bCs/>
              </w:rPr>
              <w:t xml:space="preserve">20260825</w:t>
            </w:r>
            <w:r>
              <w:rPr>
                <w:rFonts w:hint="eastAsia"/>
              </w:rPr>
              <w:t xml:space="preserve">，抽样</w:t>
            </w:r>
            <w:r>
              <w:t xml:space="preserve"> </w:t>
            </w:r>
            <w:r>
              <w:rPr>
                <w:b/>
                <w:bCs/>
              </w:rPr>
              <w:t xml:space="preserve">2,000,000</w:t>
            </w:r>
            <w:r>
              <w:t xml:space="preserve"> </w:t>
            </w:r>
            <w:r>
              <w:rPr>
                <w:rFonts w:hint="eastAsia"/>
              </w:rPr>
              <w:t xml:space="preserve">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形成可重复的点预测、概率区间和相对强度概率。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由此得到集合中位数</w:t>
      </w:r>
      <w:r>
        <w:t xml:space="preserve"> </w:t>
      </w:r>
      <w:r>
        <w:rPr>
          <w:b/>
          <w:bCs/>
        </w:rPr>
        <w:t xml:space="preserve">136.8</w:t>
      </w:r>
      <w:r>
        <w:rPr>
          <w:rFonts w:hint="eastAsia"/>
        </w:rPr>
        <w:t xml:space="preserve">，按发布精度取整为</w:t>
      </w:r>
      <w:r>
        <w:t xml:space="preserve"> </w:t>
      </w:r>
      <w:r>
        <w:rPr>
          <w:b/>
          <w:bCs/>
        </w:rPr>
        <w:t xml:space="preserve">140</w:t>
      </w:r>
      <w:r>
        <w:rPr>
          <w:rFonts w:hint="eastAsia"/>
        </w:rPr>
        <w:t xml:space="preserve">；80%</w:t>
      </w:r>
      <w:r>
        <w:t xml:space="preserve"> </w:t>
      </w:r>
      <w:r>
        <w:rPr>
          <w:rFonts w:hint="eastAsia"/>
        </w:rPr>
        <w:t xml:space="preserve">区间为</w:t>
      </w:r>
      <w:r>
        <w:t xml:space="preserve"> </w:t>
      </w:r>
      <w:r>
        <w:rPr>
          <w:b/>
          <w:bCs/>
        </w:rPr>
        <w:t xml:space="preserve">88.7–189.5</w:t>
      </w:r>
      <w:r>
        <w:rPr>
          <w:rFonts w:hint="eastAsia"/>
        </w:rPr>
        <w:t xml:space="preserve">，发布取整为</w:t>
      </w:r>
      <w:r>
        <w:t xml:space="preserve"> </w:t>
      </w:r>
      <w:r>
        <w:rPr>
          <w:b/>
          <w:bCs/>
        </w:rPr>
        <w:t xml:space="preserve">90–190</w:t>
      </w:r>
      <w:r>
        <w:rPr>
          <w:rFonts w:hint="eastAsia"/>
        </w:rPr>
        <w:t xml:space="preserve">；95%</w:t>
      </w:r>
      <w:r>
        <w:t xml:space="preserve"> </w:t>
      </w:r>
      <w:r>
        <w:rPr>
          <w:rFonts w:hint="eastAsia"/>
        </w:rPr>
        <w:t xml:space="preserve">区间为</w:t>
      </w:r>
      <w:r>
        <w:t xml:space="preserve"> </w:t>
      </w:r>
      <w:r>
        <w:rPr>
          <w:b/>
          <w:bCs/>
        </w:rPr>
        <w:t xml:space="preserve">65.4–215.7</w:t>
      </w:r>
      <w:r>
        <w:rPr>
          <w:rFonts w:hint="eastAsia"/>
        </w:rPr>
        <w:t xml:space="preserve">，发布取整为</w:t>
      </w:r>
      <w:r>
        <w:t xml:space="preserve"> </w:t>
      </w:r>
      <w:r>
        <w:rPr>
          <w:b/>
          <w:bCs/>
        </w:rPr>
        <w:t xml:space="preserve">65–220</w:t>
      </w:r>
      <w:r>
        <w:t xml:space="preserve">。</w:t>
      </w:r>
    </w:p>
    <w:bookmarkEnd w:id="14"/>
    <w:bookmarkStart w:id="15" w:name="证据链-c峰值时间与更新触发器"/>
    <w:p>
      <w:pPr>
        <w:pStyle w:val="Heading3"/>
      </w:pPr>
      <w:r>
        <w:rPr>
          <w:rFonts w:hint="eastAsia"/>
        </w:rPr>
        <w:t xml:space="preserve">证据链</w:t>
      </w:r>
      <w:r>
        <w:t xml:space="preserve"> </w:t>
      </w:r>
      <w:r>
        <w:rPr>
          <w:rFonts w:hint="eastAsia"/>
        </w:rPr>
        <w:t xml:space="preserve">C：峰值时间与更新触发器</w:t>
      </w:r>
    </w:p>
    <w:p>
      <w:pPr>
        <w:pStyle w:val="FirstParagraph"/>
      </w:pPr>
      <w:r>
        <w:rPr>
          <w:rFonts w:hint="eastAsia"/>
        </w:rPr>
        <w:t xml:space="preserve">峰值时间分布的中位数约为</w:t>
      </w:r>
      <w:r>
        <w:t xml:space="preserve"> </w:t>
      </w:r>
      <w:r>
        <w:rPr>
          <w:b/>
          <w:bCs/>
        </w:rPr>
        <w:t xml:space="preserve">2034.8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，80%</w:t>
      </w:r>
      <w:r>
        <w:t xml:space="preserve"> </w:t>
      </w:r>
      <w:r>
        <w:rPr>
          <w:rFonts w:hint="eastAsia"/>
        </w:rPr>
        <w:t xml:space="preserve">区间约为</w:t>
      </w:r>
      <w:r>
        <w:t xml:space="preserve"> </w:t>
      </w:r>
      <w:r>
        <w:rPr>
          <w:b/>
          <w:bCs/>
        </w:rPr>
        <w:t xml:space="preserve">2033.4–2036.2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。因此对外表述为“最可能在</w:t>
      </w:r>
      <w:r>
        <w:t xml:space="preserve"> 2034 </w:t>
      </w:r>
      <w:r>
        <w:rPr>
          <w:rFonts w:hint="eastAsia"/>
        </w:rPr>
        <w:t xml:space="preserve">年下半年至</w:t>
      </w:r>
      <w:r>
        <w:t xml:space="preserve"> 2035 </w:t>
      </w:r>
      <w:r>
        <w:rPr>
          <w:rFonts w:hint="eastAsia"/>
        </w:rPr>
        <w:t xml:space="preserve">年达到峰值，80%</w:t>
      </w:r>
      <w:r>
        <w:t xml:space="preserve"> </w:t>
      </w:r>
      <w:r>
        <w:rPr>
          <w:rFonts w:hint="eastAsia"/>
        </w:rPr>
        <w:t xml:space="preserve">时间范围约为</w:t>
      </w:r>
      <w:r>
        <w:t xml:space="preserve"> 2033 </w:t>
      </w:r>
      <w:r>
        <w:rPr>
          <w:rFonts w:hint="eastAsia"/>
        </w:rPr>
        <w:t xml:space="preserve">年中至</w:t>
      </w:r>
      <w:r>
        <w:t xml:space="preserve"> 2036 </w:t>
      </w:r>
      <w:r>
        <w:rPr>
          <w:rFonts w:hint="eastAsia"/>
        </w:rPr>
        <w:t xml:space="preserve">年初”。</w:t>
      </w:r>
    </w:p>
    <w:p>
      <w:pPr>
        <w:pStyle w:val="BodyText"/>
      </w:pPr>
      <w:r>
        <w:rPr>
          <w:rFonts w:hint="eastAsia"/>
        </w:rPr>
        <w:t xml:space="preserve">极区场是下一周期振幅的重要候选前兆，但可靠更新需要接近太阳活动极小期的同口径观测。本项目把当前分布作为先验：待</w:t>
      </w:r>
      <w:r>
        <w:t xml:space="preserve"> SILSO </w:t>
      </w:r>
      <w:r>
        <w:rPr>
          <w:rFonts w:hint="eastAsia"/>
        </w:rPr>
        <w:t xml:space="preserve">正式确认周期极小，并获得连续极区场或轴向偶极矩后，再以新前兆更新幅度与峰值时间分布。</w:t>
      </w:r>
    </w:p>
    <w:bookmarkEnd w:id="15"/>
    <w:bookmarkEnd w:id="16"/>
    <w:bookmarkStart w:id="17" w:name="反例与不支持证据"/>
    <w:p>
      <w:pPr>
        <w:pStyle w:val="Heading2"/>
      </w:pPr>
      <w:r>
        <w:t xml:space="preserve">5.3 </w:t>
      </w:r>
      <w:r>
        <w:rPr>
          <w:rFonts w:hint="eastAsia"/>
        </w:rPr>
        <w:t xml:space="preserve">反例与不支持证据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反例或不支持证据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对假设的影响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目标兼容情景中心从</w:t>
            </w:r>
            <w:r>
              <w:t xml:space="preserve"> </w:t>
            </w:r>
            <w:r>
              <w:rPr>
                <w:b/>
                <w:bCs/>
              </w:rPr>
              <w:t xml:space="preserve">109</w:t>
            </w:r>
            <w:r>
              <w:t xml:space="preserve"> </w:t>
            </w:r>
            <w:r>
              <w:rPr>
                <w:rFonts w:hint="eastAsia"/>
              </w:rPr>
              <w:t xml:space="preserve">延伸至</w:t>
            </w:r>
            <w:r>
              <w:t xml:space="preserve"> </w:t>
            </w:r>
            <w:r>
              <w:rPr>
                <w:b/>
                <w:bCs/>
              </w:rPr>
              <w:t xml:space="preserve">179.4</w:t>
            </w:r>
            <w:r>
              <w:rPr>
                <w:rFonts w:hint="eastAsia"/>
              </w:rPr>
              <w:t xml:space="preserve">，模型分歧明显。</w:t>
            </w:r>
          </w:p>
        </w:tc>
        <w:tc>
          <w:tcPr/>
          <w:p>
            <w:pPr>
              <w:pStyle w:val="Compact"/>
            </w:pPr>
            <w:r>
              <w:t xml:space="preserve">H1、H2、H3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已发表预测与本地历史基线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H3；限制</w:t>
            </w:r>
            <w:r>
              <w:t xml:space="preserve"> H1、H2 </w:t>
            </w:r>
            <w:r>
              <w:rPr>
                <w:rFonts w:hint="eastAsia"/>
              </w:rPr>
              <w:t xml:space="preserve">的精度，要求保留宽区间。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25/26 </w:t>
            </w:r>
            <w:r>
              <w:rPr>
                <w:rFonts w:hint="eastAsia"/>
              </w:rPr>
              <w:t xml:space="preserve">周期极小尚未正式确认，极小附近同口径极区前兆尚未形成。</w:t>
            </w:r>
          </w:p>
        </w:tc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SILSO </w:t>
            </w:r>
            <w:r>
              <w:rPr>
                <w:rFonts w:hint="eastAsia"/>
              </w:rPr>
              <w:t xml:space="preserve">周期边界与</w:t>
            </w:r>
            <w:r>
              <w:t xml:space="preserve"> WSO </w:t>
            </w:r>
            <w:r>
              <w:rPr>
                <w:rFonts w:hint="eastAsia"/>
              </w:rPr>
              <w:t xml:space="preserve">极区场资料</w:t>
            </w:r>
          </w:p>
        </w:tc>
        <w:tc>
          <w:tcPr/>
          <w:p>
            <w:pPr>
              <w:pStyle w:val="Compact"/>
            </w:pPr>
            <w:r>
              <w:t xml:space="preserve">H4 </w:t>
            </w:r>
            <w:r>
              <w:rPr>
                <w:rFonts w:hint="eastAsia"/>
              </w:rPr>
              <w:t xml:space="preserve">只能作为未来更新规则，不能被写成今天已完成的数值前兆预测。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多个方法使用相同或高度重叠的历史太阳活动周资料。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各模型的数据设计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禁止把六个情景当作六次独立观测；当前采用替代模型混合。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未平滑月均峰值通常高于</w:t>
            </w:r>
            <w:r>
              <w:t xml:space="preserve"> 13 </w:t>
            </w:r>
            <w:r>
              <w:rPr>
                <w:rFonts w:hint="eastAsia"/>
              </w:rPr>
              <w:t xml:space="preserve">个月平滑峰值。</w:t>
            </w:r>
          </w:p>
        </w:tc>
        <w:tc>
          <w:tcPr/>
          <w:p>
            <w:pPr>
              <w:pStyle w:val="Compact"/>
            </w:pPr>
            <w:r>
              <w:t xml:space="preserve">H1、H2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数据定义检查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不同口径的预测不得直接并入同一集合；否则会系统性抬高中心。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历史长度—振幅基线只提供相关关系，不证明太阳发电机因果机制。</w:t>
            </w:r>
          </w:p>
        </w:tc>
        <w:tc>
          <w:tcPr/>
          <w:p>
            <w:pPr>
              <w:pStyle w:val="Compact"/>
            </w:pPr>
            <w:r>
              <w:t xml:space="preserve">H1、H4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只把</w:t>
            </w:r>
            <w:r>
              <w:t xml:space="preserve"> 179.4 </w:t>
            </w:r>
            <w:r>
              <w:rPr>
                <w:rFonts w:hint="eastAsia"/>
              </w:rPr>
              <w:t xml:space="preserve">作为透明基线，不据此宣称机制成立。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这些反例没有被删除。它们直接决定了本次发布采用“宽概率区间</w:t>
      </w:r>
      <w:r>
        <w:t xml:space="preserve"> + </w:t>
      </w:r>
      <w:r>
        <w:rPr>
          <w:rFonts w:hint="eastAsia"/>
        </w:rPr>
        <w:t xml:space="preserve">观测触发更新”，而不是给出单一窄区间。</w:t>
      </w:r>
    </w:p>
    <w:bookmarkEnd w:id="17"/>
    <w:bookmarkStart w:id="18" w:name="下一步验证计划"/>
    <w:p>
      <w:pPr>
        <w:pStyle w:val="Heading2"/>
      </w:pPr>
      <w:r>
        <w:t xml:space="preserve">5.4 </w:t>
      </w:r>
      <w:r>
        <w:rPr>
          <w:rFonts w:hint="eastAsia"/>
        </w:rPr>
        <w:t xml:space="preserve">下一步验证计划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所需数据</w:t>
            </w:r>
            <w:r>
              <w:t xml:space="preserve"> / </w:t>
            </w:r>
            <w:r>
              <w:rPr>
                <w:rFonts w:hint="eastAsia"/>
              </w:rPr>
              <w:t xml:space="preserve">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成功判据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H1、H2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对已完成周期实施逐周期留一与滚动原点回报，比较区间覆盖率、绝对误差和概率评分；第</w:t>
            </w:r>
            <w:r>
              <w:t xml:space="preserve"> 26 </w:t>
            </w:r>
            <w:r>
              <w:rPr>
                <w:rFonts w:hint="eastAsia"/>
              </w:rPr>
              <w:t xml:space="preserve">周期结束后进行最终检验。</w:t>
            </w:r>
          </w:p>
        </w:tc>
        <w:tc>
          <w:tcPr/>
          <w:p>
            <w:pPr>
              <w:pStyle w:val="Compact"/>
            </w:pPr>
            <w:r>
              <w:t xml:space="preserve">SILSO v2 </w:t>
            </w:r>
            <w:r>
              <w:rPr>
                <w:rFonts w:hint="eastAsia"/>
              </w:rPr>
              <w:t xml:space="preserve">月度、平滑序列与官方极值表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当前可回报；最终检验随第</w:t>
            </w:r>
            <w:r>
              <w:t xml:space="preserve"> 26 </w:t>
            </w:r>
            <w:r>
              <w:rPr>
                <w:rFonts w:hint="eastAsia"/>
              </w:rPr>
              <w:t xml:space="preserve">周期完成</w:t>
            </w:r>
          </w:p>
        </w:tc>
        <w:tc>
          <w:tcPr/>
          <w:p>
            <w:pPr>
              <w:pStyle w:val="Compact"/>
            </w:pPr>
            <w:r>
              <w:t xml:space="preserve">80%/95% </w:t>
            </w:r>
            <w:r>
              <w:rPr>
                <w:rFonts w:hint="eastAsia"/>
              </w:rPr>
              <w:t xml:space="preserve">区间具有相称覆盖；相对强度概率优于简单历史频率基线。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对情景权重、模型差异尺度和单一情景删除进行敏感性分析。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当前六个情景与复算程序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每次模型更新时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主要结论不由单一情景决定；区间变化被完整报告。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SILSO </w:t>
            </w:r>
            <w:r>
              <w:rPr>
                <w:rFonts w:hint="eastAsia"/>
              </w:rPr>
              <w:t xml:space="preserve">确认周期极小后，接入同口径极区场或轴向偶极矩，按预先规定的前兆似然更新当前先验。</w:t>
            </w:r>
          </w:p>
        </w:tc>
        <w:tc>
          <w:tcPr/>
          <w:p>
            <w:pPr>
              <w:pStyle w:val="Compact"/>
            </w:pPr>
            <w:r>
              <w:t xml:space="preserve">SILSO </w:t>
            </w:r>
            <w:r>
              <w:rPr>
                <w:rFonts w:hint="eastAsia"/>
              </w:rPr>
              <w:t xml:space="preserve">官方极值表；WSO</w:t>
            </w:r>
            <w:r>
              <w:t xml:space="preserve"> </w:t>
            </w:r>
            <w:r>
              <w:rPr>
                <w:rFonts w:hint="eastAsia"/>
              </w:rPr>
              <w:t xml:space="preserve">或经过标定的同口径磁图序列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触发后</w:t>
            </w:r>
            <w:r>
              <w:t xml:space="preserve"> 48 </w:t>
            </w:r>
            <w:r>
              <w:rPr>
                <w:rFonts w:hint="eastAsia"/>
              </w:rPr>
              <w:t xml:space="preserve">小时内形成更新版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前兆时间窗、量纲和历史标定一致；中心移动方向、区间收缩和敏感性分析均可复算。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H1–H4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2026-08-25 </w:t>
            </w:r>
            <w:r>
              <w:rPr>
                <w:rFonts w:hint="eastAsia"/>
              </w:rPr>
              <w:t xml:space="preserve">版预测并发布新版本，不覆盖旧结果。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版本化报告、脚本与结构化结果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每次正式更新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新旧版本的输入、方法与数值差异可追溯。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2" w:name="p6典型案例展示"/>
    <w:p>
      <w:pPr>
        <w:pStyle w:val="Heading1"/>
      </w:pPr>
      <w:r>
        <w:rPr>
          <w:rFonts w:hint="eastAsia"/>
        </w:rPr>
        <w:t xml:space="preserve">P6｜典型案例展示</w:t>
      </w:r>
    </w:p>
    <w:bookmarkStart w:id="24" w:name="成功案例从开放问题到可检验的初步概率预测"/>
    <w:p>
      <w:pPr>
        <w:pStyle w:val="Heading2"/>
      </w:pPr>
      <w:r>
        <w:t xml:space="preserve">6.1 </w:t>
      </w:r>
      <w:r>
        <w:rPr>
          <w:rFonts w:hint="eastAsia"/>
        </w:rPr>
        <w:t xml:space="preserve">成功案例：从开放问题到可检验的初步概率预测</w:t>
      </w:r>
    </w:p>
    <w:bookmarkStart w:id="20" w:name="原始问题"/>
    <w:p>
      <w:pPr>
        <w:pStyle w:val="Heading3"/>
      </w:pPr>
      <w:r>
        <w:rPr>
          <w:rFonts w:hint="eastAsia"/>
        </w:rPr>
        <w:t xml:space="preserve">原始问题</w:t>
      </w:r>
    </w:p>
    <w:p>
      <w:pPr>
        <w:pStyle w:val="BlockText"/>
      </w:pPr>
      <w:r>
        <w:rPr>
          <w:rFonts w:hint="eastAsia"/>
        </w:rPr>
        <w:t xml:space="preserve">请直接回答第</w:t>
      </w:r>
      <w:r>
        <w:t xml:space="preserve"> 26 </w:t>
      </w:r>
      <w:r>
        <w:rPr>
          <w:rFonts w:hint="eastAsia"/>
        </w:rPr>
        <w:t xml:space="preserve">太阳活动周可能有多强，发布一份可检验的初步正式预测，并将它与未来的终版前兆预测明确区分。</w:t>
      </w:r>
    </w:p>
    <w:bookmarkEnd w:id="20"/>
    <w:bookmarkStart w:id="21" w:name="处理过程"/>
    <w:p>
      <w:pPr>
        <w:pStyle w:val="Heading3"/>
      </w:pPr>
      <w:r>
        <w:rPr>
          <w:rFonts w:hint="eastAsia"/>
        </w:rPr>
        <w:t xml:space="preserve">处理过程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锁定目标口径：</w:t>
      </w:r>
      <w:r>
        <w:t xml:space="preserve"> </w:t>
      </w:r>
      <w:r>
        <w:rPr>
          <w:rFonts w:hint="eastAsia"/>
        </w:rPr>
        <w:t xml:space="preserve">只预测</w:t>
      </w:r>
      <w:r>
        <w:t xml:space="preserve"> SILSO v2 </w:t>
      </w:r>
      <w:r>
        <w:rPr>
          <w:rFonts w:hint="eastAsia"/>
        </w:rPr>
        <w:t xml:space="preserve">的</w:t>
      </w:r>
      <w:r>
        <w:t xml:space="preserve"> 13 </w:t>
      </w:r>
      <w:r>
        <w:rPr>
          <w:rFonts w:hint="eastAsia"/>
        </w:rPr>
        <w:t xml:space="preserve">个月平滑峰值。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建立竞争假设：</w:t>
      </w:r>
      <w:r>
        <w:t xml:space="preserve"> </w:t>
      </w:r>
      <w:r>
        <w:rPr>
          <w:rFonts w:hint="eastAsia"/>
        </w:rPr>
        <w:t xml:space="preserve">汇集五个目标兼容的已发表情景，并增加一个可复算历史基线。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检查证据依赖：</w:t>
      </w:r>
      <w:r>
        <w:t xml:space="preserve"> </w:t>
      </w:r>
      <w:r>
        <w:rPr>
          <w:rFonts w:hint="eastAsia"/>
        </w:rPr>
        <w:t xml:space="preserve">识别共享历史数据，拒绝把模型当作独立观测累乘。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显式表示不确定性：</w:t>
      </w:r>
      <w:r>
        <w:t xml:space="preserve"> </w:t>
      </w:r>
      <w:r>
        <w:rPr>
          <w:rFonts w:hint="eastAsia"/>
        </w:rPr>
        <w:t xml:space="preserve">采用等权替代模型混合和模型差异尺度，固定种子完成</w:t>
      </w:r>
      <w:r>
        <w:t xml:space="preserve"> 2,000,000 </w:t>
      </w:r>
      <w:r>
        <w:rPr>
          <w:rFonts w:hint="eastAsia"/>
        </w:rPr>
        <w:t xml:space="preserve">次抽样。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寻找反例：</w:t>
      </w:r>
      <w:r>
        <w:t xml:space="preserve"> </w:t>
      </w:r>
      <w:r>
        <w:rPr>
          <w:rFonts w:hint="eastAsia"/>
        </w:rPr>
        <w:t xml:space="preserve">保留模型间分歧、前兆缺失和目标口径差异。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形成可更新结论：</w:t>
      </w:r>
      <w:r>
        <w:t xml:space="preserve"> </w:t>
      </w:r>
      <w:r>
        <w:rPr>
          <w:rFonts w:hint="eastAsia"/>
        </w:rPr>
        <w:t xml:space="preserve">发布当前概率分布，同时规定极小期与极区场触发的更新路径。</w:t>
      </w:r>
    </w:p>
    <w:bookmarkEnd w:id="21"/>
    <w:bookmarkStart w:id="22" w:name="主要输出"/>
    <w:p>
      <w:pPr>
        <w:pStyle w:val="Heading3"/>
      </w:pPr>
      <w:r>
        <w:rPr>
          <w:rFonts w:hint="eastAsia"/>
        </w:rPr>
        <w:t xml:space="preserve">主要输出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正式展示值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评委判读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平滑峰值点预测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中等偏弱至中等；介于第</w:t>
            </w:r>
            <w:r>
              <w:t xml:space="preserve"> 24 </w:t>
            </w:r>
            <w:r>
              <w:rPr>
                <w:rFonts w:hint="eastAsia"/>
              </w:rPr>
              <w:t xml:space="preserve">周期</w:t>
            </w:r>
            <w:r>
              <w:t xml:space="preserve"> 116.4 </w:t>
            </w:r>
            <w:r>
              <w:rPr>
                <w:rFonts w:hint="eastAsia"/>
              </w:rPr>
              <w:t xml:space="preserve">与第</w:t>
            </w:r>
            <w:r>
              <w:t xml:space="preserve"> 25 </w:t>
            </w:r>
            <w:r>
              <w:rPr>
                <w:rFonts w:hint="eastAsia"/>
              </w:rPr>
              <w:t xml:space="preserve">周期暂定</w:t>
            </w:r>
            <w:r>
              <w:t xml:space="preserve"> 160.9 </w:t>
            </w:r>
            <w:r>
              <w:rPr>
                <w:rFonts w:hint="eastAsia"/>
              </w:rPr>
              <w:t xml:space="preserve">之间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预测区间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90–190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反映模型结构分歧与前兆尚未形成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预测区间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65–220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长提前期下保留尾部风险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2034 </w:t>
            </w:r>
            <w:r>
              <w:rPr>
                <w:rFonts w:hint="eastAsia"/>
                <w:b/>
                <w:bCs/>
              </w:rPr>
              <w:t xml:space="preserve">年下半年至</w:t>
            </w:r>
            <w:r>
              <w:rPr>
                <w:b/>
                <w:bCs/>
              </w:rPr>
              <w:t xml:space="preserve"> 2035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时间区间约为</w:t>
            </w:r>
            <w:r>
              <w:t xml:space="preserve"> 2033 </w:t>
            </w:r>
            <w:r>
              <w:rPr>
                <w:rFonts w:hint="eastAsia"/>
              </w:rPr>
              <w:t xml:space="preserve">年中至</w:t>
            </w:r>
            <w:r>
              <w:t xml:space="preserve"> 2036 </w:t>
            </w:r>
            <w:r>
              <w:rPr>
                <w:rFonts w:hint="eastAsia"/>
              </w:rPr>
              <w:t xml:space="preserve">年初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低于第</w:t>
            </w:r>
            <w:r>
              <w:t xml:space="preserve"> 25 </w:t>
            </w:r>
            <w:r>
              <w:rPr>
                <w:rFonts w:hint="eastAsia"/>
              </w:rPr>
              <w:t xml:space="preserve">周期暂定峰值的概率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支持“中等偏弱”方向，但不是确定性判断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超过历史平均峰值</w:t>
            </w:r>
            <w:r>
              <w:t xml:space="preserve"> 183 </w:t>
            </w:r>
            <w:r>
              <w:rPr>
                <w:rFonts w:hint="eastAsia"/>
              </w:rPr>
              <w:t xml:space="preserve">的概率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强周期仍可能发生，但不是主情景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200 </w:t>
            </w:r>
            <w:r>
              <w:rPr>
                <w:rFonts w:hint="eastAsia"/>
              </w:rPr>
              <w:t xml:space="preserve">的概率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显式保留低概率高活动尾部</w:t>
            </w:r>
          </w:p>
        </w:tc>
      </w:tr>
    </w:tbl>
    <w:bookmarkEnd w:id="22"/>
    <w:bookmarkStart w:id="23" w:name="成功之处"/>
    <w:p>
      <w:pPr>
        <w:pStyle w:val="Heading3"/>
      </w:pPr>
      <w:r>
        <w:rPr>
          <w:rFonts w:hint="eastAsia"/>
        </w:rPr>
        <w:t xml:space="preserve">成功之处</w:t>
      </w:r>
    </w:p>
    <w:p>
      <w:pPr>
        <w:pStyle w:val="FirstParagraph"/>
      </w:pPr>
      <w:r>
        <w:rPr>
          <w:rFonts w:hint="eastAsia"/>
        </w:rPr>
        <w:t xml:space="preserve">该案例的价值不在于给出一个看似精确的数字，而在于同时满足四项科学要求：直接回答主问题；所有数值采用同一目标定义；模型依赖与不确定性被显式处理；未来新观测能够按照预先写明的规则更新当前分布。阴性证据和数据缺口没有被隐藏，而是参与决定区间宽度和结论强度。</w:t>
      </w:r>
    </w:p>
    <w:bookmarkEnd w:id="23"/>
    <w:bookmarkEnd w:id="24"/>
    <w:bookmarkStart w:id="29" w:name="失败或局限案例把未读到数据误判为没有数据"/>
    <w:p>
      <w:pPr>
        <w:pStyle w:val="Heading2"/>
      </w:pPr>
      <w:r>
        <w:t xml:space="preserve">6.2 </w:t>
      </w:r>
      <w:r>
        <w:rPr>
          <w:rFonts w:hint="eastAsia"/>
        </w:rPr>
        <w:t xml:space="preserve">失败或局限案例：把“未读到数据”误判为“没有数据”</w:t>
      </w:r>
    </w:p>
    <w:bookmarkStart w:id="25" w:name="典型问题"/>
    <w:p>
      <w:pPr>
        <w:pStyle w:val="Heading3"/>
      </w:pPr>
      <w:r>
        <w:rPr>
          <w:rFonts w:hint="eastAsia"/>
        </w:rPr>
        <w:t xml:space="preserve">典型问题</w:t>
      </w:r>
    </w:p>
    <w:p>
      <w:pPr>
        <w:pStyle w:val="FirstParagraph"/>
      </w:pPr>
      <w:r>
        <w:t xml:space="preserve">WSO </w:t>
      </w:r>
      <w:r>
        <w:rPr>
          <w:rFonts w:hint="eastAsia"/>
        </w:rPr>
        <w:t xml:space="preserve">极区场资料采用较长的</w:t>
      </w:r>
      <w:r>
        <w:t xml:space="preserve"> HTML </w:t>
      </w:r>
      <w:r>
        <w:rPr>
          <w:rFonts w:hint="eastAsia"/>
        </w:rPr>
        <w:t xml:space="preserve">页面。早期读取链只保留页首，实验解析又把说明文字中的</w:t>
      </w:r>
      <w:r>
        <w:t xml:space="preserve"> </w:t>
      </w:r>
      <w:r>
        <w:rPr>
          <w:rStyle w:val="VerbatimChar"/>
        </w:rPr>
        <w:t xml:space="preserve">XXX</w:t>
      </w:r>
      <w:r>
        <w:t xml:space="preserve"> </w:t>
      </w:r>
      <w:r>
        <w:rPr>
          <w:rFonts w:hint="eastAsia"/>
        </w:rPr>
        <w:t xml:space="preserve">与真实数据行的缺测标记一并计数，曾得到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rPr>
          <w:rFonts w:hint="eastAsia"/>
        </w:rPr>
        <w:t xml:space="preserve">个缺测标记，并错过最后有效观测日期。这样会把工具可见性故障误写成观测事实。</w:t>
      </w:r>
    </w:p>
    <w:bookmarkEnd w:id="25"/>
    <w:bookmarkStart w:id="26" w:name="修复措施"/>
    <w:p>
      <w:pPr>
        <w:pStyle w:val="Heading3"/>
      </w:pPr>
      <w:r>
        <w:rPr>
          <w:rFonts w:hint="eastAsia"/>
        </w:rPr>
        <w:t xml:space="preserve">修复措施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HTML </w:t>
      </w:r>
      <w:r>
        <w:rPr>
          <w:rFonts w:hint="eastAsia"/>
        </w:rPr>
        <w:t xml:space="preserve">纳入受控文本输入类型；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对长文件同时保留页首和页尾，使最新观测行可见；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只在符合日期格式的数据行中统计</w:t>
      </w:r>
      <w:r>
        <w:t xml:space="preserve"> </w:t>
      </w:r>
      <w:r>
        <w:rPr>
          <w:rStyle w:val="VerbatimChar"/>
        </w:rPr>
        <w:t xml:space="preserve">XXX</w:t>
      </w:r>
      <w:r>
        <w:rPr>
          <w:rFonts w:hint="eastAsia"/>
        </w:rPr>
        <w:t xml:space="preserve">，不统计页面说明文字；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技术读取错误显式报出，不再静默转换成“零数据”；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对真实缺测保持原样，不插值、不用历史代理序列冒充当前观测。</w:t>
      </w:r>
    </w:p>
    <w:bookmarkEnd w:id="26"/>
    <w:bookmarkStart w:id="27" w:name="修复后的复核结果"/>
    <w:p>
      <w:pPr>
        <w:pStyle w:val="Heading3"/>
      </w:pPr>
      <w:r>
        <w:rPr>
          <w:rFonts w:hint="eastAsia"/>
        </w:rPr>
        <w:t xml:space="preserve">修复后的复核结果</w:t>
      </w:r>
    </w:p>
    <w:p>
      <w:pPr>
        <w:pStyle w:val="FirstParagraph"/>
      </w:pPr>
      <w:r>
        <w:rPr>
          <w:rFonts w:hint="eastAsia"/>
        </w:rPr>
        <w:t xml:space="preserve">当前解析器从登记的</w:t>
      </w:r>
      <w:r>
        <w:t xml:space="preserve"> WSO </w:t>
      </w:r>
      <w:r>
        <w:rPr>
          <w:rFonts w:hint="eastAsia"/>
        </w:rPr>
        <w:t xml:space="preserve">原始页面中恢复出：最后有效观测日期为</w:t>
      </w:r>
      <w:r>
        <w:t xml:space="preserve"> </w:t>
      </w:r>
      <w:r>
        <w:rPr>
          <w:b/>
          <w:bCs/>
        </w:rPr>
        <w:t xml:space="preserve">2026-01-09</w:t>
      </w:r>
      <w:r>
        <w:rPr>
          <w:rFonts w:hint="eastAsia"/>
        </w:rPr>
        <w:t xml:space="preserve">，截至</w:t>
      </w:r>
      <w:r>
        <w:t xml:space="preserve"> 2026-06-30 </w:t>
      </w:r>
      <w:r>
        <w:rPr>
          <w:rFonts w:hint="eastAsia"/>
        </w:rPr>
        <w:t xml:space="preserve">的窗口中存在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rPr>
          <w:rFonts w:hint="eastAsia"/>
        </w:rPr>
        <w:t xml:space="preserve">行显式缺测。由此得到的科学判断是“极小附近同口径前兆尚未形成”，而不是“文件为空”或“极区场为零”。</w:t>
      </w:r>
    </w:p>
    <w:bookmarkEnd w:id="27"/>
    <w:bookmarkStart w:id="28" w:name="对系统能力的意义"/>
    <w:p>
      <w:pPr>
        <w:pStyle w:val="Heading3"/>
      </w:pPr>
      <w:r>
        <w:rPr>
          <w:rFonts w:hint="eastAsia"/>
        </w:rPr>
        <w:t xml:space="preserve">对系统能力的意义</w:t>
      </w:r>
    </w:p>
    <w:p>
      <w:pPr>
        <w:pStyle w:val="FirstParagraph"/>
      </w:pPr>
      <w:r>
        <w:rPr>
          <w:rFonts w:hint="eastAsia"/>
        </w:rPr>
        <w:t xml:space="preserve">这次修复改变的不是科学事实，而是证据与事实之间的连接方式：系统现在能够区分“数据真实缺测”“输入读取失败”和“当前前兆尚不可用”。修复后仍然保留不确定结论，说明科研闭环的目标是得到可辩护的答案，而不是为了完成流程强行输出阳性预测。</w:t>
      </w:r>
    </w:p>
    <w:bookmarkEnd w:id="28"/>
    <w:bookmarkEnd w:id="29"/>
    <w:bookmarkStart w:id="30" w:name="证据边界"/>
    <w:p>
      <w:pPr>
        <w:pStyle w:val="Heading2"/>
      </w:pPr>
      <w:r>
        <w:t xml:space="preserve">6.3 </w:t>
      </w:r>
      <w:r>
        <w:rPr>
          <w:rFonts w:hint="eastAsia"/>
        </w:rPr>
        <w:t xml:space="preserve">证据边界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本稿中的</w:t>
      </w:r>
      <w:r>
        <w:t xml:space="preserve"> </w:t>
      </w:r>
      <w:r>
        <w:rPr>
          <w:b/>
          <w:bCs/>
        </w:rPr>
        <w:t xml:space="preserve">140、90–190、65–220</w:t>
      </w:r>
      <w:r>
        <w:t xml:space="preserve"> </w:t>
      </w:r>
      <w:r>
        <w:rPr>
          <w:rFonts w:hint="eastAsia"/>
        </w:rPr>
        <w:t xml:space="preserve">及各概率来自可复算的确定性概率模块；数值有效性由输入、算法、随机种子和结构化结果直接支持。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当前分布是极小期前的操作性先验，不是已经使用第</w:t>
      </w:r>
      <w:r>
        <w:t xml:space="preserve"> 25/26 </w:t>
      </w:r>
      <w:r>
        <w:rPr>
          <w:rFonts w:hint="eastAsia"/>
        </w:rPr>
        <w:t xml:space="preserve">周期极小附近极区场完成的终版前兆预测。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历史相关和模型集合不证明太阳发电机因果机制；本文只发布概率预测与可检验的更新规则。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周期峰值</w:t>
      </w:r>
      <w:r>
        <w:t xml:space="preserve"> </w:t>
      </w:r>
      <w:r>
        <w:rPr>
          <w:b/>
          <w:bCs/>
        </w:rPr>
        <w:t xml:space="preserve">160.9</w:t>
      </w:r>
      <w:r>
        <w:t xml:space="preserve"> </w:t>
      </w:r>
      <w:r>
        <w:rPr>
          <w:rFonts w:hint="eastAsia"/>
        </w:rPr>
        <w:t xml:space="preserve">仍是当前暂定同口径值，后续官方修订时应同步更新相对强度概率。</w:t>
      </w:r>
    </w:p>
    <w:p>
      <w:r>
        <w:pict>
          <v:rect style="width:0;height:1.5pt" o:hralign="center" o:hrstd="t" o:hr="t"/>
        </w:pict>
      </w:r>
    </w:p>
    <w:bookmarkEnd w:id="30"/>
    <w:bookmarkStart w:id="31" w:name="复现索引与主要依据"/>
    <w:p>
      <w:pPr>
        <w:pStyle w:val="Heading2"/>
      </w:pPr>
      <w:r>
        <w:rPr>
          <w:rFonts w:hint="eastAsia"/>
        </w:rPr>
        <w:t xml:space="preserve">复现索引与主要依据</w:t>
      </w:r>
    </w:p>
    <w:p>
      <w:pPr>
        <w:pStyle w:val="FirstParagraph"/>
      </w:pPr>
      <w:r>
        <w:rPr>
          <w:rFonts w:hint="eastAsia"/>
          <w:b/>
          <w:bCs/>
        </w:rPr>
        <w:t xml:space="preserve">可复算产物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research/review/evals/sc26_operational_forecast_20260825.py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research/review/evals/runs/sc26.operational_forecast.20260825/result.json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research/review/SC26_FORMAL_FORECAST_20260825.md</w:t>
      </w:r>
    </w:p>
    <w:p>
      <w:pPr>
        <w:pStyle w:val="FirstParagraph"/>
      </w:pPr>
      <w:r>
        <w:rPr>
          <w:rFonts w:hint="eastAsia"/>
          <w:b/>
          <w:bCs/>
        </w:rPr>
        <w:t xml:space="preserve">数据与文献依据</w:t>
      </w:r>
    </w:p>
    <w:p>
      <w:pPr>
        <w:pStyle w:val="Compact"/>
        <w:numPr>
          <w:ilvl w:val="0"/>
          <w:numId w:val="1006"/>
        </w:numPr>
      </w:pPr>
      <w:r>
        <w:t xml:space="preserve">WDC–SILSO, Sunspot Number Version 2.0 </w:t>
      </w:r>
      <w:r>
        <w:rPr>
          <w:rFonts w:hint="eastAsia"/>
        </w:rPr>
        <w:t xml:space="preserve">月度、13</w:t>
      </w:r>
      <w:r>
        <w:t xml:space="preserve"> </w:t>
      </w:r>
      <w:r>
        <w:rPr>
          <w:rFonts w:hint="eastAsia"/>
        </w:rPr>
        <w:t xml:space="preserve">个月平滑序列与官方周期极值表。</w:t>
      </w:r>
    </w:p>
    <w:p>
      <w:pPr>
        <w:pStyle w:val="Compact"/>
        <w:numPr>
          <w:ilvl w:val="0"/>
          <w:numId w:val="1006"/>
        </w:numPr>
      </w:pPr>
      <w:r>
        <w:t xml:space="preserve">Kalkan et al. (2026),</w:t>
      </w:r>
      <w:r>
        <w:t xml:space="preserve"> </w:t>
      </w:r>
      <w:r>
        <w:rPr>
          <w:i/>
          <w:iCs/>
        </w:rPr>
        <w:t xml:space="preserve">PASP</w:t>
      </w:r>
      <w:r>
        <w:t xml:space="preserve">, doi:10.1088/1538-3873/ae541c。</w:t>
      </w:r>
    </w:p>
    <w:p>
      <w:pPr>
        <w:pStyle w:val="Compact"/>
        <w:numPr>
          <w:ilvl w:val="0"/>
          <w:numId w:val="1006"/>
        </w:numPr>
      </w:pPr>
      <w:r>
        <w:t xml:space="preserve">Abdel Rahman &amp; Badawy (2026),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doi:10.1038/s41598-025-33819-5。</w:t>
      </w:r>
    </w:p>
    <w:p>
      <w:pPr>
        <w:pStyle w:val="Compact"/>
        <w:numPr>
          <w:ilvl w:val="0"/>
          <w:numId w:val="1006"/>
        </w:numPr>
      </w:pPr>
      <w:r>
        <w:t xml:space="preserve">Rodríguez-Rodríguez et al. (2024),</w:t>
      </w:r>
      <w:r>
        <w:t xml:space="preserve"> </w:t>
      </w:r>
      <w:r>
        <w:rPr>
          <w:i/>
          <w:iCs/>
        </w:rPr>
        <w:t xml:space="preserve">Solar Physics</w:t>
      </w:r>
      <w:r>
        <w:t xml:space="preserve">, doi:10.1007/s11207-024-02361-4。</w:t>
      </w:r>
    </w:p>
    <w:p>
      <w:pPr>
        <w:pStyle w:val="Compact"/>
        <w:numPr>
          <w:ilvl w:val="0"/>
          <w:numId w:val="1006"/>
        </w:numPr>
      </w:pPr>
      <w:r>
        <w:t xml:space="preserve">Gerçeker et al. (2025),</w:t>
      </w:r>
      <w:r>
        <w:t xml:space="preserve"> </w:t>
      </w:r>
      <w:r>
        <w:rPr>
          <w:i/>
          <w:iCs/>
        </w:rPr>
        <w:t xml:space="preserve">Solar Physics</w:t>
      </w:r>
      <w:r>
        <w:t xml:space="preserve">, doi:10.1007/s11207-025-02577-y。</w:t>
      </w:r>
    </w:p>
    <w:p>
      <w:pPr>
        <w:pStyle w:val="Compact"/>
        <w:numPr>
          <w:ilvl w:val="0"/>
          <w:numId w:val="1006"/>
        </w:numPr>
      </w:pPr>
      <w:r>
        <w:t xml:space="preserve">Duan et al. (2026),</w:t>
      </w:r>
      <w:r>
        <w:t xml:space="preserve"> </w:t>
      </w:r>
      <w:r>
        <w:rPr>
          <w:i/>
          <w:iCs/>
        </w:rPr>
        <w:t xml:space="preserve">Research in Astronomy and Astrophysics</w:t>
      </w:r>
      <w:r>
        <w:t xml:space="preserve">, doi:10.1088/1674-4527/ae4e12。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2026-08-27T16:36:28Z</dcterms:created>
  <dcterms:modified xsi:type="dcterms:W3CDTF">2026-08-27T16:36:28Z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