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173F5F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40"/>
              </w:rPr>
              <w:t>P5｜科学输出（核心章节）</w:t>
            </w:r>
          </w:p>
          <w:p>
            <w:pPr>
              <w:spacing w:after="0"/>
            </w:pPr>
            <w:r>
              <w:rPr>
                <w:color w:val="DCEDF3"/>
                <w:sz w:val="20"/>
              </w:rPr>
              <w:t>独立 SILSO v2.0 太阳活动周形态实验｜已结束周期 1—24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FF4D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结论边界  </w:t>
            </w:r>
            <w:r>
              <w:rPr>
                <w:sz w:val="18"/>
              </w:rPr>
              <w:t>只研究历史完整周期中的统计关系；第 25 周仅作边界，不分析或预测第 26 周，也不作太阳发电机因果机制证明。</w:t>
            </w:r>
          </w:p>
        </w:tc>
      </w:tr>
    </w:tbl>
    <w:p>
      <w:pPr>
        <w:spacing w:after="0"/>
      </w:pPr>
    </w:p>
    <w:p>
      <w:pPr>
        <w:pStyle w:val="Heading2"/>
      </w:pPr>
      <w:r>
        <w:t>5.1 生成的候选假设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假设陈述</w:t>
            </w:r>
          </w:p>
        </w:tc>
        <w:tc>
          <w:tcPr>
            <w:tcW w:type="dxa" w:w="311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预期可观测效应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置信度 / 依据</w:t>
            </w:r>
          </w:p>
        </w:tc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官方极值定义下，上升时间越短，峰值强度通常越高。</w:t>
            </w:r>
          </w:p>
        </w:tc>
        <w:tc>
          <w:tcPr>
            <w:tcW w:type="dxa" w:w="311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两种相关量均为负；两类区间低于 0；留一方向不变；两个时期方向一致。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高（仅限样本内方向）；因果与跨版本外推不评级。</w:t>
            </w:r>
          </w:p>
        </w:tc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H2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周期总长度的负向迹象不足以构成稳定规律。</w:t>
            </w:r>
          </w:p>
        </w:tc>
        <w:tc>
          <w:tcPr>
            <w:tcW w:type="dxa" w:w="311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点估计为负，但双侧 p 值未达常用阈值，两类区间均跨 0。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中；支持‘证据不足’。</w:t>
            </w:r>
          </w:p>
        </w:tc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H3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下降时间—峰值关系具有时期和度量依赖性。</w:t>
            </w:r>
          </w:p>
        </w:tc>
        <w:tc>
          <w:tcPr>
            <w:tcW w:type="dxa" w:w="311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Pearson 与 Spearman 的不确定性结论不一致；现代组接近 0。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中高；多项敏感性结果一致指向不稳定。</w:t>
            </w:r>
          </w:p>
        </w:tc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</w:t>
            </w:r>
          </w:p>
        </w:tc>
      </w:tr>
    </w:tbl>
    <w:p>
      <w:pPr>
        <w:spacing w:after="0"/>
      </w:pPr>
    </w:p>
    <w:p>
      <w:pPr>
        <w:pStyle w:val="Heading2"/>
      </w:pPr>
      <w:r>
        <w:t>5.2 证据链构建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8F5F3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证据链  </w:t>
            </w:r>
            <w:r>
              <w:rPr>
                <w:sz w:val="18"/>
              </w:rPr>
              <w:t>注册 SILSO v2.0 输入 → 官方周期边界 → 24 行逐周期表 → 三类相关与不确定性 → 留一/分时期稳健性 → 独立沙箱核验 → Evidence review。</w:t>
            </w:r>
          </w:p>
        </w:tc>
      </w:tr>
    </w:tbl>
    <w:p>
      <w:pPr>
        <w:spacing w:after="0"/>
      </w:pPr>
    </w:p>
    <w:p>
      <w:pPr>
        <w:pStyle w:val="ListBullet"/>
        <w:ind w:left="283" w:hanging="113"/>
      </w:pPr>
      <w:r>
        <w:t>时间量统一按官方年月差除以 12；每行一个完整活动周。</w:t>
      </w:r>
    </w:p>
    <w:p>
      <w:pPr>
        <w:pStyle w:val="ListBullet"/>
        <w:ind w:left="283" w:hanging="113"/>
      </w:pPr>
      <w:r>
        <w:t>第 1—12 周与第 13—24 周在分析前固定分组，不按结果调整。</w:t>
      </w:r>
    </w:p>
    <w:p>
      <w:pPr>
        <w:pStyle w:val="ListBullet"/>
        <w:ind w:left="283" w:hanging="113"/>
      </w:pPr>
      <w:r>
        <w:t>Bootstrap 以完整活动周为重采样单位，随机种子 20260826，三组关系各 10,000 次有效重复。</w:t>
      </w:r>
    </w:p>
    <w:p>
      <w:pPr>
        <w:pStyle w:val="ListBullet"/>
        <w:ind w:left="283" w:hanging="113"/>
      </w:pPr>
      <w:r>
        <w:t>异常周期只报告影响，不为获得显著结果而删除。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关系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Pearson r（p）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Pearson 95% CI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Spearman ρ（p）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Spearman 95% CI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判断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周期长度—峰值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-0.3242（0.1222）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[-0.7058, 0.0930]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-0.3139（0.1353）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[-0.6814, 0.1337]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证据不足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上升时间—峰值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-0.7495（&lt;0.0001）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[-0.8835, -0.5672]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-0.7619（&lt;0.0001）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[-0.8866, -0.5297]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稳定负相关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下降时间—峰值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0.3827（0.0649）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[0.0551, 0.6415]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0.3211（0.1260）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[-0.1171, 0.6711]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时期/度量依赖</w:t>
            </w:r>
          </w:p>
        </w:tc>
      </w:tr>
    </w:tbl>
    <w:p>
      <w:pPr>
        <w:spacing w:after="0"/>
      </w:pPr>
    </w:p>
    <w:p>
      <w:pPr>
        <w:pStyle w:val="Heading2"/>
      </w:pPr>
      <w:r>
        <w:t>5.3 置信度分层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结论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checkpoint 置信度</w:t>
            </w:r>
          </w:p>
        </w:tc>
        <w:tc>
          <w:tcPr>
            <w:tcW w:type="dxa" w:w="52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依据摘要</w:t>
            </w:r>
          </w:p>
        </w:tc>
      </w:tr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上升时间与峰值强度的历史负相关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52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在 SILSO v2.0 第 1—24 周中，Pearson 与 Spearman 方向一致、双侧 p 值均小于 0.0001、两种 bootstrap 区间均完全低于零、24 次留一方向全部为负、早期与较现代子期点估计均为负。所有预注册 Waldmeier 支持条件均满足。但样本仅 24 个独立周期，且为相关关系，不能证明因果机制或外推到未来活动周。置信度严格限定在该样本与分析口径内的方向描述。</w:t>
            </w:r>
          </w:p>
        </w:tc>
      </w:tr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周期长度与峰值强度的稳定关系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low</w:t>
            </w:r>
          </w:p>
        </w:tc>
        <w:tc>
          <w:tcPr>
            <w:tcW w:type="dxa" w:w="52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Pearson 与 Spearman 点估计均为负，但两种 bootstrap 区间均跨零，双侧 p 值均大于常规显著性阈值，子期各仅 12 个周期且不确定性较大。当前证据不足以判为方向一致的统计关系。</w:t>
            </w:r>
          </w:p>
        </w:tc>
      </w:tr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下降时间与峰值强度的稳定关系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low</w:t>
            </w:r>
          </w:p>
        </w:tc>
        <w:tc>
          <w:tcPr>
            <w:tcW w:type="dxa" w:w="52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Pearson 点估计为正但双侧 p=0.0649 未达常规显著性阈值，Spearman 区间跨零，早期与较现代子期结果不一致。不能将该关系表述为跨时期一致的统计规律。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AF3F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解释  </w:t>
            </w:r>
            <w:r>
              <w:rPr>
                <w:sz w:val="18"/>
              </w:rPr>
              <w:t>high 只适用于直接核验、严格限定在本实验样本和统计口径内的描述性结论；不代表因果机制或样本外预测置信度。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000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cle_morphology_relationsh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5C6C75"/>
          <w:sz w:val="17"/>
        </w:rPr>
        <w:t>图 1｜三种形态变量与峰值强度。点标注周期编号，颜色区分预固定时期；拟合线只描述统计关系。</w:t>
      </w:r>
    </w:p>
    <w:p>
      <w:pPr>
        <w:pStyle w:val="Heading2"/>
      </w:pPr>
      <w:r>
        <w:t>5.4 反例与不支持证据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反例或限制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相关假设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34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对假设的影响</w:t>
            </w:r>
          </w:p>
        </w:tc>
      </w:tr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第 4 周对长度相关影响最大。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H2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逐周期留一</w:t>
            </w:r>
          </w:p>
        </w:tc>
        <w:tc>
          <w:tcPr>
            <w:tcW w:type="dxa" w:w="34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保留该周期；拒绝删点换取显著性。</w:t>
            </w:r>
          </w:p>
        </w:tc>
      </w:tr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下降时间的 Pearson 区间略高于 0，而 Spearman 区间跨 0。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H3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双指标分析</w:t>
            </w:r>
          </w:p>
        </w:tc>
        <w:tc>
          <w:tcPr>
            <w:tcW w:type="dxa" w:w="34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不把单一度量升级为稳定规律。</w:t>
            </w:r>
          </w:p>
        </w:tc>
      </w:tr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早期下降关系偏正，现代组接近 0。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H3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固定分时期</w:t>
            </w:r>
          </w:p>
        </w:tc>
        <w:tc>
          <w:tcPr>
            <w:tcW w:type="dxa" w:w="34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支持时期依赖，提示观测制度差异。</w:t>
            </w:r>
          </w:p>
        </w:tc>
      </w:tr>
      <w:tr>
        <w:tc>
          <w:tcPr>
            <w:tcW w:type="dxa" w:w="300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第 3 周两份官方产品峰值相差 0.1。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H1–H3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输入交叉核验</w:t>
            </w:r>
          </w:p>
        </w:tc>
        <w:tc>
          <w:tcPr>
            <w:tcW w:type="dxa" w:w="340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按预先定义取平滑序列值并保留备注。</w:t>
            </w:r>
          </w:p>
        </w:tc>
      </w:tr>
    </w:tbl>
    <w:p>
      <w:pPr>
        <w:spacing w:after="0"/>
      </w:pPr>
    </w:p>
    <w:p>
      <w:pPr>
        <w:pStyle w:val="Heading2"/>
      </w:pPr>
      <w:r>
        <w:t>5.5 下一步验证计划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假设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验证方法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所需数据/设施</w:t>
            </w:r>
          </w:p>
        </w:tc>
        <w:tc>
          <w:tcPr>
            <w:tcW w:type="dxa" w:w="8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周期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成功判据</w:t>
            </w:r>
          </w:p>
        </w:tc>
      </w:tr>
      <w:t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H1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在未来可注册且可核验的独立 SILSO 数据版本上原样复现。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新版官方边界与平滑序列；同一脚本</w:t>
            </w:r>
          </w:p>
        </w:tc>
        <w:tc>
          <w:tcPr>
            <w:tcW w:type="dxa" w:w="8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1–2 天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方向保持，Pearson/Spearman 区间均不跨 0。</w:t>
            </w:r>
          </w:p>
        </w:tc>
      </w:tr>
      <w:t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H2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同边界复算并增加效应量差异与影响诊断。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独立版本第 1—24 周</w:t>
            </w:r>
          </w:p>
        </w:tc>
        <w:tc>
          <w:tcPr>
            <w:tcW w:type="dxa" w:w="8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 天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3F5F7"/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区间仍跨 0则维持证据不足；多指标一致才升级。</w:t>
            </w:r>
          </w:p>
        </w:tc>
      </w:tr>
      <w:t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H3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预先固定时期边界，复核制度变化前后效应量。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数据说明与可比序列</w:t>
            </w:r>
          </w:p>
        </w:tc>
        <w:tc>
          <w:tcPr>
            <w:tcW w:type="dxa" w:w="8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2–3 天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两时期方向与区间一致才支持稳定关系。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173F5F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40"/>
              </w:rPr>
              <w:t>P6｜典型案例展示</w:t>
            </w:r>
          </w:p>
          <w:p>
            <w:pPr>
              <w:spacing w:after="0"/>
            </w:pPr>
            <w:r>
              <w:rPr>
                <w:color w:val="DCEDF3"/>
                <w:sz w:val="20"/>
              </w:rPr>
              <w:t>一条正式成功闭环 + 一个已修复的经典 Agent 失效模式</w:t>
            </w:r>
          </w:p>
        </w:tc>
      </w:tr>
    </w:tbl>
    <w:p>
      <w:pPr>
        <w:spacing w:after="0"/>
      </w:pPr>
    </w:p>
    <w:p>
      <w:pPr>
        <w:pStyle w:val="Heading2"/>
      </w:pPr>
      <w:r>
        <w:t>6.1 成功案例：从原始问题到可复核发布结果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8F5F3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正式运行结果  </w:t>
            </w:r>
            <w:r>
              <w:rPr>
                <w:sz w:val="18"/>
              </w:rPr>
              <w:t>无人工补充消息、无人工批准；约 51.7 分钟完成全流程；8 轮逐阶段评审与 8 轮科学质量评估；终态 released。</w:t>
            </w:r>
          </w:p>
        </w:tc>
      </w:tr>
    </w:tbl>
    <w:p>
      <w:pPr>
        <w:spacing w:after="0"/>
      </w:pPr>
    </w:p>
    <w:p>
      <w:pPr>
        <w:pStyle w:val="ListBullet"/>
        <w:ind w:left="283" w:hanging="113"/>
      </w:pPr>
      <w:r>
        <w:t>输入边界完整保留：只用三类已注册 SILSO v2.0 数据，只分析完整结束的第 1—24 周。</w:t>
      </w:r>
    </w:p>
    <w:p>
      <w:pPr>
        <w:pStyle w:val="ListBullet"/>
        <w:ind w:left="283" w:hanging="113"/>
      </w:pPr>
      <w:r>
        <w:t>系统完成规划、数据核验、初始假设、实验设计、真实执行、结果后假设更新、集成与最终发布审查。</w:t>
      </w:r>
    </w:p>
    <w:p>
      <w:pPr>
        <w:pStyle w:val="ListBullet"/>
        <w:ind w:left="283" w:hanging="113"/>
      </w:pPr>
      <w:r>
        <w:t>CSV、Markdown 和 PNG 三件套均真实存在；统计数字经独立重算，与逐周期表一致。</w:t>
      </w:r>
    </w:p>
    <w:p>
      <w:pPr>
        <w:pStyle w:val="ListBullet"/>
        <w:ind w:left="283" w:hanging="113"/>
      </w:pPr>
      <w:r>
        <w:t>显著、非显著和时期不稳定结果全部保留；最终答复没有把相关性写成因果机制。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428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5C6C75"/>
          <w:sz w:val="17"/>
        </w:rPr>
        <w:t>图 2｜全新 production WebUI 会话的正式发布页面；完整输入、输出和过程回执另存于运行记录。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AF3F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代表性科学结论  </w:t>
            </w:r>
            <w:r>
              <w:rPr>
                <w:sz w:val="18"/>
              </w:rPr>
              <w:t>上升时间—峰值强度是唯一获得跨指标、bootstrap、逐周期留一和两个固定时期方向共同支持的主关系；独立重算得到 Pearson r=-0.7495、Spearman ρ=-0.7619。这支持 Waldmeier 效应的描述性统计表述。</w:t>
            </w:r>
          </w:p>
        </w:tc>
      </w:tr>
    </w:tbl>
    <w:p>
      <w:pPr>
        <w:spacing w:after="0"/>
      </w:pPr>
    </w:p>
    <w:p>
      <w:pPr>
        <w:pStyle w:val="Heading2"/>
      </w:pPr>
      <w:r>
        <w:t>6.2 已修复的经典失败：科学阶段完成，但最后一跳未交付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观察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根因</w:t>
            </w:r>
          </w:p>
        </w:tc>
        <w:tc>
          <w:tcPr>
            <w:tcW w:type="dxa" w:w="24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修复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173F5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修复后证明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真实实验与集成评审已完成，模型却转去读文件和更新待办，最终稿为空；发布门准确阻断。</w:t>
            </w:r>
          </w:p>
        </w:tc>
        <w:tc>
          <w:tcPr>
            <w:tcW w:type="dxa" w:w="23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通用工具在最终发布阶段被下游中间件重新暴露，抢占了唯一的交付动作。</w:t>
            </w:r>
          </w:p>
        </w:tc>
        <w:tc>
          <w:tcPr>
            <w:tcW w:type="dxa" w:w="24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在最靠近模型的边界只保留发布工具，关闭并行工具；同时向后续 Agent 传递经审查事实摘要。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同一原始问题的全新运行进入最终发布审查并返回持久化正文；失败不再复现。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FF4D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b/>
                <w:color w:val="1E6F74"/>
              </w:rPr>
              <w:t xml:space="preserve">工程启示  </w:t>
            </w:r>
            <w:r>
              <w:rPr>
                <w:sz w:val="18"/>
              </w:rPr>
              <w:t>阶段完成不等于已交付。最终答案仍需拥有明确的唯一动作、可用的跨 Agent 事实输入，并通过独立证据审查。</w:t>
            </w:r>
          </w:p>
        </w:tc>
      </w:tr>
    </w:tbl>
    <w:p>
      <w:pPr>
        <w:spacing w:after="0"/>
      </w:pPr>
    </w:p>
    <w:p>
      <w:pPr>
        <w:pStyle w:val="Heading3"/>
      </w:pPr>
      <w:r>
        <w:t>可复核产物</w:t>
      </w:r>
    </w:p>
    <w:p>
      <w:pPr>
        <w:pStyle w:val="ListBullet"/>
        <w:ind w:left="283" w:hanging="113"/>
      </w:pPr>
      <w:r>
        <w:t>完整逐周期表：outputs/cycle_morphology_table.csv</w:t>
      </w:r>
    </w:p>
    <w:p>
      <w:pPr>
        <w:pStyle w:val="ListBullet"/>
        <w:ind w:left="283" w:hanging="113"/>
      </w:pPr>
      <w:r>
        <w:t>统计报告：outputs/cycle_morphology_strength_report.md</w:t>
      </w:r>
    </w:p>
    <w:p>
      <w:pPr>
        <w:pStyle w:val="ListBullet"/>
        <w:ind w:left="283" w:hanging="113"/>
      </w:pPr>
      <w:r>
        <w:t>三联散点图：outputs/cycle_morphology_relationships.png</w:t>
      </w:r>
    </w:p>
    <w:p>
      <w:pPr>
        <w:pStyle w:val="ListBullet"/>
        <w:ind w:left="283" w:hanging="113"/>
      </w:pPr>
      <w:r>
        <w:t>完整 WebUI 输入输出、终态与截图：main_cycle_morphology.v24 运行目录。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879" w:bottom="822" w:left="879" w:header="34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C75"/>
        <w:sz w:val="16"/>
      </w:rPr>
      <w:t xml:space="preserve">第 </w:t>
      <w:fldChar w:fldCharType="begin"/>
      <w:instrText xml:space="preserve">PAGE</w:instrText>
      <w:fldChar w:fldCharType="end"/>
    </w:r>
    <w:r>
      <w:rPr>
        <w:color w:val="5C6C7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C6C75"/>
        <w:sz w:val="16"/>
      </w:rPr>
      <w:t>太阳物理假设生成与证据推理｜SILSO 周形态实验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Noto Sans CJK SC" w:hAnsi="Noto Sans CJK SC" w:eastAsia="Noto Sans CJK SC"/>
      <w:color w:val="1F2C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F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E6F7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F5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3F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