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adjustRightInd w:val="0"/>
        <w:snapToGrid w:val="0"/>
        <w:spacing w:after="312" w:afterLines="100"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Hans"/>
        </w:rPr>
        <w:t>经典导引课程期末论文</w:t>
      </w:r>
      <w:r>
        <w:rPr>
          <w:rFonts w:ascii="宋体" w:hAnsi="宋体"/>
          <w:b/>
          <w:sz w:val="24"/>
          <w:szCs w:val="24"/>
        </w:rPr>
        <w:t>关于格式及文献引证标注方式的规定</w:t>
      </w:r>
    </w:p>
    <w:p>
      <w:pPr>
        <w:autoSpaceDN w:val="0"/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一、论文格式</w:t>
      </w:r>
    </w:p>
    <w:p>
      <w:pPr>
        <w:autoSpaceDN w:val="0"/>
        <w:adjustRightInd w:val="0"/>
        <w:snapToGrid w:val="0"/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（一）标题</w:t>
      </w:r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．</w:t>
      </w:r>
      <w:r>
        <w:rPr>
          <w:rFonts w:ascii="宋体" w:hAnsi="宋体"/>
          <w:sz w:val="24"/>
          <w:szCs w:val="24"/>
        </w:rPr>
        <w:t>论文题目，居中，</w:t>
      </w:r>
      <w:r>
        <w:rPr>
          <w:rFonts w:hint="eastAsia" w:ascii="宋体" w:hAnsi="宋体"/>
          <w:sz w:val="24"/>
          <w:szCs w:val="24"/>
          <w:lang w:eastAsia="zh-CN"/>
        </w:rPr>
        <w:t>黑体</w:t>
      </w:r>
      <w:r>
        <w:rPr>
          <w:rFonts w:ascii="宋体" w:hAnsi="宋体"/>
          <w:sz w:val="24"/>
          <w:szCs w:val="24"/>
        </w:rPr>
        <w:t>，四号字。</w:t>
      </w:r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2.</w:t>
      </w:r>
      <w:r>
        <w:rPr>
          <w:rFonts w:hint="eastAsia" w:ascii="宋体" w:hAnsi="宋体"/>
          <w:sz w:val="24"/>
          <w:szCs w:val="24"/>
        </w:rPr>
        <w:t>姓名、学院、学号、手机号各空一格依次排列。字体为小四号黑体。</w:t>
      </w:r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sz w:val="24"/>
          <w:szCs w:val="24"/>
        </w:rPr>
        <w:t>．</w:t>
      </w:r>
      <w:r>
        <w:rPr>
          <w:rFonts w:ascii="宋体" w:hAnsi="宋体"/>
          <w:sz w:val="24"/>
          <w:szCs w:val="24"/>
        </w:rPr>
        <w:t>论文一、二级标题，分别用“一”（小四号字</w:t>
      </w:r>
      <w:r>
        <w:rPr>
          <w:rFonts w:hint="eastAsia" w:ascii="宋体" w:hAnsi="宋体"/>
          <w:sz w:val="24"/>
          <w:szCs w:val="24"/>
          <w:lang w:eastAsia="zh-CN"/>
        </w:rPr>
        <w:t>宋体加粗居左、无缩进</w:t>
      </w:r>
      <w:r>
        <w:rPr>
          <w:rFonts w:ascii="宋体" w:hAnsi="宋体"/>
          <w:sz w:val="24"/>
          <w:szCs w:val="24"/>
        </w:rPr>
        <w:t>）、“（一）”（</w:t>
      </w:r>
      <w:r>
        <w:rPr>
          <w:rFonts w:hint="eastAsia" w:ascii="宋体" w:hAnsi="宋体"/>
          <w:sz w:val="24"/>
          <w:szCs w:val="24"/>
        </w:rPr>
        <w:t>小四号宋体</w:t>
      </w:r>
      <w:r>
        <w:rPr>
          <w:rFonts w:hint="eastAsia" w:ascii="宋体" w:hAnsi="宋体"/>
          <w:sz w:val="24"/>
          <w:szCs w:val="24"/>
          <w:lang w:eastAsia="zh-CN"/>
        </w:rPr>
        <w:t>居左，左缩进两格</w:t>
      </w:r>
      <w:r>
        <w:rPr>
          <w:rFonts w:ascii="宋体" w:hAnsi="宋体"/>
          <w:sz w:val="24"/>
          <w:szCs w:val="24"/>
        </w:rPr>
        <w:t>）。其中，一级标题后应接续“、”号，二级标题后不接续任何标点符号，形成“一、”、“（一）”的形式。</w:t>
      </w:r>
    </w:p>
    <w:p>
      <w:pPr>
        <w:autoSpaceDN w:val="0"/>
        <w:adjustRightInd w:val="0"/>
        <w:snapToGrid w:val="0"/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（二）版式</w:t>
      </w:r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正文</w:t>
      </w:r>
      <w:r>
        <w:rPr>
          <w:rFonts w:hint="eastAsia" w:ascii="宋体" w:hAnsi="宋体"/>
          <w:sz w:val="24"/>
          <w:szCs w:val="24"/>
        </w:rPr>
        <w:t>小四号宋体，全文1</w:t>
      </w:r>
      <w:r>
        <w:rPr>
          <w:rFonts w:ascii="宋体" w:hAnsi="宋体"/>
          <w:sz w:val="24"/>
          <w:szCs w:val="24"/>
        </w:rPr>
        <w:t>.5</w:t>
      </w:r>
      <w:r>
        <w:rPr>
          <w:rFonts w:hint="eastAsia" w:ascii="宋体" w:hAnsi="宋体"/>
          <w:sz w:val="24"/>
          <w:szCs w:val="24"/>
        </w:rPr>
        <w:t>倍行距</w:t>
      </w:r>
      <w:r>
        <w:rPr>
          <w:rFonts w:hint="eastAsia" w:ascii="宋体" w:hAnsi="宋体"/>
          <w:sz w:val="24"/>
          <w:szCs w:val="24"/>
          <w:lang w:eastAsia="zh-CN"/>
        </w:rPr>
        <w:t>。</w:t>
      </w:r>
      <w:r>
        <w:rPr>
          <w:rFonts w:ascii="宋体" w:hAnsi="宋体"/>
          <w:sz w:val="24"/>
          <w:szCs w:val="24"/>
        </w:rPr>
        <w:t>脚注为宋体小五号字。</w:t>
      </w:r>
    </w:p>
    <w:p>
      <w:pPr>
        <w:autoSpaceDN w:val="0"/>
        <w:adjustRightInd w:val="0"/>
        <w:snapToGrid w:val="0"/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（三）数字</w:t>
      </w:r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．</w:t>
      </w:r>
      <w:r>
        <w:rPr>
          <w:rFonts w:ascii="宋体" w:hAnsi="宋体"/>
          <w:sz w:val="24"/>
          <w:szCs w:val="24"/>
        </w:rPr>
        <w:t>公历世纪、年代、年、月、日、时刻，使用阿拉伯数字。如，公元前</w:t>
      </w:r>
      <w:r>
        <w:rPr>
          <w:rFonts w:hint="eastAsia" w:ascii="宋体" w:hAnsi="宋体"/>
          <w:sz w:val="24"/>
          <w:szCs w:val="24"/>
          <w:lang w:val="en-US" w:eastAsia="zh-CN"/>
        </w:rPr>
        <w:t>5</w:t>
      </w:r>
      <w:r>
        <w:rPr>
          <w:rFonts w:ascii="宋体" w:hAnsi="宋体"/>
          <w:sz w:val="24"/>
          <w:szCs w:val="24"/>
        </w:rPr>
        <w:t>世纪、公元前</w:t>
      </w:r>
      <w:r>
        <w:rPr>
          <w:rFonts w:hint="eastAsia" w:ascii="宋体" w:hAnsi="宋体"/>
          <w:sz w:val="24"/>
          <w:szCs w:val="24"/>
          <w:lang w:val="en-US" w:eastAsia="zh-CN"/>
        </w:rPr>
        <w:t>841</w:t>
      </w:r>
      <w:r>
        <w:rPr>
          <w:rFonts w:ascii="宋体" w:hAnsi="宋体"/>
          <w:sz w:val="24"/>
          <w:szCs w:val="24"/>
        </w:rPr>
        <w:t>年、公元</w:t>
      </w:r>
      <w:r>
        <w:rPr>
          <w:rFonts w:hint="eastAsia" w:ascii="宋体" w:hAnsi="宋体"/>
          <w:sz w:val="24"/>
          <w:szCs w:val="24"/>
          <w:lang w:val="en-US" w:eastAsia="zh-CN"/>
        </w:rPr>
        <w:t>8</w:t>
      </w:r>
      <w:r>
        <w:rPr>
          <w:rFonts w:ascii="宋体" w:hAnsi="宋体"/>
          <w:sz w:val="24"/>
          <w:szCs w:val="24"/>
        </w:rPr>
        <w:t>年、20世纪</w:t>
      </w:r>
      <w:r>
        <w:rPr>
          <w:rFonts w:hint="eastAsia" w:ascii="宋体" w:hAnsi="宋体"/>
          <w:sz w:val="24"/>
          <w:szCs w:val="24"/>
          <w:lang w:val="en-US" w:eastAsia="zh-CN"/>
        </w:rPr>
        <w:t>40</w:t>
      </w:r>
      <w:r>
        <w:rPr>
          <w:rFonts w:ascii="宋体" w:hAnsi="宋体"/>
          <w:sz w:val="24"/>
          <w:szCs w:val="24"/>
        </w:rPr>
        <w:t>年代、</w:t>
      </w:r>
      <w:r>
        <w:rPr>
          <w:rFonts w:hint="eastAsia" w:ascii="宋体" w:hAnsi="宋体"/>
          <w:sz w:val="24"/>
          <w:szCs w:val="24"/>
          <w:lang w:val="en-US" w:eastAsia="zh-CN"/>
        </w:rPr>
        <w:t>2021</w:t>
      </w:r>
      <w:r>
        <w:rPr>
          <w:rFonts w:ascii="宋体" w:hAnsi="宋体"/>
          <w:sz w:val="24"/>
          <w:szCs w:val="24"/>
        </w:rPr>
        <w:t>年10月1日。</w:t>
      </w:r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．</w:t>
      </w:r>
      <w:r>
        <w:rPr>
          <w:rFonts w:ascii="宋体" w:hAnsi="宋体"/>
          <w:sz w:val="24"/>
          <w:szCs w:val="24"/>
        </w:rPr>
        <w:t>非公历纪年，一律用汉字数字标示，但应采用阿拉伯数字括注公历。如，</w:t>
      </w:r>
      <w:r>
        <w:rPr>
          <w:rFonts w:hint="eastAsia" w:ascii="宋体" w:hAnsi="宋体"/>
          <w:sz w:val="24"/>
          <w:szCs w:val="24"/>
          <w:lang w:eastAsia="zh-CN"/>
        </w:rPr>
        <w:t>唐高祖武德九年</w:t>
      </w:r>
      <w:r>
        <w:rPr>
          <w:rFonts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626</w:t>
      </w:r>
      <w:r>
        <w:rPr>
          <w:rFonts w:ascii="宋体" w:hAnsi="宋体"/>
          <w:sz w:val="24"/>
          <w:szCs w:val="24"/>
        </w:rPr>
        <w:t>）、日本</w:t>
      </w:r>
      <w:r>
        <w:rPr>
          <w:rFonts w:hint="eastAsia" w:ascii="宋体" w:hAnsi="宋体"/>
          <w:sz w:val="24"/>
          <w:szCs w:val="24"/>
          <w:lang w:eastAsia="zh-CN"/>
        </w:rPr>
        <w:t>明治二十七年</w:t>
      </w:r>
      <w:r>
        <w:rPr>
          <w:rFonts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1894</w:t>
      </w:r>
      <w:r>
        <w:rPr>
          <w:rFonts w:ascii="宋体" w:hAnsi="宋体"/>
          <w:sz w:val="24"/>
          <w:szCs w:val="24"/>
        </w:rPr>
        <w:t>）。</w:t>
      </w:r>
    </w:p>
    <w:p>
      <w:pPr>
        <w:autoSpaceDN w:val="0"/>
        <w:adjustRightInd w:val="0"/>
        <w:snapToGrid w:val="0"/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二、引文</w:t>
      </w:r>
    </w:p>
    <w:p>
      <w:pPr>
        <w:autoSpaceDN w:val="0"/>
        <w:adjustRightInd w:val="0"/>
        <w:snapToGrid w:val="0"/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（一）独立引文</w:t>
      </w:r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大段引文一律另起一行并左缩进两格排版，且上下各空一行。</w:t>
      </w:r>
    </w:p>
    <w:p>
      <w:pPr>
        <w:autoSpaceDN w:val="0"/>
        <w:adjustRightInd w:val="0"/>
        <w:snapToGrid w:val="0"/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（二）注释形式</w:t>
      </w:r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hint="eastAsia" w:ascii="宋体" w:hAnsi="宋体"/>
          <w:sz w:val="24"/>
          <w:szCs w:val="24"/>
          <w:lang w:eastAsia="zh-Hans"/>
        </w:rPr>
      </w:pPr>
      <w:r>
        <w:rPr>
          <w:rFonts w:ascii="宋体" w:hAnsi="宋体"/>
          <w:sz w:val="24"/>
          <w:szCs w:val="24"/>
        </w:rPr>
        <w:t>若无特殊情况，引文应尽量使用第一手资料。作者要确保文中的引文准确无误并注明出处。注释采用脚注（页下注）形式，每页重新编号，注码置于引文后方，标点符号之后，用</w:t>
      </w:r>
      <w:r>
        <w:rPr>
          <w:rFonts w:ascii="宋体" w:hAnsi="宋体"/>
          <w:sz w:val="24"/>
          <w:szCs w:val="24"/>
          <w:vertAlign w:val="superscript"/>
        </w:rPr>
        <w:t>①、②、③</w:t>
      </w:r>
      <w:r>
        <w:rPr>
          <w:rFonts w:ascii="宋体" w:hAnsi="宋体"/>
          <w:sz w:val="24"/>
          <w:szCs w:val="24"/>
        </w:rPr>
        <w:t>表示</w:t>
      </w:r>
      <w:r>
        <w:rPr>
          <w:rFonts w:hint="eastAsia" w:ascii="宋体" w:hAnsi="宋体"/>
          <w:sz w:val="24"/>
          <w:szCs w:val="24"/>
          <w:lang w:eastAsia="zh-Hans"/>
        </w:rPr>
        <w:t>。</w:t>
      </w:r>
    </w:p>
    <w:p>
      <w:pPr>
        <w:autoSpaceDN w:val="0"/>
        <w:adjustRightInd w:val="0"/>
        <w:snapToGrid w:val="0"/>
        <w:spacing w:line="360" w:lineRule="auto"/>
        <w:rPr>
          <w:rFonts w:ascii="宋体" w:hAnsi="宋体"/>
          <w:b/>
          <w:sz w:val="24"/>
          <w:szCs w:val="24"/>
        </w:rPr>
      </w:pPr>
    </w:p>
    <w:p>
      <w:pPr>
        <w:autoSpaceDN w:val="0"/>
        <w:adjustRightInd w:val="0"/>
        <w:snapToGrid w:val="0"/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三、脚注示例</w:t>
      </w:r>
    </w:p>
    <w:p>
      <w:pPr>
        <w:autoSpaceDN w:val="0"/>
        <w:adjustRightInd w:val="0"/>
        <w:snapToGrid w:val="0"/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（一）古籍</w:t>
      </w:r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sz w:val="24"/>
          <w:szCs w:val="24"/>
        </w:rPr>
        <w:t>责任者与责任方式 + 书名 + 卷次 + 部类名及篇名 + 版本或出版信息 +页码。</w:t>
      </w:r>
      <w:r>
        <w:rPr>
          <w:rFonts w:ascii="宋体" w:hAnsi="宋体"/>
          <w:b/>
          <w:sz w:val="24"/>
          <w:szCs w:val="24"/>
        </w:rPr>
        <w:t>请参照以下示例:</w:t>
      </w:r>
    </w:p>
    <w:p>
      <w:pPr>
        <w:autoSpaceDN w:val="0"/>
        <w:adjustRightInd w:val="0"/>
        <w:snapToGrid w:val="0"/>
        <w:spacing w:before="312" w:beforeLines="100"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HYPERLINK "https://book.duxiu.com/search?sw=%E7%AB%A0%E5%AD%A6%E8%AF%9A&amp;Field=2&amp;channel=search&amp;ecode=UTF-8"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hint="eastAsia" w:ascii="宋体" w:hAnsi="宋体"/>
          <w:sz w:val="24"/>
          <w:szCs w:val="24"/>
        </w:rPr>
        <w:t>章学诚</w:t>
      </w:r>
      <w:r>
        <w:rPr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  <w:lang w:eastAsia="zh-CN"/>
        </w:rPr>
        <w:t>：</w:t>
      </w:r>
      <w:r>
        <w:rPr>
          <w:rFonts w:ascii="宋体" w:hAnsi="宋体"/>
          <w:sz w:val="24"/>
          <w:szCs w:val="24"/>
        </w:rPr>
        <w:t>《</w:t>
      </w:r>
      <w:r>
        <w:rPr>
          <w:rFonts w:hint="eastAsia" w:ascii="宋体" w:hAnsi="宋体"/>
          <w:sz w:val="24"/>
          <w:szCs w:val="24"/>
          <w:lang w:eastAsia="zh-CN"/>
        </w:rPr>
        <w:t>文史通义</w:t>
      </w:r>
      <w:r>
        <w:rPr>
          <w:rFonts w:ascii="宋体" w:hAnsi="宋体"/>
          <w:sz w:val="24"/>
          <w:szCs w:val="24"/>
        </w:rPr>
        <w:t>》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ascii="宋体" w:hAnsi="宋体"/>
          <w:sz w:val="24"/>
          <w:szCs w:val="24"/>
        </w:rPr>
        <w:t>上海古籍出版社200</w:t>
      </w:r>
      <w:r>
        <w:rPr>
          <w:rFonts w:hint="eastAsia" w:ascii="宋体" w:hAnsi="宋体"/>
          <w:sz w:val="24"/>
          <w:szCs w:val="24"/>
          <w:lang w:val="en-US" w:eastAsia="zh-CN"/>
        </w:rPr>
        <w:t>8</w:t>
      </w:r>
      <w:r>
        <w:rPr>
          <w:rFonts w:ascii="宋体" w:hAnsi="宋体"/>
          <w:sz w:val="24"/>
          <w:szCs w:val="24"/>
        </w:rPr>
        <w:t>年版，第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ascii="宋体" w:hAnsi="宋体"/>
          <w:sz w:val="24"/>
          <w:szCs w:val="24"/>
        </w:rPr>
        <w:t>—</w:t>
      </w:r>
      <w:r>
        <w:rPr>
          <w:rFonts w:hint="eastAsia" w:ascii="宋体" w:hAnsi="宋体"/>
          <w:sz w:val="24"/>
          <w:szCs w:val="24"/>
          <w:lang w:val="en-US" w:eastAsia="zh-CN"/>
        </w:rPr>
        <w:t>4</w:t>
      </w:r>
      <w:r>
        <w:rPr>
          <w:rFonts w:ascii="宋体" w:hAnsi="宋体"/>
          <w:sz w:val="24"/>
          <w:szCs w:val="24"/>
        </w:rPr>
        <w:t>页。</w:t>
      </w:r>
      <w:bookmarkStart w:id="0" w:name="_GoBack"/>
      <w:bookmarkEnd w:id="0"/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《通典》卷54，中华书局1988年版，第1508页。</w:t>
      </w:r>
    </w:p>
    <w:p>
      <w:pPr>
        <w:autoSpaceDN w:val="0"/>
        <w:adjustRightInd w:val="0"/>
        <w:snapToGrid w:val="0"/>
        <w:spacing w:after="312" w:afterLines="100"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《资治通鉴》卷200，唐高宗永徽六年十月乙卯，中华书局1956年版，第6293页。</w:t>
      </w:r>
    </w:p>
    <w:p>
      <w:pPr>
        <w:autoSpaceDN w:val="0"/>
        <w:adjustRightInd w:val="0"/>
        <w:snapToGrid w:val="0"/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（二）普通图书</w:t>
      </w:r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责任者与责任方式 + 书名 + 卷册 + 出版信息 + 页码。</w:t>
      </w:r>
      <w:r>
        <w:rPr>
          <w:rFonts w:ascii="宋体" w:hAnsi="宋体"/>
          <w:b/>
          <w:sz w:val="24"/>
          <w:szCs w:val="24"/>
        </w:rPr>
        <w:t>请参照以下示例: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before="313" w:beforeLines="100" w:after="313" w:afterLines="100" w:line="360" w:lineRule="auto"/>
        <w:ind w:firstLine="480" w:firstLineChars="200"/>
        <w:textAlignment w:val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HYPERLINK "https://book.duxiu.com/search?sw=%E6%9D%8E%E9%9B%B6&amp;Field=2&amp;channel=search&amp;ecode=UTF-8"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hint="eastAsia" w:ascii="宋体" w:hAnsi="宋体"/>
          <w:sz w:val="24"/>
          <w:szCs w:val="24"/>
        </w:rPr>
        <w:t>李零</w:t>
      </w:r>
      <w:r>
        <w:rPr>
          <w:rFonts w:hint="eastAsia"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t>：《丧家狗</w:t>
      </w:r>
      <w:r>
        <w:rPr>
          <w:rFonts w:hint="eastAsia" w:ascii="宋体" w:hAnsi="宋体"/>
          <w:sz w:val="24"/>
          <w:szCs w:val="24"/>
          <w:lang w:val="en-US" w:eastAsia="zh-CN"/>
        </w:rPr>
        <w:t>：</w:t>
      </w:r>
      <w:r>
        <w:rPr>
          <w:rFonts w:ascii="宋体" w:hAnsi="宋体"/>
          <w:sz w:val="24"/>
          <w:szCs w:val="24"/>
        </w:rPr>
        <w:t>我读</w:t>
      </w:r>
      <w:r>
        <w:rPr>
          <w:rFonts w:hint="eastAsia" w:ascii="宋体" w:hAnsi="宋体"/>
          <w:sz w:val="24"/>
          <w:szCs w:val="24"/>
          <w:lang w:val="en-US" w:eastAsia="zh-CN"/>
        </w:rPr>
        <w:t>&lt;</w:t>
      </w:r>
      <w:r>
        <w:rPr>
          <w:rFonts w:ascii="宋体" w:hAnsi="宋体"/>
          <w:sz w:val="24"/>
          <w:szCs w:val="24"/>
        </w:rPr>
        <w:t>论语</w:t>
      </w:r>
      <w:r>
        <w:rPr>
          <w:rFonts w:hint="eastAsia" w:ascii="宋体" w:hAnsi="宋体"/>
          <w:sz w:val="24"/>
          <w:szCs w:val="24"/>
          <w:lang w:val="en-US" w:eastAsia="zh-CN"/>
        </w:rPr>
        <w:t>&gt;</w:t>
      </w:r>
      <w:r>
        <w:rPr>
          <w:rFonts w:ascii="宋体" w:hAnsi="宋体"/>
          <w:sz w:val="24"/>
          <w:szCs w:val="24"/>
        </w:rPr>
        <w:t>》，山西人民出版社</w:t>
      </w:r>
      <w:r>
        <w:rPr>
          <w:rFonts w:hint="eastAsia" w:ascii="宋体" w:hAnsi="宋体"/>
          <w:sz w:val="24"/>
          <w:szCs w:val="24"/>
          <w:lang w:val="en-US" w:eastAsia="zh-CN"/>
        </w:rPr>
        <w:t>2007</w:t>
      </w:r>
      <w:r>
        <w:rPr>
          <w:rFonts w:ascii="宋体" w:hAnsi="宋体"/>
          <w:sz w:val="24"/>
          <w:szCs w:val="24"/>
        </w:rPr>
        <w:t>年版，第</w:t>
      </w:r>
      <w:r>
        <w:rPr>
          <w:rFonts w:hint="eastAsia" w:ascii="宋体" w:hAnsi="宋体"/>
          <w:sz w:val="24"/>
          <w:szCs w:val="24"/>
          <w:lang w:val="en-US" w:eastAsia="zh-CN"/>
        </w:rPr>
        <w:t>51</w:t>
      </w:r>
      <w:r>
        <w:rPr>
          <w:rFonts w:ascii="宋体" w:hAnsi="宋体"/>
          <w:sz w:val="24"/>
          <w:szCs w:val="24"/>
        </w:rPr>
        <w:t>页。</w:t>
      </w:r>
    </w:p>
    <w:p>
      <w:pPr>
        <w:autoSpaceDN w:val="0"/>
        <w:adjustRightInd w:val="0"/>
        <w:snapToGrid w:val="0"/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（三）析出文献</w:t>
      </w:r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作者 + 析出文献名 + 文集编者 + 文集题名 + 卷册 + 出版信息 + 页码。</w:t>
      </w:r>
      <w:r>
        <w:rPr>
          <w:rFonts w:ascii="宋体" w:hAnsi="宋体"/>
          <w:b/>
          <w:sz w:val="24"/>
          <w:szCs w:val="24"/>
        </w:rPr>
        <w:t>请参照以下示例:</w:t>
      </w:r>
    </w:p>
    <w:p>
      <w:pPr>
        <w:autoSpaceDN w:val="0"/>
        <w:adjustRightInd w:val="0"/>
        <w:snapToGrid w:val="0"/>
        <w:spacing w:after="312" w:afterLines="100"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楼适夷：《读家书，想傅雷（代序）》，傅敏编：《傅雷家书》（增补本），三联书店1988年版，第1页。</w:t>
      </w:r>
    </w:p>
    <w:p>
      <w:pPr>
        <w:autoSpaceDN w:val="0"/>
        <w:adjustRightInd w:val="0"/>
        <w:snapToGrid w:val="0"/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（四）期刊</w:t>
      </w:r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作者 + 文章名称 + 期刊名称 + 卷册号及出版日期 + 页码。</w:t>
      </w:r>
      <w:r>
        <w:rPr>
          <w:rFonts w:ascii="宋体" w:hAnsi="宋体"/>
          <w:b/>
          <w:sz w:val="24"/>
          <w:szCs w:val="24"/>
        </w:rPr>
        <w:t>请参照以下例:</w:t>
      </w:r>
    </w:p>
    <w:p>
      <w:pPr>
        <w:autoSpaceDN w:val="0"/>
        <w:adjustRightInd w:val="0"/>
        <w:snapToGrid w:val="0"/>
        <w:spacing w:before="312" w:beforeLines="100" w:line="360" w:lineRule="auto"/>
        <w:ind w:firstLine="480" w:firstLineChars="200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苏德超</w:t>
      </w:r>
      <w:r>
        <w:rPr>
          <w:rFonts w:hint="eastAsia" w:ascii="宋体" w:hAnsi="宋体"/>
          <w:sz w:val="24"/>
          <w:szCs w:val="24"/>
          <w:lang w:eastAsia="zh-CN"/>
        </w:rPr>
        <w:t>：《</w:t>
      </w:r>
      <w:r>
        <w:rPr>
          <w:rFonts w:hint="eastAsia" w:ascii="宋体" w:hAnsi="宋体"/>
          <w:sz w:val="24"/>
          <w:szCs w:val="24"/>
        </w:rPr>
        <w:t>问题、经典与生活——哲学教育的三大支点</w:t>
      </w:r>
      <w:r>
        <w:rPr>
          <w:rFonts w:hint="eastAsia" w:ascii="宋体" w:hAnsi="宋体"/>
          <w:sz w:val="24"/>
          <w:szCs w:val="24"/>
          <w:lang w:eastAsia="zh-CN"/>
        </w:rPr>
        <w:t>》，《</w:t>
      </w:r>
      <w:r>
        <w:rPr>
          <w:rFonts w:hint="eastAsia" w:ascii="宋体" w:hAnsi="宋体"/>
          <w:sz w:val="24"/>
          <w:szCs w:val="24"/>
        </w:rPr>
        <w:t>湖北大学学报</w:t>
      </w: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</w:rPr>
        <w:t>哲学社会科学版</w:t>
      </w:r>
      <w:r>
        <w:rPr>
          <w:rFonts w:hint="eastAsia" w:ascii="宋体" w:hAnsi="宋体"/>
          <w:sz w:val="24"/>
          <w:szCs w:val="24"/>
          <w:lang w:eastAsia="zh-CN"/>
        </w:rPr>
        <w:t>）》</w:t>
      </w:r>
      <w:r>
        <w:rPr>
          <w:rFonts w:hint="eastAsia" w:ascii="宋体" w:hAnsi="宋体"/>
          <w:sz w:val="24"/>
          <w:szCs w:val="24"/>
        </w:rPr>
        <w:t>2019</w:t>
      </w:r>
      <w:r>
        <w:rPr>
          <w:rFonts w:hint="eastAsia" w:ascii="宋体" w:hAnsi="宋体"/>
          <w:sz w:val="24"/>
          <w:szCs w:val="24"/>
          <w:lang w:eastAsia="zh-CN"/>
        </w:rPr>
        <w:t>年第</w:t>
      </w:r>
      <w:r>
        <w:rPr>
          <w:rFonts w:hint="eastAsia" w:ascii="宋体" w:hAnsi="宋体"/>
          <w:sz w:val="24"/>
          <w:szCs w:val="24"/>
          <w:lang w:val="en-US" w:eastAsia="zh-CN"/>
        </w:rPr>
        <w:t>6期，第</w:t>
      </w:r>
      <w:r>
        <w:rPr>
          <w:rFonts w:hint="eastAsia" w:ascii="宋体" w:hAnsi="宋体"/>
          <w:sz w:val="24"/>
          <w:szCs w:val="24"/>
        </w:rPr>
        <w:t>64</w:t>
      </w:r>
      <w:r>
        <w:rPr>
          <w:rFonts w:hint="eastAsia" w:ascii="宋体" w:hAnsi="宋体"/>
          <w:sz w:val="24"/>
          <w:szCs w:val="24"/>
          <w:lang w:eastAsia="zh-CN"/>
        </w:rPr>
        <w:t>—</w:t>
      </w:r>
      <w:r>
        <w:rPr>
          <w:rFonts w:hint="eastAsia" w:ascii="宋体" w:hAnsi="宋体"/>
          <w:sz w:val="24"/>
          <w:szCs w:val="24"/>
        </w:rPr>
        <w:t>71</w:t>
      </w:r>
      <w:r>
        <w:rPr>
          <w:rFonts w:hint="eastAsia" w:ascii="宋体" w:hAnsi="宋体"/>
          <w:sz w:val="24"/>
          <w:szCs w:val="24"/>
          <w:lang w:eastAsia="zh-CN"/>
        </w:rPr>
        <w:t>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after="313" w:afterLines="100" w:line="360" w:lineRule="auto"/>
        <w:ind w:firstLine="480" w:firstLineChars="200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eastAsia="zh-CN"/>
        </w:rPr>
        <w:t>李初梨:《我对于郭沫若先生的认识》,《解放日报》1941年11月18日,第4版</w:t>
      </w:r>
      <w:r>
        <w:rPr>
          <w:rFonts w:ascii="宋体" w:hAnsi="宋体"/>
          <w:sz w:val="24"/>
          <w:szCs w:val="24"/>
        </w:rPr>
        <w:t>。</w:t>
      </w:r>
    </w:p>
    <w:p>
      <w:pPr>
        <w:autoSpaceDN w:val="0"/>
        <w:adjustRightInd w:val="0"/>
        <w:snapToGrid w:val="0"/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（五）电子文献</w:t>
      </w:r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hint="eastAsia" w:ascii="宋体" w:hAnsi="宋体"/>
          <w:b/>
          <w:sz w:val="24"/>
          <w:szCs w:val="24"/>
        </w:rPr>
      </w:pPr>
      <w:r>
        <w:rPr>
          <w:rFonts w:ascii="宋体" w:hAnsi="宋体"/>
          <w:sz w:val="24"/>
          <w:szCs w:val="24"/>
        </w:rPr>
        <w:t>责任者 + 文献名 + 更新或修改日期 + 获取和访问路径 + 引用日期。</w:t>
      </w:r>
      <w:r>
        <w:rPr>
          <w:rFonts w:ascii="宋体" w:hAnsi="宋体"/>
          <w:b/>
          <w:sz w:val="24"/>
          <w:szCs w:val="24"/>
        </w:rPr>
        <w:t>请参照以下示例: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before="312" w:beforeLines="100" w:after="313" w:afterLines="100" w:line="360" w:lineRule="auto"/>
        <w:ind w:firstLine="480" w:firstLineChars="20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夏静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/>
          <w:sz w:val="24"/>
          <w:szCs w:val="24"/>
        </w:rPr>
        <w:t>张锐</w:t>
      </w:r>
      <w:r>
        <w:rPr>
          <w:rFonts w:hint="eastAsia" w:ascii="宋体" w:hAnsi="宋体"/>
          <w:sz w:val="24"/>
          <w:szCs w:val="24"/>
          <w:lang w:eastAsia="zh-CN"/>
        </w:rPr>
        <w:t>：《武汉大学：通识教育夯实育人成才根底》，《光明日报》</w:t>
      </w:r>
      <w:r>
        <w:rPr>
          <w:rFonts w:ascii="宋体" w:hAnsi="宋体"/>
          <w:sz w:val="24"/>
          <w:szCs w:val="24"/>
        </w:rPr>
        <w:t>20</w:t>
      </w:r>
      <w:r>
        <w:rPr>
          <w:rFonts w:hint="eastAsia" w:ascii="宋体" w:hAnsi="宋体"/>
          <w:sz w:val="24"/>
          <w:szCs w:val="24"/>
          <w:lang w:val="en-US" w:eastAsia="zh-CN"/>
        </w:rPr>
        <w:t>20</w:t>
      </w:r>
      <w:r>
        <w:rPr>
          <w:rFonts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lang w:val="en-US" w:eastAsia="zh-CN"/>
        </w:rPr>
        <w:t>12月12日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"https://epaper.gmw.cn/gmrb/html/2020-12/12/nw.D110000gmrb_20201212_3-04.htm"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8"/>
          <w:rFonts w:hint="eastAsia"/>
          <w:sz w:val="24"/>
          <w:szCs w:val="24"/>
        </w:rPr>
        <w:t>https://epaper.gmw.cn/gmrb/html/2020-12/12/nw.D110000gmrb_20201212_3-04.htm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ascii="宋体" w:hAnsi="宋体"/>
          <w:sz w:val="24"/>
          <w:szCs w:val="24"/>
        </w:rPr>
        <w:t>20</w:t>
      </w:r>
      <w:r>
        <w:rPr>
          <w:rFonts w:hint="eastAsia" w:ascii="宋体" w:hAnsi="宋体"/>
          <w:sz w:val="24"/>
          <w:szCs w:val="24"/>
          <w:lang w:val="en-US" w:eastAsia="zh-CN"/>
        </w:rPr>
        <w:t>21</w:t>
      </w:r>
      <w:r>
        <w:rPr>
          <w:rFonts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lang w:val="en-US" w:eastAsia="zh-CN"/>
        </w:rPr>
        <w:t>11</w:t>
      </w:r>
      <w:r>
        <w:rPr>
          <w:rFonts w:ascii="宋体" w:hAnsi="宋体"/>
          <w:sz w:val="24"/>
          <w:szCs w:val="24"/>
        </w:rPr>
        <w:t>月</w:t>
      </w:r>
      <w:r>
        <w:rPr>
          <w:rFonts w:hint="eastAsia" w:ascii="宋体" w:hAnsi="宋体"/>
          <w:sz w:val="24"/>
          <w:szCs w:val="24"/>
          <w:lang w:val="en-US" w:eastAsia="zh-CN"/>
        </w:rPr>
        <w:t>17</w:t>
      </w:r>
      <w:r>
        <w:rPr>
          <w:rFonts w:ascii="宋体" w:hAnsi="宋体"/>
          <w:sz w:val="24"/>
          <w:szCs w:val="24"/>
        </w:rPr>
        <w:t>日。</w:t>
      </w:r>
    </w:p>
    <w:p>
      <w:pPr>
        <w:autoSpaceDN w:val="0"/>
        <w:adjustRightInd w:val="0"/>
        <w:snapToGrid w:val="0"/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（六）外文文献</w:t>
      </w:r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．</w:t>
      </w:r>
      <w:r>
        <w:rPr>
          <w:rFonts w:ascii="宋体" w:hAnsi="宋体"/>
          <w:sz w:val="24"/>
          <w:szCs w:val="24"/>
        </w:rPr>
        <w:t>专著：作者 + 书名（斜体） + 出版地点 + 出版者 + 出版时间 +页码。</w:t>
      </w:r>
      <w:r>
        <w:rPr>
          <w:rFonts w:ascii="宋体" w:hAnsi="宋体"/>
          <w:b/>
          <w:sz w:val="24"/>
          <w:szCs w:val="24"/>
        </w:rPr>
        <w:t>请参照以下示例: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 w:val="0"/>
        <w:snapToGrid w:val="0"/>
        <w:spacing w:before="312" w:beforeLines="100" w:after="313" w:afterLines="100"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Polybius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eastAsia"/>
          <w:i/>
          <w:iCs/>
          <w:sz w:val="24"/>
          <w:szCs w:val="24"/>
          <w:lang w:val="en-US" w:eastAsia="zh-CN"/>
        </w:rPr>
        <w:t>The Histories,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New York: Oxford University Press, 2021, pp. 10-11.</w:t>
      </w:r>
    </w:p>
    <w:p>
      <w:pPr>
        <w:autoSpaceDN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．</w:t>
      </w:r>
      <w:r>
        <w:rPr>
          <w:rFonts w:ascii="宋体" w:hAnsi="宋体"/>
          <w:sz w:val="24"/>
          <w:szCs w:val="24"/>
        </w:rPr>
        <w:t>期刊、论文：作者 + 文章名称 + 期刊名称（斜体） + 卷册号及出版日期 + 页码。</w:t>
      </w:r>
      <w:r>
        <w:rPr>
          <w:rFonts w:ascii="宋体" w:hAnsi="宋体"/>
          <w:b/>
          <w:sz w:val="24"/>
          <w:szCs w:val="24"/>
        </w:rPr>
        <w:t>请参照以下示例:</w:t>
      </w:r>
    </w:p>
    <w:p>
      <w:pPr>
        <w:autoSpaceDN w:val="0"/>
        <w:adjustRightInd w:val="0"/>
        <w:snapToGrid w:val="0"/>
        <w:spacing w:before="312" w:beforeLines="100" w:after="312" w:afterLines="100" w:line="360" w:lineRule="auto"/>
        <w:ind w:firstLine="480" w:firstLineChars="200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Cheng Leonard K.,Wei Xiangdong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sz w:val="24"/>
          <w:szCs w:val="24"/>
        </w:rPr>
        <w:t>Boya education in China: Lessons from liberal arts education in the U.S. and Hong Kong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i/>
          <w:iCs/>
          <w:sz w:val="24"/>
          <w:szCs w:val="24"/>
        </w:rPr>
        <w:t>International Journal of Educational Development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  <w:lang w:val="en-US" w:eastAsia="zh-CN"/>
        </w:rPr>
        <w:t xml:space="preserve"> Vol.84, </w:t>
      </w:r>
      <w:r>
        <w:rPr>
          <w:sz w:val="24"/>
          <w:szCs w:val="24"/>
        </w:rPr>
        <w:t>2021,</w:t>
      </w:r>
      <w:r>
        <w:rPr>
          <w:rFonts w:hint="eastAsia"/>
          <w:sz w:val="24"/>
          <w:szCs w:val="24"/>
          <w:lang w:val="en-US" w:eastAsia="zh-CN"/>
        </w:rPr>
        <w:t xml:space="preserve"> p. </w:t>
      </w:r>
      <w:r>
        <w:rPr>
          <w:sz w:val="24"/>
          <w:szCs w:val="24"/>
        </w:rPr>
        <w:t>84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autoSpaceDN w:val="0"/>
        <w:adjustRightInd w:val="0"/>
        <w:snapToGrid w:val="0"/>
        <w:spacing w:before="312" w:beforeLines="100" w:after="312" w:afterLines="100" w:line="360" w:lineRule="auto"/>
        <w:jc w:val="right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87"/>
    <w:rsid w:val="00424F4D"/>
    <w:rsid w:val="004E0916"/>
    <w:rsid w:val="007D6876"/>
    <w:rsid w:val="00AC445B"/>
    <w:rsid w:val="00E17987"/>
    <w:rsid w:val="799E6AF3"/>
    <w:rsid w:val="BAAFDC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link w:val="5"/>
    <w:uiPriority w:val="99"/>
    <w:rPr>
      <w:sz w:val="18"/>
      <w:szCs w:val="18"/>
    </w:rPr>
  </w:style>
  <w:style w:type="character" w:customStyle="1" w:styleId="11">
    <w:name w:val="页脚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332</Words>
  <Characters>1893</Characters>
  <Lines>15</Lines>
  <Paragraphs>4</Paragraphs>
  <TotalTime>64</TotalTime>
  <ScaleCrop>false</ScaleCrop>
  <LinksUpToDate>false</LinksUpToDate>
  <CharactersWithSpaces>2221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2017-09-06T10:18:00Z</dcterms:created>
  <dc:creator>Administrator</dc:creator>
  <cp:lastModifiedBy>楠同学</cp:lastModifiedBy>
  <dcterms:modified xsi:type="dcterms:W3CDTF">2021-11-18T04:10:04Z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FF0E25E5B7F34A769E7F30CB32F2B7A7</vt:lpwstr>
  </property>
</Properties>
</file>