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V2.2</w:t>
      </w:r>
    </w:p>
    <w:p>
      <w:r>
        <w:br/>
        <w:br/>
        <w:br/>
        <w:br/>
      </w:r>
    </w:p>
    <w:p>
      <w:pPr>
        <w:jc w:val="center"/>
      </w:pPr>
      <w:r>
        <w:t>一心问道</w:t>
        <w:br/>
        <w:t>2026年10月</w:t>
      </w:r>
    </w:p>
    <w:p>
      <w:r>
        <w:br w:type="page"/>
      </w:r>
    </w:p>
    <w:p>
      <w:pPr>
        <w:pStyle w:val="Heading1"/>
      </w:pPr>
      <w:r>
        <w:t>目录</w:t>
      </w:r>
    </w:p>
    <w:p>
      <w:pPr>
        <w:pStyle w:val="Heading2"/>
      </w:pPr>
      <w:hyperlink w:anchor="part_1" w:history="1">
        <w:r>
          <w:rPr>
            <w:color w:val="426B57"/>
          </w:rPr>
          <w:t>第一编　读研之前：认识自己与学术世界</w:t>
        </w:r>
      </w:hyperlink>
    </w:p>
    <w:p>
      <w:pPr>
        <w:spacing w:after="40"/>
        <w:ind w:left="369"/>
      </w:pPr>
      <w:hyperlink w:anchor="chapter_1" w:history="1">
        <w:r>
          <w:rPr>
            <w:color w:val="426B57"/>
          </w:rPr>
          <w:t>第01章　研究生教育究竟在培养什么？</w:t>
        </w:r>
      </w:hyperlink>
    </w:p>
    <w:p>
      <w:pPr>
        <w:spacing w:after="40"/>
        <w:ind w:left="369"/>
      </w:pPr>
      <w:hyperlink w:anchor="chapter_2" w:history="1">
        <w:r>
          <w:rPr>
            <w:color w:val="426B57"/>
          </w:rPr>
          <w:t>第02章　第一次认识学术世界</w:t>
        </w:r>
      </w:hyperlink>
    </w:p>
    <w:p>
      <w:pPr>
        <w:spacing w:after="40"/>
        <w:ind w:left="369"/>
      </w:pPr>
      <w:hyperlink w:anchor="chapter_3" w:history="1">
        <w:r>
          <w:rPr>
            <w:color w:val="426B57"/>
          </w:rPr>
          <w:t>第03章　认识不同类型的研究生教育</w:t>
        </w:r>
      </w:hyperlink>
    </w:p>
    <w:p>
      <w:pPr>
        <w:spacing w:after="40"/>
        <w:ind w:left="369"/>
      </w:pPr>
      <w:hyperlink w:anchor="chapter_4" w:history="1">
        <w:r>
          <w:rPr>
            <w:color w:val="426B57"/>
          </w:rPr>
          <w:t>第04章　如何找到适合自己的专业与研究方向？</w:t>
        </w:r>
      </w:hyperlink>
    </w:p>
    <w:p>
      <w:pPr>
        <w:spacing w:after="40"/>
        <w:ind w:left="369"/>
      </w:pPr>
      <w:hyperlink w:anchor="chapter_5" w:history="1">
        <w:r>
          <w:rPr>
            <w:color w:val="426B57"/>
          </w:rPr>
          <w:t>第05章　读研之前，怎样制定长期发展规划？</w:t>
        </w:r>
      </w:hyperlink>
    </w:p>
    <w:p>
      <w:pPr>
        <w:pStyle w:val="Heading2"/>
      </w:pPr>
      <w:hyperlink w:anchor="part_2" w:history="1">
        <w:r>
          <w:rPr>
            <w:color w:val="426B57"/>
          </w:rPr>
          <w:t>第二编　如何成为研究生：报考、申请与导师选择</w:t>
        </w:r>
      </w:hyperlink>
    </w:p>
    <w:p>
      <w:pPr>
        <w:spacing w:after="40"/>
        <w:ind w:left="369"/>
      </w:pPr>
      <w:hyperlink w:anchor="chapter_6" w:history="1">
        <w:r>
          <w:rPr>
            <w:color w:val="426B57"/>
          </w:rPr>
          <w:t>第06章　如何获取并核实研究生招生信息？</w:t>
        </w:r>
      </w:hyperlink>
    </w:p>
    <w:p>
      <w:pPr>
        <w:spacing w:after="40"/>
        <w:ind w:left="369"/>
      </w:pPr>
      <w:hyperlink w:anchor="chapter_7" w:history="1">
        <w:r>
          <w:rPr>
            <w:color w:val="426B57"/>
          </w:rPr>
          <w:t>第07章　如何合理选择学校和专业？</w:t>
        </w:r>
      </w:hyperlink>
    </w:p>
    <w:p>
      <w:pPr>
        <w:spacing w:after="40"/>
        <w:ind w:left="369"/>
      </w:pPr>
      <w:hyperlink w:anchor="chapter_8" w:history="1">
        <w:r>
          <w:rPr>
            <w:color w:val="426B57"/>
          </w:rPr>
          <w:t>第08章　国内硕士研究生报考完整流程</w:t>
        </w:r>
      </w:hyperlink>
    </w:p>
    <w:p>
      <w:pPr>
        <w:spacing w:after="40"/>
        <w:ind w:left="369"/>
      </w:pPr>
      <w:hyperlink w:anchor="chapter_9" w:history="1">
        <w:r>
          <w:rPr>
            <w:color w:val="426B57"/>
          </w:rPr>
          <w:t>第09章　博士申请与海外研究生申请</w:t>
        </w:r>
      </w:hyperlink>
    </w:p>
    <w:p>
      <w:pPr>
        <w:spacing w:after="40"/>
        <w:ind w:left="369"/>
      </w:pPr>
      <w:hyperlink w:anchor="chapter_10" w:history="1">
        <w:r>
          <w:rPr>
            <w:color w:val="426B57"/>
          </w:rPr>
          <w:t>第10章　怎样选择适合自己的导师？</w:t>
        </w:r>
      </w:hyperlink>
    </w:p>
    <w:p>
      <w:pPr>
        <w:pStyle w:val="Heading2"/>
      </w:pPr>
      <w:hyperlink w:anchor="part_3" w:history="1">
        <w:r>
          <w:rPr>
            <w:color w:val="426B57"/>
          </w:rPr>
          <w:t>第三编　研究生入学第一年：完成身份转变</w:t>
        </w:r>
      </w:hyperlink>
    </w:p>
    <w:p>
      <w:pPr>
        <w:spacing w:after="40"/>
        <w:ind w:left="369"/>
      </w:pPr>
      <w:hyperlink w:anchor="chapter_11" w:history="1">
        <w:r>
          <w:rPr>
            <w:color w:val="426B57"/>
          </w:rPr>
          <w:t>第11章　收到录取通知书以后，应该准备什么？</w:t>
        </w:r>
      </w:hyperlink>
    </w:p>
    <w:p>
      <w:pPr>
        <w:spacing w:after="40"/>
        <w:ind w:left="369"/>
      </w:pPr>
      <w:hyperlink w:anchor="chapter_12" w:history="1">
        <w:r>
          <w:rPr>
            <w:color w:val="426B57"/>
          </w:rPr>
          <w:t>第12章　入学前30天与前90天应该做什么？</w:t>
        </w:r>
      </w:hyperlink>
    </w:p>
    <w:p>
      <w:pPr>
        <w:spacing w:after="40"/>
        <w:ind w:left="369"/>
      </w:pPr>
      <w:hyperlink w:anchor="chapter_13" w:history="1">
        <w:r>
          <w:rPr>
            <w:color w:val="426B57"/>
          </w:rPr>
          <w:t>第13章　怎样建立研究生必备的基础知识体系？</w:t>
        </w:r>
      </w:hyperlink>
    </w:p>
    <w:p>
      <w:pPr>
        <w:spacing w:after="40"/>
        <w:ind w:left="369"/>
      </w:pPr>
      <w:hyperlink w:anchor="chapter_14" w:history="1">
        <w:r>
          <w:rPr>
            <w:color w:val="426B57"/>
          </w:rPr>
          <w:t>第14章　怎样与导师和团队有效合作？</w:t>
        </w:r>
      </w:hyperlink>
    </w:p>
    <w:p>
      <w:pPr>
        <w:spacing w:after="40"/>
        <w:ind w:left="369"/>
      </w:pPr>
      <w:hyperlink w:anchor="chapter_15" w:history="1">
        <w:r>
          <w:rPr>
            <w:color w:val="426B57"/>
          </w:rPr>
          <w:t>第15章　如何管理时间、知识与个人科研任务？</w:t>
        </w:r>
      </w:hyperlink>
    </w:p>
    <w:p>
      <w:pPr>
        <w:pStyle w:val="Heading2"/>
      </w:pPr>
      <w:hyperlink w:anchor="part_4" w:history="1">
        <w:r>
          <w:rPr>
            <w:color w:val="426B57"/>
          </w:rPr>
          <w:t>第四编　学会阅读文献：从获取知识到形成判断</w:t>
        </w:r>
      </w:hyperlink>
    </w:p>
    <w:p>
      <w:pPr>
        <w:spacing w:after="40"/>
        <w:ind w:left="369"/>
      </w:pPr>
      <w:hyperlink w:anchor="chapter_16" w:history="1">
        <w:r>
          <w:rPr>
            <w:color w:val="426B57"/>
          </w:rPr>
          <w:t>第16章　学术文献从哪里来？</w:t>
        </w:r>
      </w:hyperlink>
    </w:p>
    <w:p>
      <w:pPr>
        <w:spacing w:after="40"/>
        <w:ind w:left="369"/>
      </w:pPr>
      <w:hyperlink w:anchor="chapter_17" w:history="1">
        <w:r>
          <w:rPr>
            <w:color w:val="426B57"/>
          </w:rPr>
          <w:t>第17章　如何真正读懂一篇科研论文？</w:t>
        </w:r>
      </w:hyperlink>
    </w:p>
    <w:p>
      <w:pPr>
        <w:spacing w:after="40"/>
        <w:ind w:left="369"/>
      </w:pPr>
      <w:hyperlink w:anchor="chapter_18" w:history="1">
        <w:r>
          <w:rPr>
            <w:color w:val="426B57"/>
          </w:rPr>
          <w:t>第18章　如何整理文献并建立自己的知识库？</w:t>
        </w:r>
      </w:hyperlink>
    </w:p>
    <w:p>
      <w:pPr>
        <w:spacing w:after="40"/>
        <w:ind w:left="369"/>
      </w:pPr>
      <w:hyperlink w:anchor="chapter_19" w:history="1">
        <w:r>
          <w:rPr>
            <w:color w:val="426B57"/>
          </w:rPr>
          <w:t>第19章　如何进行批判性阅读与证据评价？</w:t>
        </w:r>
      </w:hyperlink>
    </w:p>
    <w:p>
      <w:pPr>
        <w:spacing w:after="40"/>
        <w:ind w:left="369"/>
      </w:pPr>
      <w:hyperlink w:anchor="chapter_20" w:history="1">
        <w:r>
          <w:rPr>
            <w:color w:val="426B57"/>
          </w:rPr>
          <w:t>第20章　从阅读文献到撰写综述与发现研究空白</w:t>
        </w:r>
      </w:hyperlink>
    </w:p>
    <w:p>
      <w:pPr>
        <w:pStyle w:val="Heading2"/>
      </w:pPr>
      <w:hyperlink w:anchor="part_5" w:history="1">
        <w:r>
          <w:rPr>
            <w:color w:val="426B57"/>
          </w:rPr>
          <w:t>第五编　科研选题与研究设计</w:t>
        </w:r>
      </w:hyperlink>
    </w:p>
    <w:p>
      <w:pPr>
        <w:spacing w:after="40"/>
        <w:ind w:left="369"/>
      </w:pPr>
      <w:hyperlink w:anchor="chapter_21" w:history="1">
        <w:r>
          <w:rPr>
            <w:color w:val="426B57"/>
          </w:rPr>
          <w:t>第21章　一个好的科研问题从哪里来？</w:t>
        </w:r>
      </w:hyperlink>
    </w:p>
    <w:p>
      <w:pPr>
        <w:spacing w:after="40"/>
        <w:ind w:left="369"/>
      </w:pPr>
      <w:hyperlink w:anchor="chapter_22" w:history="1">
        <w:r>
          <w:rPr>
            <w:color w:val="426B57"/>
          </w:rPr>
          <w:t>第22章　如何提出研究假设与建立理论框架？</w:t>
        </w:r>
      </w:hyperlink>
    </w:p>
    <w:p>
      <w:pPr>
        <w:spacing w:after="40"/>
        <w:ind w:left="369"/>
      </w:pPr>
      <w:hyperlink w:anchor="chapter_23" w:history="1">
        <w:r>
          <w:rPr>
            <w:color w:val="426B57"/>
          </w:rPr>
          <w:t>第23章　科研方法应该怎样选择？</w:t>
        </w:r>
      </w:hyperlink>
    </w:p>
    <w:p>
      <w:pPr>
        <w:spacing w:after="40"/>
        <w:ind w:left="369"/>
      </w:pPr>
      <w:hyperlink w:anchor="chapter_24" w:history="1">
        <w:r>
          <w:rPr>
            <w:color w:val="426B57"/>
          </w:rPr>
          <w:t>第24章　样本、变量、偏倚与研究可行性</w:t>
        </w:r>
      </w:hyperlink>
    </w:p>
    <w:p>
      <w:pPr>
        <w:spacing w:after="40"/>
        <w:ind w:left="369"/>
      </w:pPr>
      <w:hyperlink w:anchor="chapter_25" w:history="1">
        <w:r>
          <w:rPr>
            <w:color w:val="426B57"/>
          </w:rPr>
          <w:t>第25章　从研究问题到完整研究方案</w:t>
        </w:r>
      </w:hyperlink>
    </w:p>
    <w:p>
      <w:pPr>
        <w:spacing w:after="40"/>
        <w:ind w:left="369"/>
      </w:pPr>
      <w:hyperlink w:anchor="chapter_26" w:history="1">
        <w:r>
          <w:rPr>
            <w:color w:val="426B57"/>
          </w:rPr>
          <w:t>第26章　开题报告与研究计划答辩</w:t>
        </w:r>
      </w:hyperlink>
    </w:p>
    <w:p>
      <w:pPr>
        <w:pStyle w:val="Heading2"/>
      </w:pPr>
      <w:hyperlink w:anchor="part_6" w:history="1">
        <w:r>
          <w:rPr>
            <w:color w:val="426B57"/>
          </w:rPr>
          <w:t>第六编　科研实践与数据分析</w:t>
        </w:r>
      </w:hyperlink>
    </w:p>
    <w:p>
      <w:pPr>
        <w:spacing w:after="40"/>
        <w:ind w:left="369"/>
      </w:pPr>
      <w:hyperlink w:anchor="chapter_27" w:history="1">
        <w:r>
          <w:rPr>
            <w:color w:val="426B57"/>
          </w:rPr>
          <w:t>第27章　如何开展实验、调查与实际研究？</w:t>
        </w:r>
      </w:hyperlink>
    </w:p>
    <w:p>
      <w:pPr>
        <w:spacing w:after="40"/>
        <w:ind w:left="369"/>
      </w:pPr>
      <w:hyperlink w:anchor="chapter_28" w:history="1">
        <w:r>
          <w:rPr>
            <w:color w:val="426B57"/>
          </w:rPr>
          <w:t>第28章　从原始数据到可以分析的数据</w:t>
        </w:r>
      </w:hyperlink>
    </w:p>
    <w:p>
      <w:pPr>
        <w:spacing w:after="40"/>
        <w:ind w:left="369"/>
      </w:pPr>
      <w:hyperlink w:anchor="chapter_29" w:history="1">
        <w:r>
          <w:rPr>
            <w:color w:val="426B57"/>
          </w:rPr>
          <w:t>第29章　研究生必须掌握的统计学基础</w:t>
        </w:r>
      </w:hyperlink>
    </w:p>
    <w:p>
      <w:pPr>
        <w:spacing w:after="40"/>
        <w:ind w:left="369"/>
      </w:pPr>
      <w:hyperlink w:anchor="chapter_30" w:history="1">
        <w:r>
          <w:rPr>
            <w:color w:val="426B57"/>
          </w:rPr>
          <w:t>第30章　怎样选择和使用统计分析方法？</w:t>
        </w:r>
      </w:hyperlink>
    </w:p>
    <w:p>
      <w:pPr>
        <w:spacing w:after="40"/>
        <w:ind w:left="369"/>
      </w:pPr>
      <w:hyperlink w:anchor="chapter_31" w:history="1">
        <w:r>
          <w:rPr>
            <w:color w:val="426B57"/>
          </w:rPr>
          <w:t>第31章　机器学习与人工智能在科研中怎样使用？</w:t>
        </w:r>
      </w:hyperlink>
    </w:p>
    <w:p>
      <w:pPr>
        <w:spacing w:after="40"/>
        <w:ind w:left="369"/>
      </w:pPr>
      <w:hyperlink w:anchor="chapter_32" w:history="1">
        <w:r>
          <w:rPr>
            <w:color w:val="426B57"/>
          </w:rPr>
          <w:t>第32章　科研数据可视化与可重复分析</w:t>
        </w:r>
      </w:hyperlink>
    </w:p>
    <w:p>
      <w:pPr>
        <w:spacing w:after="40"/>
        <w:ind w:left="369"/>
      </w:pPr>
      <w:hyperlink w:anchor="chapter_33" w:history="1">
        <w:r>
          <w:rPr>
            <w:color w:val="426B57"/>
          </w:rPr>
          <w:t>第33章　如何判断自己的研究结果是否可信？</w:t>
        </w:r>
      </w:hyperlink>
    </w:p>
    <w:p>
      <w:pPr>
        <w:pStyle w:val="Heading2"/>
      </w:pPr>
      <w:hyperlink w:anchor="part_7" w:history="1">
        <w:r>
          <w:rPr>
            <w:color w:val="426B57"/>
          </w:rPr>
          <w:t>第七编　学术写作与论文发表</w:t>
        </w:r>
      </w:hyperlink>
    </w:p>
    <w:p>
      <w:pPr>
        <w:spacing w:after="40"/>
        <w:ind w:left="369"/>
      </w:pPr>
      <w:hyperlink w:anchor="chapter_34" w:history="1">
        <w:r>
          <w:rPr>
            <w:color w:val="426B57"/>
          </w:rPr>
          <w:t>第34章　科研论文究竟应该怎样组织？</w:t>
        </w:r>
      </w:hyperlink>
    </w:p>
    <w:p>
      <w:pPr>
        <w:spacing w:after="40"/>
        <w:ind w:left="369"/>
      </w:pPr>
      <w:hyperlink w:anchor="chapter_35" w:history="1">
        <w:r>
          <w:rPr>
            <w:color w:val="426B57"/>
          </w:rPr>
          <w:t>第35章　如何写好文献综述？</w:t>
        </w:r>
      </w:hyperlink>
    </w:p>
    <w:p>
      <w:pPr>
        <w:spacing w:after="40"/>
        <w:ind w:left="369"/>
      </w:pPr>
      <w:hyperlink w:anchor="chapter_36" w:history="1">
        <w:r>
          <w:rPr>
            <w:color w:val="426B57"/>
          </w:rPr>
          <w:t>第36章　标题、摘要与引言应该怎样写？</w:t>
        </w:r>
      </w:hyperlink>
    </w:p>
    <w:p>
      <w:pPr>
        <w:spacing w:after="40"/>
        <w:ind w:left="369"/>
      </w:pPr>
      <w:hyperlink w:anchor="chapter_37" w:history="1">
        <w:r>
          <w:rPr>
            <w:color w:val="426B57"/>
          </w:rPr>
          <w:t>第37章　方法学部分如何写得严谨且可复现？</w:t>
        </w:r>
      </w:hyperlink>
    </w:p>
    <w:p>
      <w:pPr>
        <w:spacing w:after="40"/>
        <w:ind w:left="369"/>
      </w:pPr>
      <w:hyperlink w:anchor="chapter_38" w:history="1">
        <w:r>
          <w:rPr>
            <w:color w:val="426B57"/>
          </w:rPr>
          <w:t>第38章　Results与科研图表怎样配合？</w:t>
        </w:r>
      </w:hyperlink>
    </w:p>
    <w:p>
      <w:pPr>
        <w:spacing w:after="40"/>
        <w:ind w:left="369"/>
      </w:pPr>
      <w:hyperlink w:anchor="chapter_39" w:history="1">
        <w:r>
          <w:rPr>
            <w:color w:val="426B57"/>
          </w:rPr>
          <w:t>第39章　讨论、结论与论文整体修改</w:t>
        </w:r>
      </w:hyperlink>
    </w:p>
    <w:p>
      <w:pPr>
        <w:spacing w:after="40"/>
        <w:ind w:left="369"/>
      </w:pPr>
      <w:hyperlink w:anchor="chapter_40" w:history="1">
        <w:r>
          <w:rPr>
            <w:color w:val="426B57"/>
          </w:rPr>
          <w:t>第40章　怎样投稿、回应审稿与处理学术出版问题？</w:t>
        </w:r>
      </w:hyperlink>
    </w:p>
    <w:p>
      <w:pPr>
        <w:pStyle w:val="Heading2"/>
      </w:pPr>
      <w:hyperlink w:anchor="part_8" w:history="1">
        <w:r>
          <w:rPr>
            <w:color w:val="426B57"/>
          </w:rPr>
          <w:t>第八编　真实科研生活：合作、伦理、AI与学术交流</w:t>
        </w:r>
      </w:hyperlink>
    </w:p>
    <w:p>
      <w:pPr>
        <w:spacing w:after="40"/>
        <w:ind w:left="369"/>
      </w:pPr>
      <w:hyperlink w:anchor="chapter_41" w:history="1">
        <w:r>
          <w:rPr>
            <w:color w:val="426B57"/>
          </w:rPr>
          <w:t>第41章　科研诚信与学术伦理</w:t>
        </w:r>
      </w:hyperlink>
    </w:p>
    <w:p>
      <w:pPr>
        <w:spacing w:after="40"/>
        <w:ind w:left="369"/>
      </w:pPr>
      <w:hyperlink w:anchor="chapter_42" w:history="1">
        <w:r>
          <w:rPr>
            <w:color w:val="426B57"/>
          </w:rPr>
          <w:t>第42章　怎样正确使用AI辅助科研？</w:t>
        </w:r>
      </w:hyperlink>
    </w:p>
    <w:p>
      <w:pPr>
        <w:spacing w:after="40"/>
        <w:ind w:left="369"/>
      </w:pPr>
      <w:hyperlink w:anchor="chapter_43" w:history="1">
        <w:r>
          <w:rPr>
            <w:color w:val="426B57"/>
          </w:rPr>
          <w:t>第43章　团队合作、学术署名与科研沟通</w:t>
        </w:r>
      </w:hyperlink>
    </w:p>
    <w:p>
      <w:pPr>
        <w:spacing w:after="40"/>
        <w:ind w:left="369"/>
      </w:pPr>
      <w:hyperlink w:anchor="chapter_44" w:history="1">
        <w:r>
          <w:rPr>
            <w:color w:val="426B57"/>
          </w:rPr>
          <w:t>第44章　学术汇报、组会与国际会议</w:t>
        </w:r>
      </w:hyperlink>
    </w:p>
    <w:p>
      <w:pPr>
        <w:spacing w:after="40"/>
        <w:ind w:left="369"/>
      </w:pPr>
      <w:hyperlink w:anchor="chapter_45" w:history="1">
        <w:r>
          <w:rPr>
            <w:color w:val="426B57"/>
          </w:rPr>
          <w:t>第45章　如何管理科研项目与申请研究经费？</w:t>
        </w:r>
      </w:hyperlink>
    </w:p>
    <w:p>
      <w:pPr>
        <w:pStyle w:val="Heading2"/>
      </w:pPr>
      <w:hyperlink w:anchor="part_9" w:history="1">
        <w:r>
          <w:rPr>
            <w:color w:val="426B57"/>
          </w:rPr>
          <w:t>第九编　毕业与未来：完成学位，继续成长</w:t>
        </w:r>
      </w:hyperlink>
    </w:p>
    <w:p>
      <w:pPr>
        <w:spacing w:after="40"/>
        <w:ind w:left="369"/>
      </w:pPr>
      <w:hyperlink w:anchor="chapter_46" w:history="1">
        <w:r>
          <w:rPr>
            <w:color w:val="426B57"/>
          </w:rPr>
          <w:t>第46章　硕士和博士阶段的关键里程碑</w:t>
        </w:r>
      </w:hyperlink>
    </w:p>
    <w:p>
      <w:pPr>
        <w:spacing w:after="40"/>
        <w:ind w:left="369"/>
      </w:pPr>
      <w:hyperlink w:anchor="chapter_47" w:history="1">
        <w:r>
          <w:rPr>
            <w:color w:val="426B57"/>
          </w:rPr>
          <w:t>第47章　如何写出一篇合格的学位论文？</w:t>
        </w:r>
      </w:hyperlink>
    </w:p>
    <w:p>
      <w:pPr>
        <w:spacing w:after="40"/>
        <w:ind w:left="369"/>
      </w:pPr>
      <w:hyperlink w:anchor="chapter_48" w:history="1">
        <w:r>
          <w:rPr>
            <w:color w:val="426B57"/>
          </w:rPr>
          <w:t>第48章　预答辩、送审与正式答辩</w:t>
        </w:r>
      </w:hyperlink>
    </w:p>
    <w:p>
      <w:pPr>
        <w:spacing w:after="40"/>
        <w:ind w:left="369"/>
      </w:pPr>
      <w:hyperlink w:anchor="chapter_49" w:history="1">
        <w:r>
          <w:rPr>
            <w:color w:val="426B57"/>
          </w:rPr>
          <w:t>第49章　研究生毕业后有哪些发展方向？</w:t>
        </w:r>
      </w:hyperlink>
    </w:p>
    <w:p>
      <w:pPr>
        <w:spacing w:after="40"/>
        <w:ind w:left="369"/>
      </w:pPr>
      <w:hyperlink w:anchor="chapter_50" w:history="1">
        <w:r>
          <w:rPr>
            <w:color w:val="426B57"/>
          </w:rPr>
          <w:t>第50章　从研究生到独立研究者：怎样持续成长？</w:t>
        </w:r>
      </w:hyperlink>
    </w:p>
    <w:p>
      <w:r>
        <w:br w:type="page"/>
      </w:r>
    </w:p>
    <w:p>
      <w:pPr>
        <w:jc w:val="both"/>
      </w:pPr>
      <w:r>
        <w:t>作者：一心问道</w:t>
      </w:r>
    </w:p>
    <w:p>
      <w:pPr>
        <w:jc w:val="both"/>
      </w:pPr>
      <w:r>
        <w:t>九编五十章 · 内容深度修订版 V2.1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bookmarkStart w:id="101" w:name="part_1"/>
      <w:pPr>
        <w:pStyle w:val="Heading1"/>
      </w:pPr>
      <w:r>
        <w:t>第一编　读研之前：认识自己与学术世界</w:t>
      </w:r>
      <w:bookmarkEnd w:id="101"/>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bookmarkStart w:id="201" w:name="chapter_1"/>
      <w:pPr>
        <w:pStyle w:val="Heading1"/>
      </w:pPr>
      <w:r>
        <w:t>第一章　研究生教育究竟在培养什么？</w:t>
      </w:r>
      <w:bookmarkEnd w:id="201"/>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w:t>
      </w:r>
    </w:p>
    <w:p>
      <w:pPr>
        <w:jc w:val="both"/>
      </w:pPr>
      <w:r>
        <w:rPr>
          <w:b/>
        </w:rPr>
        <w:t>具体做法。</w:t>
      </w:r>
      <w:r>
        <w:t xml:space="preserve"> 先在图的旁边标明独立观察单位、原始数据的公开来源和具体比较对象；再核对组别是否与采集地点或批次重合。写一段只说明直接观察的结果，再另写一段假设性解释，逐句标注哪些说法仍需要独立证据。</w:t>
      </w:r>
    </w:p>
    <w:p>
      <w:pPr>
        <w:jc w:val="both"/>
      </w:pPr>
      <w:r>
        <w:rPr>
          <w:b/>
        </w:rPr>
        <w:t>验收作品。</w:t>
      </w:r>
      <w:r>
        <w:t xml:space="preserve"> 一份有原始来源、质量检查和推断限制的研究备忘录。 </w:t>
      </w:r>
      <w:r>
        <w:rPr>
          <w:b/>
        </w:rPr>
        <w:t>核验要点。</w:t>
      </w:r>
      <w:r>
        <w:t xml:space="preserve"> 交换研究备忘录，请同伴判断观察、推断与尚未检验的机制是否被清楚分开。 本项为教学训练，不代替所在单位的正式要求。</w:t>
      </w:r>
    </w:p>
    <w:p>
      <w:pPr>
        <w:pStyle w:val="Heading2"/>
      </w:pPr>
      <w:r>
        <w:t>本章结语</w:t>
      </w:r>
    </w:p>
    <w:p>
      <w:pPr>
        <w:jc w:val="both"/>
      </w:pPr>
      <w:r>
        <w:t>读研不只是获得更高学位，更是在持续训练中逐渐建立面对未知问题仍能寻找可靠答案的能力。</w:t>
      </w:r>
    </w:p>
    <w:p/>
    <w:p>
      <w:r>
        <w:br w:type="page"/>
      </w:r>
    </w:p>
    <w:p>
      <w:bookmarkStart w:id="202" w:name="chapter_2"/>
      <w:pPr>
        <w:pStyle w:val="Heading1"/>
      </w:pPr>
      <w:r>
        <w:t>第二章　第一次认识学术世界</w:t>
      </w:r>
      <w:bookmarkEnd w:id="202"/>
    </w:p>
    <w:p>
      <w:pPr>
        <w:pStyle w:val="Quote"/>
      </w:pPr>
      <w:r>
        <w:t>本章要回答的问题是：科研成果究竟从哪里来？大学、研究团队、学术期刊和科研项目各自承担什么功能？一个刚入门的学生，如何在不迷信评价指标的前提下判断研究工作的价值？</w:t>
      </w:r>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bookmarkStart w:id="203" w:name="chapter_3"/>
      <w:pPr>
        <w:pStyle w:val="Heading1"/>
      </w:pPr>
      <w:r>
        <w:t>第三章　认识不同类型的研究生教育</w:t>
      </w:r>
      <w:bookmarkEnd w:id="203"/>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w:t>
      </w:r>
    </w:p>
    <w:p>
      <w:pPr>
        <w:jc w:val="both"/>
      </w:pPr>
      <w:r>
        <w:rPr>
          <w:b/>
        </w:rPr>
        <w:t>具体做法。</w:t>
      </w:r>
      <w:r>
        <w:t xml:space="preserve"> 从两个真实招生项目的官方文件中记录学位层次、学位类别、学习方式和选拔路径。对照自己的先修课程与职业目标，解释每一种路径能够提供的训练；将无法从官网确认的奖助、转博或就业承诺保留为待核实事项。</w:t>
      </w:r>
    </w:p>
    <w:p>
      <w:pPr>
        <w:jc w:val="both"/>
      </w:pPr>
      <w:r>
        <w:rPr>
          <w:b/>
        </w:rPr>
        <w:t>验收作品。</w:t>
      </w:r>
      <w:r>
        <w:t xml:space="preserve"> 两种培养项目的正式依据和适配分析。 </w:t>
      </w:r>
      <w:r>
        <w:rPr>
          <w:b/>
        </w:rPr>
        <w:t>核验要点。</w:t>
      </w:r>
      <w:r>
        <w:t xml:space="preserve"> 请同伴仅根据原始招生文件复核四项分类，不能用经验帖子替代正式条件。 本项为教学训练，不代替所在单位的正式要求。</w:t>
      </w:r>
    </w:p>
    <w:p>
      <w:pPr>
        <w:pStyle w:val="Heading2"/>
      </w:pPr>
      <w:r>
        <w:t>本章结语</w:t>
      </w:r>
    </w:p>
    <w:p>
      <w:pPr>
        <w:jc w:val="both"/>
      </w:pPr>
      <w:r>
        <w:t>选择培养路径，不是追求一个统一的“最好”，而是找到能够提供所需训练、符合现实条件和长期目标的项目。</w:t>
      </w:r>
    </w:p>
    <w:p/>
    <w:p>
      <w:r>
        <w:br w:type="page"/>
      </w:r>
    </w:p>
    <w:p>
      <w:bookmarkStart w:id="204" w:name="chapter_4"/>
      <w:pPr>
        <w:pStyle w:val="Heading1"/>
      </w:pPr>
      <w:r>
        <w:t>第四章　如何找到适合自己的专业与研究方向？</w:t>
      </w:r>
      <w:bookmarkEnd w:id="204"/>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w:t>
      </w:r>
    </w:p>
    <w:p>
      <w:pPr>
        <w:jc w:val="both"/>
      </w:pPr>
      <w:r>
        <w:rPr>
          <w:b/>
        </w:rPr>
        <w:t>具体做法。</w:t>
      </w:r>
      <w:r>
        <w:t xml:space="preserve"> 各选一篇专业相关的原创研究，整理实际研究任务、研究对象和方法，并查看正式培养方案中的必修课。挑选最不熟悉的一项基础能力，在公开教学材料上完成小练习，再按‘兴趣—能力缺口—培养条件’比较候选专业。</w:t>
      </w:r>
    </w:p>
    <w:p>
      <w:pPr>
        <w:jc w:val="both"/>
      </w:pPr>
      <w:r>
        <w:rPr>
          <w:b/>
        </w:rPr>
        <w:t>验收作品。</w:t>
      </w:r>
      <w:r>
        <w:t xml:space="preserve"> 八周跨专业准备方案与知识差距表。 </w:t>
      </w:r>
      <w:r>
        <w:rPr>
          <w:b/>
        </w:rPr>
        <w:t>核验要点。</w:t>
      </w:r>
      <w:r>
        <w:t xml:space="preserve"> 检查每项专业判断是否有论文或培养方案出处，不以院校名气替代课程内容。 本项为教学训练，不代替所在单位的正式要求。</w:t>
      </w:r>
    </w:p>
    <w:p>
      <w:pPr>
        <w:pStyle w:val="Heading2"/>
      </w:pPr>
      <w:r>
        <w:t>本章结语</w:t>
      </w:r>
    </w:p>
    <w:p>
      <w:pPr>
        <w:jc w:val="both"/>
      </w:pPr>
      <w:r>
        <w:t>值得选择的研究方向，不一定最热门，而是你愿意持续学习、能够逐渐建立能力，并认为值得认真探索的问题。</w:t>
      </w:r>
    </w:p>
    <w:p/>
    <w:p>
      <w:r>
        <w:br w:type="page"/>
      </w:r>
    </w:p>
    <w:p>
      <w:bookmarkStart w:id="205" w:name="chapter_5"/>
      <w:pPr>
        <w:pStyle w:val="Heading1"/>
      </w:pPr>
      <w:r>
        <w:t>第五章　读研之前，怎样制定长期发展规划？</w:t>
      </w:r>
      <w:bookmarkEnd w:id="205"/>
    </w:p>
    <w:p>
      <w:pPr>
        <w:pStyle w:val="Quote"/>
      </w:pPr>
      <w:r>
        <w:t>研究生阶段的规划，不是提前许诺自己一定发表多少篇论文，也不是在入学前决定一生的职业，而是根据真实的兴趣、能力、资源与机会，建立可以执行、检查和调整的成长路径。</w:t>
      </w:r>
    </w:p>
    <w:p>
      <w:pPr>
        <w:pStyle w:val="Heading2"/>
      </w:pPr>
      <w:r>
        <w:t>5.1 为什么有些人很忙，却始终说不清自己在前进什么？</w:t>
      </w:r>
    </w:p>
    <w:p>
      <w:pPr>
        <w:jc w:val="both"/>
      </w:pPr>
      <w:r>
        <w:t>本科毕业前，小周决定“读研期间一定要努力科研，争取发表高水平论文，毕业后找到好工作”。这几个愿望都可以理解，却没有告诉他下一周究竟该做什么。他一会儿学习深度学习，一会儿阅读材料科学的热门论文，又加入了几个职业交流群，每天非常忙碌，半年后却仍然没有一个能够独立说明的研究作品。</w:t>
      </w:r>
    </w:p>
    <w:p>
      <w:pPr>
        <w:jc w:val="both"/>
      </w:pPr>
      <w:r>
        <w:t>问题并不是学习的东西太多，而是不同活动之间缺乏清楚的目标。学习某种模型，可能是为了独立开发方法，也可能只是为了理解某篇论文；阅读某项实验研究，是为了寻找科学问题，还是为了决定自己愿不愿意在实验室长期工作？若没有区分这些目的，投入时间越多，越容易产生“所有方向都不想错过”的焦虑。</w:t>
      </w:r>
    </w:p>
    <w:p>
      <w:pPr>
        <w:jc w:val="both"/>
      </w:pPr>
      <w:r>
        <w:t>规划不应该只是给自己安排任务，还要规定哪些任务不做。比如一位刚入学、还不熟悉数据结构的学生，若当下最重要的任务是掌握样本与变量、统计和可复现分析，就没有必要因为某款新工具迅速流行而立即放弃基础训练。能够确定当下的学习边界，是持续研究能力的一部分。</w:t>
      </w:r>
    </w:p>
    <w:p>
      <w:pPr>
        <w:pStyle w:val="Heading2"/>
      </w:pPr>
      <w:r>
        <w:t>5.2 先认识自己：兴趣、能力、环境与现实约束</w:t>
      </w:r>
    </w:p>
    <w:p>
      <w:pPr>
        <w:jc w:val="both"/>
      </w:pPr>
      <w:r>
        <w:t>“我喜欢科学”是一种出发点，却不足以指导专业和职业选择。你更喜欢从复杂文献中识别问题，还是愿意反复操作实验、改进工艺、编写程序或与实际使用者交流？当一项任务没有得到预期答案时，哪一种工作仍然让你愿意继续调查？这些真实经历比对学科名称的想象更能揭示长期兴趣。</w:t>
      </w:r>
    </w:p>
    <w:p>
      <w:pPr>
        <w:jc w:val="both"/>
      </w:pPr>
      <w:r>
        <w:t>建议先完成一份四栏盘点。第一栏记录愿意长期投入的活动，使用过去三个月的实际例子证明；第二栏记录已经掌握的能力及能够展示的作品；第三栏记录希望以后体验的工作方式和生活条件；第四栏记录资金、家庭、城市、课程基础与健康等现实限制。这并不是为自己的兴趣和条件打分，而是让它们从模糊感觉转变为可以认真比较的事实。</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模糊说法</w:t>
            </w:r>
          </w:p>
        </w:tc>
        <w:tc>
          <w:tcPr>
            <w:tcW w:type="dxa" w:w="2173"/>
          </w:tcPr>
          <w:p>
            <w:r>
              <w:t>更有帮助的记录</w:t>
            </w:r>
          </w:p>
        </w:tc>
      </w:tr>
      <w:tr>
        <w:tc>
          <w:tcPr>
            <w:tcW w:type="dxa" w:w="2173"/>
          </w:tcPr>
          <w:p>
            <w:r>
              <w:t>兴趣</w:t>
            </w:r>
          </w:p>
        </w:tc>
        <w:tc>
          <w:tcPr>
            <w:tcW w:type="dxa" w:w="2173"/>
          </w:tcPr>
          <w:p>
            <w:r>
              <w:t>我很喜欢人工智能</w:t>
            </w:r>
          </w:p>
        </w:tc>
        <w:tc>
          <w:tcPr>
            <w:tcW w:type="dxa" w:w="2173"/>
          </w:tcPr>
          <w:p>
            <w:r>
              <w:t>最近阅读三篇模型评价论文，最想弄清外部验证为何失败</w:t>
            </w:r>
          </w:p>
        </w:tc>
      </w:tr>
      <w:tr>
        <w:tc>
          <w:tcPr>
            <w:tcW w:type="dxa" w:w="2173"/>
          </w:tcPr>
          <w:p>
            <w:r>
              <w:t>能力</w:t>
            </w:r>
          </w:p>
        </w:tc>
        <w:tc>
          <w:tcPr>
            <w:tcW w:type="dxa" w:w="2173"/>
          </w:tcPr>
          <w:p>
            <w:r>
              <w:t>我会Python</w:t>
            </w:r>
          </w:p>
        </w:tc>
        <w:tc>
          <w:tcPr>
            <w:tcW w:type="dxa" w:w="2173"/>
          </w:tcPr>
          <w:p>
            <w:r>
              <w:t>能够独立清洗教学数据、保存分析脚本并解释输出</w:t>
            </w:r>
          </w:p>
        </w:tc>
      </w:tr>
      <w:tr>
        <w:tc>
          <w:tcPr>
            <w:tcW w:type="dxa" w:w="2173"/>
          </w:tcPr>
          <w:p>
            <w:r>
              <w:t>目标</w:t>
            </w:r>
          </w:p>
        </w:tc>
        <w:tc>
          <w:tcPr>
            <w:tcW w:type="dxa" w:w="2173"/>
          </w:tcPr>
          <w:p>
            <w:r>
              <w:t>我希望未来发展好</w:t>
            </w:r>
          </w:p>
        </w:tc>
        <w:tc>
          <w:tcPr>
            <w:tcW w:type="dxa" w:w="2173"/>
          </w:tcPr>
          <w:p>
            <w:r>
              <w:t>更愿意参与长期研究，或更喜欢具体产品和工程交付</w:t>
            </w:r>
          </w:p>
        </w:tc>
      </w:tr>
      <w:tr>
        <w:tc>
          <w:tcPr>
            <w:tcW w:type="dxa" w:w="2173"/>
          </w:tcPr>
          <w:p>
            <w:r>
              <w:t>约束</w:t>
            </w:r>
          </w:p>
        </w:tc>
        <w:tc>
          <w:tcPr>
            <w:tcW w:type="dxa" w:w="2173"/>
          </w:tcPr>
          <w:p>
            <w:r>
              <w:t>经济压力不大</w:t>
            </w:r>
          </w:p>
        </w:tc>
        <w:tc>
          <w:tcPr>
            <w:tcW w:type="dxa" w:w="2173"/>
          </w:tcPr>
          <w:p>
            <w:r>
              <w:t>核查真实学费、奖助、住宿与可接受的培训期限</w:t>
            </w:r>
          </w:p>
        </w:tc>
      </w:tr>
    </w:tbl>
    <w:p>
      <w:pPr>
        <w:jc w:val="both"/>
      </w:pPr>
      <w:r>
        <w:t>其中涉及经济、家庭和健康的内容可以只用于个人决策，不需要向任何不相关的人披露。它们不决定一个人学术价值的高低，却可能决定某条培养路径是否真正可持续。</w:t>
      </w:r>
    </w:p>
    <w:p>
      <w:pPr>
        <w:pStyle w:val="Heading2"/>
      </w:pPr>
      <w:r>
        <w:t>5.3 不必在“继续读博”和“毕业就业”之间提前选定终身答案</w:t>
      </w:r>
    </w:p>
    <w:p>
      <w:pPr>
        <w:jc w:val="both"/>
      </w:pPr>
      <w:r>
        <w:t>两种常见发展路线是继续接受研究型训练，或在毕业后进入与专业有关的工作岗位。它们并不意味着研究生阶段需要完全不同的全部能力。研究设计、数据质量、规范记录、专业表达、团队合作和持续学习，往往能够支持多种职业选择。</w:t>
      </w:r>
    </w:p>
    <w:p>
      <w:pPr>
        <w:jc w:val="both"/>
      </w:pPr>
      <w:r>
        <w:t>如果倾向于申请博士，应逐步了解真正的科学问题、研究团队和导师条件，以及目标项目需要的理论基础与科研作品。一个可理解的研究计划和对自身方法局限的清醒认识，比只有宏大兴趣宣言更有帮助。如果倾向企业研发或专业实践，应进一步调查实际岗位日常工作：是否涉及编程、实验验证、工程交付、法规合规、跨团队协调，以及自己能够展示哪些真实成果。</w:t>
      </w:r>
    </w:p>
    <w:p>
      <w:pPr>
        <w:jc w:val="both"/>
      </w:pPr>
      <w:r>
        <w:t>假设小周尚未确定毕业方向，他可以先把第一年目标放在共同能力：精读与研究问题有关的文献、完成一个公开数据或规范实验的小作品、养成科研记录习惯。到了第二年，他可能通过实际项目发现自己更喜欢算法开发或实验应用，再有针对性地补充后续能力。这样不必为了等待最后的职业决定而停滞，也不会因为后来改变方向就让前面的训练全部失去价值。</w:t>
      </w:r>
    </w:p>
    <w:p>
      <w:pPr>
        <w:jc w:val="both"/>
      </w:pPr>
      <w:r>
        <w:t>需要警惕“学历或期刊指标越高，职业结果一定越好”的简化推断。学校、研究领域和个人能力可以提供机会，但具体岗位市场、生活条件与未来技术仍具有不确定性。决策应该依据可以核实的培养资源与实际职业任务，而非网络排名的单一数字。</w:t>
      </w:r>
    </w:p>
    <w:p>
      <w:pPr>
        <w:pStyle w:val="Heading2"/>
      </w:pPr>
      <w:r>
        <w:t>5.4 把抽象愿望转化为四类能够积累的能力资产</w:t>
      </w:r>
    </w:p>
    <w:p>
      <w:pPr>
        <w:jc w:val="both"/>
      </w:pPr>
      <w:r>
        <w:t>第一类是专业基础。对生命科学研究者而言，这包括研究对象、测量原理和实验设计；对计算研究者而言，可能包括数学、统计、计算方法和软件工程；对于历史和社会科学研究者，资料评价、理论与研究方法同样重要。第二类是方法能力，能否在新问题中选择合适的证据路径，并解释什么时候不适用。</w:t>
      </w:r>
    </w:p>
    <w:p>
      <w:pPr>
        <w:jc w:val="both"/>
      </w:pPr>
      <w:r>
        <w:t>第三类是可追溯的研究作品。它可以是一份能够复现的分析、规范的实验记录、可公开的工程原型、一篇严谨的证据综述，也可以是以真实材料完成的专业分析。作品的意义在于让别人看到你真正做过什么，而不是让简历多一行无法检查的口号。</w:t>
      </w:r>
    </w:p>
    <w:p>
      <w:pPr>
        <w:jc w:val="both"/>
      </w:pPr>
      <w:r>
        <w:t>第四类是合作和表达能力。能够向跨专业合作者解释变量，主动说明研究失败原因，尊重不同人员的实际贡献，或者在报告中承认某项结果尚未得到验证，都是可迁移能力。它们不一定被一次课程考试完全测量，却会影响实际研究和未来职业发展。</w:t>
      </w:r>
    </w:p>
    <w:p>
      <w:pPr>
        <w:jc w:val="both"/>
      </w:pPr>
      <w:r>
        <w:t>你可以每学期用一个简单问题检查成长：“是否存在一项六个月前我做不到、现在能够在新条件下独立完成并解释的工作？”如果没有，就需要检查自己是不是把太多精力放在了重复性的低价值事务上。</w:t>
      </w:r>
    </w:p>
    <w:p>
      <w:pPr>
        <w:pStyle w:val="Heading2"/>
      </w:pPr>
      <w:r>
        <w:t>5.5 三年硕士计划：以真实交付物而不是理想化结果为节点</w:t>
      </w:r>
    </w:p>
    <w:p>
      <w:pPr>
        <w:jc w:val="both"/>
      </w:pPr>
      <w:r>
        <w:t>一个可调整的三年计划可以包含以下阶段。实际培养年限、课程和学位要求因学校及专业而异，下面只是教学范例，不替代正式培养方案。</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主要任务</w:t>
            </w:r>
          </w:p>
        </w:tc>
        <w:tc>
          <w:tcPr>
            <w:tcW w:type="dxa" w:w="2173"/>
          </w:tcPr>
          <w:p>
            <w:r>
              <w:t>可以检查的作品</w:t>
            </w:r>
          </w:p>
        </w:tc>
      </w:tr>
      <w:tr>
        <w:tc>
          <w:tcPr>
            <w:tcW w:type="dxa" w:w="2173"/>
          </w:tcPr>
          <w:p>
            <w:r>
              <w:t>第1学期</w:t>
            </w:r>
          </w:p>
        </w:tc>
        <w:tc>
          <w:tcPr>
            <w:tcW w:type="dxa" w:w="2173"/>
          </w:tcPr>
          <w:p>
            <w:r>
              <w:t>熟悉培养要求、专业基础、研究安全与文献</w:t>
            </w:r>
          </w:p>
        </w:tc>
        <w:tc>
          <w:tcPr>
            <w:tcW w:type="dxa" w:w="2173"/>
          </w:tcPr>
          <w:p>
            <w:r>
              <w:t>研究地图、文献精读卡和第一份方法练习</w:t>
            </w:r>
          </w:p>
        </w:tc>
      </w:tr>
      <w:tr>
        <w:tc>
          <w:tcPr>
            <w:tcW w:type="dxa" w:w="2173"/>
          </w:tcPr>
          <w:p>
            <w:r>
              <w:t>第2学期</w:t>
            </w:r>
          </w:p>
        </w:tc>
        <w:tc>
          <w:tcPr>
            <w:tcW w:type="dxa" w:w="2173"/>
          </w:tcPr>
          <w:p>
            <w:r>
              <w:t>确定主要问题、了解数据与实验条件</w:t>
            </w:r>
          </w:p>
        </w:tc>
        <w:tc>
          <w:tcPr>
            <w:tcW w:type="dxa" w:w="2173"/>
          </w:tcPr>
          <w:p>
            <w:r>
              <w:t>一份具备证据依据的研究方案</w:t>
            </w:r>
          </w:p>
        </w:tc>
      </w:tr>
      <w:tr>
        <w:tc>
          <w:tcPr>
            <w:tcW w:type="dxa" w:w="2173"/>
          </w:tcPr>
          <w:p>
            <w:r>
              <w:t>第3学期</w:t>
            </w:r>
          </w:p>
        </w:tc>
        <w:tc>
          <w:tcPr>
            <w:tcW w:type="dxa" w:w="2173"/>
          </w:tcPr>
          <w:p>
            <w:r>
              <w:t>规范实施研究、建立质量控制</w:t>
            </w:r>
          </w:p>
        </w:tc>
        <w:tc>
          <w:tcPr>
            <w:tcW w:type="dxa" w:w="2173"/>
          </w:tcPr>
          <w:p>
            <w:r>
              <w:t>原始记录、数据字典及阶段分析报告</w:t>
            </w:r>
          </w:p>
        </w:tc>
      </w:tr>
      <w:tr>
        <w:tc>
          <w:tcPr>
            <w:tcW w:type="dxa" w:w="2173"/>
          </w:tcPr>
          <w:p>
            <w:r>
              <w:t>第4学期</w:t>
            </w:r>
          </w:p>
        </w:tc>
        <w:tc>
          <w:tcPr>
            <w:tcW w:type="dxa" w:w="2173"/>
          </w:tcPr>
          <w:p>
            <w:r>
              <w:t>完成主要分析与必要验证</w:t>
            </w:r>
          </w:p>
        </w:tc>
        <w:tc>
          <w:tcPr>
            <w:tcW w:type="dxa" w:w="2173"/>
          </w:tcPr>
          <w:p>
            <w:r>
              <w:t>核查后的关键图表和结果解释</w:t>
            </w:r>
          </w:p>
        </w:tc>
      </w:tr>
      <w:tr>
        <w:tc>
          <w:tcPr>
            <w:tcW w:type="dxa" w:w="2173"/>
          </w:tcPr>
          <w:p>
            <w:r>
              <w:t>第5学期</w:t>
            </w:r>
          </w:p>
        </w:tc>
        <w:tc>
          <w:tcPr>
            <w:tcW w:type="dxa" w:w="2173"/>
          </w:tcPr>
          <w:p>
            <w:r>
              <w:t>组织学位论文与职业准备</w:t>
            </w:r>
          </w:p>
        </w:tc>
        <w:tc>
          <w:tcPr>
            <w:tcW w:type="dxa" w:w="2173"/>
          </w:tcPr>
          <w:p>
            <w:r>
              <w:t>学位论文完整草稿、作品集或申请材料</w:t>
            </w:r>
          </w:p>
        </w:tc>
      </w:tr>
      <w:tr>
        <w:tc>
          <w:tcPr>
            <w:tcW w:type="dxa" w:w="2173"/>
          </w:tcPr>
          <w:p>
            <w:r>
              <w:t>第6学期</w:t>
            </w:r>
          </w:p>
        </w:tc>
        <w:tc>
          <w:tcPr>
            <w:tcW w:type="dxa" w:w="2173"/>
          </w:tcPr>
          <w:p>
            <w:r>
              <w:t>按正式制度完成评阅、答辩与归档</w:t>
            </w:r>
          </w:p>
        </w:tc>
        <w:tc>
          <w:tcPr>
            <w:tcW w:type="dxa" w:w="2173"/>
          </w:tcPr>
          <w:p>
            <w:r>
              <w:t>经核验的论文终稿及必要学位材料</w:t>
            </w:r>
          </w:p>
        </w:tc>
      </w:tr>
    </w:tbl>
    <w:p>
      <w:pPr>
        <w:jc w:val="both"/>
      </w:pPr>
      <w:r>
        <w:t>每个节点都应当允许科学结果与预期不一致。比如某个模型独立评价表现下降，只要数据和方法可靠，这仍然可能构成重要知识结果；没有必要为了符合时间表而反复更换模型，直到得到漂亮的分数。论文发表时间还会受到审稿等外部因素影响，不能将它作为唯一可控的进度指标。</w:t>
      </w:r>
    </w:p>
    <w:p>
      <w:pPr>
        <w:jc w:val="both"/>
      </w:pPr>
      <w:r>
        <w:t>博士项目和专业学位可能具有完全不同的考核节点。真正需要遵守的是学校正式发布的要求，而不是把此处教学时间线逐字复制到自己的计划。</w:t>
      </w:r>
    </w:p>
    <w:p>
      <w:pPr>
        <w:pStyle w:val="Heading2"/>
      </w:pPr>
      <w:r>
        <w:t>5.6 怎样安排接下来的四周，而不是只规划遥远的三年？</w:t>
      </w:r>
    </w:p>
    <w:p>
      <w:pPr>
        <w:jc w:val="both"/>
      </w:pPr>
      <w:r>
        <w:t>长远规划必须能够落到近期行动。假设你目前最缺乏的是统计学基础，第一周可以从变量类型、均值与标准差开始，用模拟数据写一份描述统计报告。第二周学习抽样、区间估计和不确定性，检查不同样本量条件下估计如何变化。第三周学习回归的基本思想，运行一段可重复代码，并尝试解释系数、协变量和重要假设。第四周精读一篇采用相近方法的原创研究，说明作者怎样定义变量、为什么使用该模型以及有哪些限制。</w:t>
      </w:r>
    </w:p>
    <w:p>
      <w:pPr>
        <w:jc w:val="both"/>
      </w:pPr>
      <w:r>
        <w:t>这四周应该产生四份很小、但能够检查的作品，而不是只记录“学习统计二十小时”。每周复盘时，问自己能否脱离教程解释已完成任务，是否需要回到更基础的概念，以及下一周最重要的两项行动是什么。</w:t>
      </w:r>
    </w:p>
    <w:p>
      <w:pPr>
        <w:jc w:val="both"/>
      </w:pPr>
      <w:r>
        <w:t>如果第二周发现自己尚不理解标准差与标准误，应该先补充这部分知识，而不是因为第三周计划写着“回归”，就勉强继续。计划的目的在于帮助持续学习，而不是形成一张不能调整的考核表。对于需要实验安全培训或研究伦理许可的任务，正式授权更是不能被进度压力替代的前置条件。</w:t>
      </w:r>
    </w:p>
    <w:p>
      <w:pPr>
        <w:pStyle w:val="Heading2"/>
      </w:pPr>
      <w:r>
        <w:t>5.7 成本与选择：认真考虑不能无限承担的条件</w:t>
      </w:r>
    </w:p>
    <w:p>
      <w:pPr>
        <w:jc w:val="both"/>
      </w:pPr>
      <w:r>
        <w:t>读研的成本不仅是学费，还包括时间、生活安排和放弃其他选择的机会成本。对于不同学校、地区和培养方式，资助、住房和项目支持可能差异很大。不要凭借往届学生的单一经验推测未来三年的实际经济条件，应尽量查阅学校和项目正式规定，并为未知费用保留合理余地。</w:t>
      </w:r>
    </w:p>
    <w:p>
      <w:pPr>
        <w:jc w:val="both"/>
      </w:pPr>
      <w:r>
        <w:t>如果选择海外研究项目，应额外核实资金支持范围、学习与工作身份、保险和当地生活成本。某项项目写着“提供资助”，不一定意味着全部开支得到无条件覆盖，具体合同和机构说明才是关键。</w:t>
      </w:r>
    </w:p>
    <w:p>
      <w:pPr>
        <w:jc w:val="both"/>
      </w:pPr>
      <w:r>
        <w:t>但现实限制不是研究兴趣的否定。假设当前条件不允许立即投入较长的博士训练，也可以先通过适合的硕士或专业工作积累能力，再根据新的机会考虑后续研究。相反，单纯因为另一条路线在外界看起来更有声望，而忽略自己愿不愿意长期开展相应工作，也可能造成更高的成本。</w:t>
      </w:r>
    </w:p>
    <w:p>
      <w:pPr>
        <w:jc w:val="both"/>
      </w:pPr>
      <w:r>
        <w:t>做决定时可以记录“已经核实”“仍需确认”“无法接受”三类条件；避免将没见过正式文件的承诺与已确认事实混在一起。</w:t>
      </w:r>
    </w:p>
    <w:p>
      <w:pPr>
        <w:pStyle w:val="Heading2"/>
      </w:pPr>
      <w:r>
        <w:t>5.8 失败与变化发生时，怎样决定坚持还是调整？</w:t>
      </w:r>
    </w:p>
    <w:p>
      <w:pPr>
        <w:jc w:val="both"/>
      </w:pPr>
      <w:r>
        <w:t>研究不支持原假设，不一定说明课题毫无价值。应先核对是否存在数据质量、研究设计或模型使用问题；如果结果可靠，就判断它是否改变了对原问题的认识。例如模型在独立队列性能下降，可能帮助确定其推广边界，而不应简单用更多算法试出一个更高数字。</w:t>
      </w:r>
    </w:p>
    <w:p>
      <w:pPr>
        <w:jc w:val="both"/>
      </w:pPr>
      <w:r>
        <w:t>资源变化是另一种情境。若一项研究依赖的临床数据始终无法取得合法授权，项目就不能建立在尚未获得的资源之上。应与导师讨论是否存在合规替代，是否能够将目标收窄为当前数据可以回答的问题，必要时按正式培养程序调整研究方案。</w:t>
      </w:r>
    </w:p>
    <w:p>
      <w:pPr>
        <w:jc w:val="both"/>
      </w:pPr>
      <w:r>
        <w:t>职业方向也会改变。学生在实际研究中发现更喜欢工程开发而非长期基础研究，可以逐步加强相关项目技能，不必因为原计划准备读博，就拒绝新的真实兴趣。重要的是在调整时分清哪些事实确实改变了，哪些已有能力值得保留，以及下一步具体做什么。</w:t>
      </w:r>
    </w:p>
    <w:p>
      <w:pPr>
        <w:jc w:val="both"/>
      </w:pPr>
      <w:r>
        <w:t>可以每学期回顾一次最初的个人盘点，更新真实证据和选择，而不是要求自己在入学前就决定所有未来道路。</w:t>
      </w:r>
    </w:p>
    <w:p>
      <w:pPr>
        <w:pStyle w:val="Heading2"/>
      </w:pPr>
      <w:r>
        <w:t>5.9 综合实训：给未来三年的自己写一份可以修改的计划</w:t>
      </w:r>
    </w:p>
    <w:p>
      <w:pPr>
        <w:jc w:val="both"/>
      </w:pPr>
      <w:r>
        <w:t>请准备一份三页以内的个人发展计划。第一页写明自己的兴趣与专业基础、未来可能的两条职业路线和最重要的现实条件；第二页将前三个学期分解为可交付的作品；第三页给出下一季度任务和至少两种风险情境。每个目标应说明如何检验，而不只是写“努力科研”“争取优秀”。</w:t>
      </w:r>
    </w:p>
    <w:p>
      <w:pPr>
        <w:jc w:val="both"/>
      </w:pPr>
      <w:r>
        <w:t>然后邀请一位熟悉你实际学习背景的同学提出三个问题：“为什么这些技能值得先学？”“哪些目标不在你的控制范围内？”“如果研究没有达到预期结果，你将如何判断下一步？”对这些问题给出具体依据，并在必要时修订计划。</w:t>
      </w:r>
    </w:p>
    <w:p>
      <w:pPr>
        <w:jc w:val="both"/>
      </w:pPr>
      <w:r>
        <w:t>检验质量时重点看目标是否明确、作品能否检查、正式制度是否已经核实、计划是否允许合理变化。不要用三年之后一定发表多少论文作为对当前规划的唯一评价。</w:t>
      </w:r>
    </w:p>
    <w:p>
      <w:pPr>
        <w:jc w:val="both"/>
      </w:pPr>
      <w:r>
        <w:rPr>
          <w:b/>
        </w:rPr>
        <w:t>本章小结。</w:t>
      </w:r>
      <w:r>
        <w:t xml:space="preserve"> 研究生规划应当从兴趣和现实出发，通过具体作品积累能够迁移的能力。它需要方向，却不应变成拒绝调整的承诺；需要认真努力，也应允许研究者根据新的事实改变原来的判断。</w:t>
      </w:r>
    </w:p>
    <w:p/>
    <w:p>
      <w:r>
        <w:br w:type="page"/>
      </w:r>
    </w:p>
    <w:p>
      <w:bookmarkStart w:id="102" w:name="part_2"/>
      <w:pPr>
        <w:pStyle w:val="Heading1"/>
      </w:pPr>
      <w:r>
        <w:t>第二编　如何成为研究生：报考、申请与导师选择</w:t>
      </w:r>
      <w:bookmarkEnd w:id="102"/>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bookmarkStart w:id="206" w:name="chapter_6"/>
      <w:pPr>
        <w:pStyle w:val="Heading1"/>
      </w:pPr>
      <w:r>
        <w:t>第六章　如何获取并核实研究生招生信息？</w:t>
      </w:r>
      <w:bookmarkEnd w:id="206"/>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w:t>
      </w:r>
    </w:p>
    <w:p>
      <w:pPr>
        <w:jc w:val="both"/>
      </w:pPr>
      <w:r>
        <w:rPr>
          <w:b/>
        </w:rPr>
        <w:t>具体做法。</w:t>
      </w:r>
      <w:r>
        <w:t xml:space="preserve"> 把教育部当年招生规定、研招网说明、报考点要求和目标学校专业目录分开保存。核对报考资格、报名时段、材料提交及缴费状态，并在表格中记录查询日期。对2027年示例时间单独注明年度，未来不能照搬。</w:t>
      </w:r>
    </w:p>
    <w:p>
      <w:pPr>
        <w:jc w:val="both"/>
      </w:pPr>
      <w:r>
        <w:rPr>
          <w:b/>
        </w:rPr>
        <w:t>验收作品。</w:t>
      </w:r>
      <w:r>
        <w:t xml:space="preserve"> 含官方来源、核验日期及提醒时间的报考事项表。 </w:t>
      </w:r>
      <w:r>
        <w:rPr>
          <w:b/>
        </w:rPr>
        <w:t>核验要点。</w:t>
      </w:r>
      <w:r>
        <w:t xml:space="preserve"> 逐条打开原始公告验证链接及有效年份，未正式公布的安排保持‘待通知’。 本项为教学训练，不代替所在单位的正式要求。</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7" w:name="chapter_7"/>
      <w:pPr>
        <w:pStyle w:val="Heading1"/>
      </w:pPr>
      <w:r>
        <w:t>第七章　如何合理选择学校和专业？</w:t>
      </w:r>
      <w:bookmarkEnd w:id="207"/>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w:t>
      </w:r>
    </w:p>
    <w:p>
      <w:pPr>
        <w:jc w:val="both"/>
      </w:pPr>
      <w:r>
        <w:rPr>
          <w:b/>
        </w:rPr>
        <w:t>具体做法。</w:t>
      </w:r>
      <w:r>
        <w:t xml:space="preserve"> 选择三家有正式招生文件的培养单位，从课程、研究方向、培养形式、奖助与地域费用五方面作比较。先写明个人最重视的三项条件，再核对团队论文和实际训练方式，避免把宣传介绍当作已经承诺的培养资源。</w:t>
      </w:r>
    </w:p>
    <w:p>
      <w:pPr>
        <w:jc w:val="both"/>
      </w:pPr>
      <w:r>
        <w:rPr>
          <w:b/>
        </w:rPr>
        <w:t>验收作品。</w:t>
      </w:r>
      <w:r>
        <w:t xml:space="preserve"> 三校比较矩阵和一页选择依据。 </w:t>
      </w:r>
      <w:r>
        <w:rPr>
          <w:b/>
        </w:rPr>
        <w:t>核验要点。</w:t>
      </w:r>
      <w:r>
        <w:t xml:space="preserve"> 对每一项排序写出真实证据和一个会改变选择的未知条件。 本项为教学训练，不代替所在单位的正式要求。</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8" w:name="chapter_8"/>
      <w:pPr>
        <w:pStyle w:val="Heading1"/>
      </w:pPr>
      <w:r>
        <w:t>第八章　国内硕士研究生报考完整流程</w:t>
      </w:r>
      <w:bookmarkEnd w:id="208"/>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w:t>
      </w:r>
    </w:p>
    <w:p>
      <w:pPr>
        <w:jc w:val="both"/>
      </w:pPr>
      <w:r>
        <w:rPr>
          <w:b/>
        </w:rPr>
        <w:t>具体做法。</w:t>
      </w:r>
      <w:r>
        <w:t xml:space="preserve"> 根据官方申请资格倒排报名、材料、考试或考核节点；为自己的研究计划准备‘背景—问题—可得数据—研究方法—风险’五部分。简历只写已完成且可以核对的成果，重要材料提交前逐项与招生单位要求比对。</w:t>
      </w:r>
    </w:p>
    <w:p>
      <w:pPr>
        <w:jc w:val="both"/>
      </w:pPr>
      <w:r>
        <w:rPr>
          <w:b/>
        </w:rPr>
        <w:t>验收作品。</w:t>
      </w:r>
      <w:r>
        <w:t xml:space="preserve"> 两页研究计划，明确已完成与拟开展工作。 </w:t>
      </w:r>
      <w:r>
        <w:rPr>
          <w:b/>
        </w:rPr>
        <w:t>核验要点。</w:t>
      </w:r>
      <w:r>
        <w:t xml:space="preserve"> 分别核对资格、截止时间、附件版本与研究计划是否存在无依据的资源承诺。 本项为教学训练，不代替所在单位的正式要求。</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bookmarkStart w:id="209" w:name="chapter_9"/>
      <w:pPr>
        <w:pStyle w:val="Heading1"/>
      </w:pPr>
      <w:r>
        <w:t>第九章　博士申请与海外研究生申请</w:t>
      </w:r>
      <w:bookmarkEnd w:id="209"/>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w:t>
      </w:r>
    </w:p>
    <w:p>
      <w:pPr>
        <w:jc w:val="both"/>
      </w:pPr>
      <w:r>
        <w:rPr>
          <w:b/>
        </w:rPr>
        <w:t>具体做法。</w:t>
      </w:r>
      <w:r>
        <w:t xml:space="preserve"> 建立一份可追溯的教育与科研经历表，标出个人实际承担任务、公开论文的准确出版状态和技能证据。用同一套真实事实写学术CV与针对性陈述，邀请同行检查是否夸大团队贡献或在不同文档里出现日期冲突。</w:t>
      </w:r>
    </w:p>
    <w:p>
      <w:pPr>
        <w:jc w:val="both"/>
      </w:pPr>
      <w:r>
        <w:rPr>
          <w:b/>
        </w:rPr>
        <w:t>验收作品。</w:t>
      </w:r>
      <w:r>
        <w:t xml:space="preserve"> 真实的中英文简历和贡献证明索引。 </w:t>
      </w:r>
      <w:r>
        <w:rPr>
          <w:b/>
        </w:rPr>
        <w:t>核验要点。</w:t>
      </w:r>
      <w:r>
        <w:t xml:space="preserve"> 面试准备时能为每一项重要经历指出作品、数据或正式记录的出处。 本项为教学训练，不代替所在单位的正式要求。</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bookmarkStart w:id="210" w:name="chapter_10"/>
      <w:pPr>
        <w:pStyle w:val="Heading1"/>
      </w:pPr>
      <w:r>
        <w:t>第十章　怎样选择适合自己的导师？</w:t>
      </w:r>
      <w:bookmarkEnd w:id="210"/>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w:t>
      </w:r>
    </w:p>
    <w:p>
      <w:pPr>
        <w:jc w:val="both"/>
      </w:pPr>
      <w:r>
        <w:rPr>
          <w:b/>
        </w:rPr>
        <w:t>具体做法。</w:t>
      </w:r>
      <w:r>
        <w:t xml:space="preserve"> 阅读两位候选团队近年的代表论文，概括研究问题、主要方法和学生可能需要的训练；随后按课程、反馈、资源和长期发展列出具体面谈问题。面谈后把正式确认的信息、个人匹配感受和未经证实的传闻分开。</w:t>
      </w:r>
    </w:p>
    <w:p>
      <w:pPr>
        <w:jc w:val="both"/>
      </w:pPr>
      <w:r>
        <w:rPr>
          <w:b/>
        </w:rPr>
        <w:t>验收作品。</w:t>
      </w:r>
      <w:r>
        <w:t xml:space="preserve"> 一页导师匹配信息表和联系邮件草稿。 </w:t>
      </w:r>
      <w:r>
        <w:rPr>
          <w:b/>
        </w:rPr>
        <w:t>核验要点。</w:t>
      </w:r>
      <w:r>
        <w:t xml:space="preserve"> 所有关于招生名额、奖助及学位条件的判断均应有本年度正式来源。 本项为教学训练，不代替所在单位的正式要求。</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bookmarkStart w:id="103" w:name="part_3"/>
      <w:pPr>
        <w:pStyle w:val="Heading1"/>
      </w:pPr>
      <w:r>
        <w:t>第三编　研究生入学第一年：完成身份转变</w:t>
      </w:r>
      <w:bookmarkEnd w:id="103"/>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bookmarkStart w:id="211" w:name="chapter_11"/>
      <w:pPr>
        <w:pStyle w:val="Heading1"/>
      </w:pPr>
      <w:r>
        <w:t>第十一章　收到录取通知书以后，应该准备什么？</w:t>
      </w:r>
      <w:bookmarkEnd w:id="211"/>
    </w:p>
    <w:p>
      <w:pPr>
        <w:pStyle w:val="Quote"/>
      </w:pPr>
      <w:r>
        <w:t>本章目标：把入学前的材料手续、培养制度、科研安全和专业预习整理为一份可执行的准备计划，避免一开始就把所有时间用于下载软件和囤积论文。</w:t>
      </w:r>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bookmarkStart w:id="212" w:name="chapter_12"/>
      <w:pPr>
        <w:pStyle w:val="Heading1"/>
      </w:pPr>
      <w:r>
        <w:t>第十二章　入学前30天与前90天应该做什么？</w:t>
      </w:r>
      <w:bookmarkEnd w:id="212"/>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w:t>
      </w:r>
    </w:p>
    <w:p>
      <w:pPr>
        <w:jc w:val="both"/>
      </w:pPr>
      <w:r>
        <w:rPr>
          <w:b/>
        </w:rPr>
        <w:t>具体做法。</w:t>
      </w:r>
      <w:r>
        <w:t xml:space="preserve"> 用一项公开数据练习制作五页组会报告：问题、数据与授权、主要分析流程、结果与质量检查、下一周计划。将数据异常及尚不理解的模型假设写成可讨论问题，并在组会后按负责人和期限整理行动纪要。</w:t>
      </w:r>
    </w:p>
    <w:p>
      <w:pPr>
        <w:jc w:val="both"/>
      </w:pPr>
      <w:r>
        <w:rPr>
          <w:b/>
        </w:rPr>
        <w:t>验收作品。</w:t>
      </w:r>
      <w:r>
        <w:t xml:space="preserve"> 五页进展汇报、疑问表与会议纪要。 </w:t>
      </w:r>
      <w:r>
        <w:rPr>
          <w:b/>
        </w:rPr>
        <w:t>核验要点。</w:t>
      </w:r>
      <w:r>
        <w:t xml:space="preserve"> 让一位没有运行代码的同学说明分析实际做了什么，以及尚不能得出什么。 本项为教学训练，不代替所在单位的正式要求。</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bookmarkStart w:id="213" w:name="chapter_13"/>
      <w:pPr>
        <w:pStyle w:val="Heading1"/>
      </w:pPr>
      <w:r>
        <w:t>第十三章　怎样建立研究生必备的基础知识体系？</w:t>
      </w:r>
      <w:bookmarkEnd w:id="213"/>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w:t>
      </w:r>
    </w:p>
    <w:p>
      <w:pPr>
        <w:jc w:val="both"/>
      </w:pPr>
      <w:r>
        <w:rPr>
          <w:b/>
        </w:rPr>
        <w:t>具体做法。</w:t>
      </w:r>
      <w:r>
        <w:t xml:space="preserve"> 选定本学期真实的研究任务，先列出必需的领域概念、设计思想、统计原理和操作工具。给每项技能标注从‘会解释’到‘能独立审查’的等级，再将最重要的三个缺口对应到六个月内可交付的作品。</w:t>
      </w:r>
    </w:p>
    <w:p>
      <w:pPr>
        <w:jc w:val="both"/>
      </w:pPr>
      <w:r>
        <w:rPr>
          <w:b/>
        </w:rPr>
        <w:t>验收作品。</w:t>
      </w:r>
      <w:r>
        <w:t xml:space="preserve"> 三项最关键能力缺口及六个月训练计划。 </w:t>
      </w:r>
      <w:r>
        <w:rPr>
          <w:b/>
        </w:rPr>
        <w:t>核验要点。</w:t>
      </w:r>
      <w:r>
        <w:t xml:space="preserve"> 每项能力提升都必须有精读笔记、演示脚本或独立完成的报告作证。 本项为教学训练，不代替所在单位的正式要求。</w:t>
      </w:r>
    </w:p>
    <w:p/>
    <w:p>
      <w:r>
        <w:br w:type="page"/>
      </w:r>
    </w:p>
    <w:p>
      <w:bookmarkStart w:id="214" w:name="chapter_14"/>
      <w:pPr>
        <w:pStyle w:val="Heading1"/>
      </w:pPr>
      <w:r>
        <w:t>第十四章　怎样与导师和团队有效合作？</w:t>
      </w:r>
      <w:bookmarkEnd w:id="214"/>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w:t>
      </w:r>
    </w:p>
    <w:p>
      <w:pPr>
        <w:jc w:val="both"/>
      </w:pPr>
      <w:r>
        <w:rPr>
          <w:b/>
        </w:rPr>
        <w:t>具体做法。</w:t>
      </w:r>
      <w:r>
        <w:t xml:space="preserve"> 围绕一项多人协作研究核对受试者或材料定义、数据权限、任务责任和会议决议。将‘已确认的事实’与‘需要通过数据或文献判断的争议’分栏，并把讨论结论转化为有负责人、有交付标准的下周任务。</w:t>
      </w:r>
    </w:p>
    <w:p>
      <w:pPr>
        <w:jc w:val="both"/>
      </w:pPr>
      <w:r>
        <w:rPr>
          <w:b/>
        </w:rPr>
        <w:t>验收作品。</w:t>
      </w:r>
      <w:r>
        <w:t xml:space="preserve"> 有负责人和截止日期的协作纪要。 </w:t>
      </w:r>
      <w:r>
        <w:rPr>
          <w:b/>
        </w:rPr>
        <w:t>核验要点。</w:t>
      </w:r>
      <w:r>
        <w:t xml:space="preserve"> 会议纪要应能解释为什么采用某个变量定义或分析方案，不能只写‘进一步讨论’。 本项为教学训练，不代替所在单位的正式要求。</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bookmarkStart w:id="215" w:name="chapter_15"/>
      <w:pPr>
        <w:pStyle w:val="Heading1"/>
      </w:pPr>
      <w:r>
        <w:t>第十五章　如何管理时间、知识与个人科研任务？</w:t>
      </w:r>
      <w:bookmarkEnd w:id="215"/>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w:t>
      </w:r>
    </w:p>
    <w:p>
      <w:pPr>
        <w:jc w:val="both"/>
      </w:pPr>
      <w:r>
        <w:rPr>
          <w:b/>
        </w:rPr>
        <w:t>具体做法。</w:t>
      </w:r>
      <w:r>
        <w:t xml:space="preserve"> 从一个旧项目追踪原始输入、脚本、处理数据和最终图表的路径，建立README与研究决策日志。为两次重要模型或变量修改写明日期、原因及对结果的影响，模拟让合作者从原始材料重新运行关键分析。</w:t>
      </w:r>
    </w:p>
    <w:p>
      <w:pPr>
        <w:jc w:val="both"/>
      </w:pPr>
      <w:r>
        <w:rPr>
          <w:b/>
        </w:rPr>
        <w:t>验收作品。</w:t>
      </w:r>
      <w:r>
        <w:t xml:space="preserve"> 可以由同学复现的README和研究日志。 </w:t>
      </w:r>
      <w:r>
        <w:rPr>
          <w:b/>
        </w:rPr>
        <w:t>核验要点。</w:t>
      </w:r>
      <w:r>
        <w:t xml:space="preserve"> 无需作者口头补充，也能恢复核心分析流程；受限原始资料不得进入公共仓库。 本项为教学训练，不代替所在单位的正式要求。</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bookmarkStart w:id="104" w:name="part_4"/>
      <w:pPr>
        <w:pStyle w:val="Heading1"/>
      </w:pPr>
      <w:r>
        <w:t>第四编　学会阅读文献：从获取知识到形成判断</w:t>
      </w:r>
      <w:bookmarkEnd w:id="104"/>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bookmarkStart w:id="216" w:name="chapter_16"/>
      <w:pPr>
        <w:pStyle w:val="Heading1"/>
      </w:pPr>
      <w:r>
        <w:t>第十六章　学术文献从哪里来？</w:t>
      </w:r>
      <w:bookmarkEnd w:id="216"/>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w:t>
      </w:r>
    </w:p>
    <w:p>
      <w:pPr>
        <w:jc w:val="both"/>
      </w:pPr>
      <w:r>
        <w:rPr>
          <w:b/>
        </w:rPr>
        <w:t>具体做法。</w:t>
      </w:r>
      <w:r>
        <w:t xml:space="preserve"> 把研究问题拆成两个到四个检索概念，在两类合适的数据库中分别组合主题词、同义词和字段。保存检索日期、精确表达式、限制条件和返回结果；通过一篇代表性论文的前后向引文追踪检查遗漏。</w:t>
      </w:r>
    </w:p>
    <w:p>
      <w:pPr>
        <w:jc w:val="both"/>
      </w:pPr>
      <w:r>
        <w:rPr>
          <w:b/>
        </w:rPr>
        <w:t>验收作品。</w:t>
      </w:r>
      <w:r>
        <w:t xml:space="preserve"> 带时间、完整式、结果数与筛选依据的检索记录。 </w:t>
      </w:r>
      <w:r>
        <w:rPr>
          <w:b/>
        </w:rPr>
        <w:t>核验要点。</w:t>
      </w:r>
      <w:r>
        <w:t xml:space="preserve"> 第二位读者应能依据你的记录复现检索，并解释五篇被纳入研究的直接相关性。 本项为教学训练，不代替所在单位的正式要求。</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bookmarkStart w:id="217" w:name="chapter_17"/>
      <w:pPr>
        <w:pStyle w:val="Heading1"/>
      </w:pPr>
      <w:r>
        <w:t>第十七章　如何真正读懂一篇科研论文？</w:t>
      </w:r>
      <w:bookmarkEnd w:id="217"/>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w:t>
      </w:r>
    </w:p>
    <w:p>
      <w:pPr>
        <w:jc w:val="both"/>
      </w:pPr>
      <w:r>
        <w:rPr>
          <w:b/>
        </w:rPr>
        <w:t>具体做法。</w:t>
      </w:r>
      <w:r>
        <w:t xml:space="preserve"> 选一篇原创论文，按研究问题、样本或材料、关键结果图和方法限制逐项记录。暂时遮住作者的结论，独立解读一张主要图的观察单位、指标、统计处理和不确定性，再核对原文中是否使用过强的因果语言。</w:t>
      </w:r>
    </w:p>
    <w:p>
      <w:pPr>
        <w:jc w:val="both"/>
      </w:pPr>
      <w:r>
        <w:rPr>
          <w:b/>
        </w:rPr>
        <w:t>验收作品。</w:t>
      </w:r>
      <w:r>
        <w:t xml:space="preserve"> 三遍阅读卡和一张图的审查说明。 </w:t>
      </w:r>
      <w:r>
        <w:rPr>
          <w:b/>
        </w:rPr>
        <w:t>核验要点。</w:t>
      </w:r>
      <w:r>
        <w:t xml:space="preserve"> 读者能指出一项主张在原文中具体由哪张图或哪个方法段落支持。 本项为教学训练，不代替所在单位的正式要求。</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bookmarkStart w:id="218" w:name="chapter_18"/>
      <w:pPr>
        <w:pStyle w:val="Heading1"/>
      </w:pPr>
      <w:r>
        <w:t>第十八章　如何整理文献并建立自己的知识库？</w:t>
      </w:r>
      <w:bookmarkEnd w:id="218"/>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w:t>
      </w:r>
    </w:p>
    <w:p>
      <w:pPr>
        <w:jc w:val="both"/>
      </w:pPr>
      <w:r>
        <w:rPr>
          <w:b/>
        </w:rPr>
        <w:t>具体做法。</w:t>
      </w:r>
      <w:r>
        <w:t xml:space="preserve"> 在文献管理软件中导入20项真实书目，去重并核对DOI、年份和预印本状态。选出五篇原创研究填写共同字段，将重要的观察、作者解释和你自己的质疑分别标注，再围绕一个研究问题写出跨论文的综合判断。</w:t>
      </w:r>
    </w:p>
    <w:p>
      <w:pPr>
        <w:jc w:val="both"/>
      </w:pPr>
      <w:r>
        <w:rPr>
          <w:b/>
        </w:rPr>
        <w:t>验收作品。</w:t>
      </w:r>
      <w:r>
        <w:t xml:space="preserve"> 20篇文献库、5份精读卡和证据矩阵。 </w:t>
      </w:r>
      <w:r>
        <w:rPr>
          <w:b/>
        </w:rPr>
        <w:t>核验要点。</w:t>
      </w:r>
      <w:r>
        <w:t xml:space="preserve"> 随机抽查五条引用必须能够定位到原文，不能只根据AI给出的题录填写。 本项为教学训练，不代替所在单位的正式要求。</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bookmarkStart w:id="219" w:name="chapter_19"/>
      <w:pPr>
        <w:pStyle w:val="Heading1"/>
      </w:pPr>
      <w:r>
        <w:t>第十九章　如何进行批判性阅读与证据评价？</w:t>
      </w:r>
      <w:bookmarkEnd w:id="219"/>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w:t>
      </w:r>
    </w:p>
    <w:p>
      <w:pPr>
        <w:jc w:val="both"/>
      </w:pPr>
      <w:r>
        <w:rPr>
          <w:b/>
        </w:rPr>
        <w:t>具体做法。</w:t>
      </w:r>
      <w:r>
        <w:t xml:space="preserve"> 选择三篇方向相近却结果不一致的研究，逐项比较样本来源、测量与统计模型。为每项发现写‘最直接证据—可能偏倚—未排除解释’，再说明什么样的独立检查最能减少争议。</w:t>
      </w:r>
    </w:p>
    <w:p>
      <w:pPr>
        <w:jc w:val="both"/>
      </w:pPr>
      <w:r>
        <w:rPr>
          <w:b/>
        </w:rPr>
        <w:t>验收作品。</w:t>
      </w:r>
      <w:r>
        <w:t xml:space="preserve"> 一份评价表和审慎的证据综合段落。 </w:t>
      </w:r>
      <w:r>
        <w:rPr>
          <w:b/>
        </w:rPr>
        <w:t>核验要点。</w:t>
      </w:r>
      <w:r>
        <w:t xml:space="preserve"> 结论必须允许存在未解决的不一致，不以论文期刊指标取代证据评价。 本项为教学训练，不代替所在单位的正式要求。</w:t>
      </w:r>
    </w:p>
    <w:p/>
    <w:p>
      <w:r>
        <w:br w:type="page"/>
      </w:r>
    </w:p>
    <w:p>
      <w:bookmarkStart w:id="220" w:name="chapter_20"/>
      <w:pPr>
        <w:pStyle w:val="Heading1"/>
      </w:pPr>
      <w:r>
        <w:t>第二十章　从阅读文献到撰写综述与发现研究空白</w:t>
      </w:r>
      <w:bookmarkEnd w:id="220"/>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w:t>
      </w:r>
    </w:p>
    <w:p>
      <w:pPr>
        <w:jc w:val="both"/>
      </w:pPr>
      <w:r>
        <w:rPr>
          <w:b/>
        </w:rPr>
        <w:t>具体做法。</w:t>
      </w:r>
      <w:r>
        <w:t xml:space="preserve"> 把30篇相关文献按研究设计和科学问题重新分类，而不是按作者年份罗列。用一张证据矩阵识别共识与矛盾，再为三个主体小节分别写中心判断、直接研究和下一步可检验的问题。</w:t>
      </w:r>
    </w:p>
    <w:p>
      <w:pPr>
        <w:jc w:val="both"/>
      </w:pPr>
      <w:r>
        <w:rPr>
          <w:b/>
        </w:rPr>
        <w:t>验收作品。</w:t>
      </w:r>
      <w:r>
        <w:t xml:space="preserve"> 三级目录、证据矩阵和一份示范小节。 </w:t>
      </w:r>
      <w:r>
        <w:rPr>
          <w:b/>
        </w:rPr>
        <w:t>核验要点。</w:t>
      </w:r>
      <w:r>
        <w:t xml:space="preserve"> 随机抽查三项综述论断，确认原始论文能够直接支撑所写范围。 本项为教学训练，不代替所在单位的正式要求。</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bookmarkStart w:id="105" w:name="part_5"/>
      <w:pPr>
        <w:pStyle w:val="Heading1"/>
      </w:pPr>
      <w:r>
        <w:t>第五编　科研选题与研究设计</w:t>
      </w:r>
      <w:bookmarkEnd w:id="105"/>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bookmarkStart w:id="221" w:name="chapter_21"/>
      <w:pPr>
        <w:pStyle w:val="Heading1"/>
      </w:pPr>
      <w:r>
        <w:t>第二十一章　一个好的科研问题从哪里来？</w:t>
      </w:r>
      <w:bookmarkEnd w:id="221"/>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w:t>
      </w:r>
    </w:p>
    <w:p>
      <w:pPr>
        <w:jc w:val="both"/>
      </w:pPr>
      <w:r>
        <w:rPr>
          <w:b/>
        </w:rPr>
        <w:t>具体做法。</w:t>
      </w:r>
      <w:r>
        <w:t xml:space="preserve"> 从五个候选研究问题中挑出两项，分别说明对象、知识缺口、数据来源和一项最可能的偏倚。与导师讨论后，用一页问题卡收敛为一个可以被结果支持或否定的主要目标，并记录选题修改的依据。</w:t>
      </w:r>
    </w:p>
    <w:p>
      <w:pPr>
        <w:jc w:val="both"/>
      </w:pPr>
      <w:r>
        <w:rPr>
          <w:b/>
        </w:rPr>
        <w:t>验收作品。</w:t>
      </w:r>
      <w:r>
        <w:t xml:space="preserve"> 五个候选问题及最终一页选题卡。 </w:t>
      </w:r>
      <w:r>
        <w:rPr>
          <w:b/>
        </w:rPr>
        <w:t>核验要点。</w:t>
      </w:r>
      <w:r>
        <w:t xml:space="preserve"> 删除‘首次’等形容词后，研究的重要性与可行性仍应能够由具体事实解释。 本项为教学训练，不代替所在单位的正式要求。</w:t>
      </w:r>
    </w:p>
    <w:p/>
    <w:p>
      <w:r>
        <w:br w:type="page"/>
      </w:r>
    </w:p>
    <w:p>
      <w:bookmarkStart w:id="222" w:name="chapter_22"/>
      <w:pPr>
        <w:pStyle w:val="Heading1"/>
      </w:pPr>
      <w:r>
        <w:t>第二十二章　如何提出研究假设与建立理论框架？</w:t>
      </w:r>
      <w:bookmarkEnd w:id="222"/>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w:t>
      </w:r>
    </w:p>
    <w:p>
      <w:pPr>
        <w:jc w:val="both"/>
      </w:pPr>
      <w:r>
        <w:rPr>
          <w:b/>
        </w:rPr>
        <w:t>具体做法。</w:t>
      </w:r>
      <w:r>
        <w:t xml:space="preserve"> 为目标问题画出主要变量、共同原因、时间顺序及可能的反向关系，用不同标记区分既有证据与待检验假设。随后写出主要结局与解释变量的操作性定义，并说明现有设计能否建立时间先后或因果推断。</w:t>
      </w:r>
    </w:p>
    <w:p>
      <w:pPr>
        <w:jc w:val="both"/>
      </w:pPr>
      <w:r>
        <w:rPr>
          <w:b/>
        </w:rPr>
        <w:t>验收作品。</w:t>
      </w:r>
      <w:r>
        <w:t xml:space="preserve"> 概念图、变量字典和推断边界。 </w:t>
      </w:r>
      <w:r>
        <w:rPr>
          <w:b/>
        </w:rPr>
        <w:t>核验要点。</w:t>
      </w:r>
      <w:r>
        <w:t xml:space="preserve"> 让同学指出哪些箭头只是推测，检验目标不得在看到结果后随意改变。 本项为教学训练，不代替所在单位的正式要求。</w:t>
      </w:r>
    </w:p>
    <w:p>
      <w:pPr>
        <w:pStyle w:val="Heading2"/>
      </w:pPr>
      <w:r>
        <w:t>本章小结</w:t>
      </w:r>
    </w:p>
    <w:p>
      <w:pPr>
        <w:jc w:val="both"/>
      </w:pPr>
      <w:r>
        <w:t>好的研究假设既足够明确，可以被实际证据检验，也应足够谦逊，允许出现与预期不一致的结果。</w:t>
      </w:r>
    </w:p>
    <w:p/>
    <w:p>
      <w:r>
        <w:br w:type="page"/>
      </w:r>
    </w:p>
    <w:p>
      <w:bookmarkStart w:id="223" w:name="chapter_23"/>
      <w:pPr>
        <w:pStyle w:val="Heading1"/>
      </w:pPr>
      <w:r>
        <w:t>第二十三章　科研方法应该怎样选择？</w:t>
      </w:r>
      <w:bookmarkEnd w:id="223"/>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w:t>
      </w:r>
    </w:p>
    <w:p>
      <w:pPr>
        <w:jc w:val="both"/>
      </w:pPr>
      <w:r>
        <w:rPr>
          <w:b/>
        </w:rPr>
        <w:t>具体做法。</w:t>
      </w:r>
      <w:r>
        <w:t xml:space="preserve"> 对同一个问题分别准备一套观察性研究和一套有适当对照的研究设计。逐一写明抽样、实验单位、时间结构、主要结局、干扰因素与可得证据，最后对照伦理和资源条件选择当前能够实施的一种。</w:t>
      </w:r>
    </w:p>
    <w:p>
      <w:pPr>
        <w:jc w:val="both"/>
      </w:pPr>
      <w:r>
        <w:rPr>
          <w:b/>
        </w:rPr>
        <w:t>验收作品。</w:t>
      </w:r>
      <w:r>
        <w:t xml:space="preserve"> 两份研究设计及对照与混杂比较表。 </w:t>
      </w:r>
      <w:r>
        <w:rPr>
          <w:b/>
        </w:rPr>
        <w:t>核验要点。</w:t>
      </w:r>
      <w:r>
        <w:t xml:space="preserve"> 结果描述必须与所选设计相匹配，不能用观察关联直接宣称干预效果。 本项为教学训练，不代替所在单位的正式要求。</w:t>
      </w:r>
    </w:p>
    <w:p/>
    <w:p>
      <w:r>
        <w:br w:type="page"/>
      </w:r>
    </w:p>
    <w:p>
      <w:bookmarkStart w:id="224" w:name="chapter_24"/>
      <w:pPr>
        <w:pStyle w:val="Heading1"/>
      </w:pPr>
      <w:r>
        <w:t>第二十四章　样本、变量、偏倚与研究可行性</w:t>
      </w:r>
      <w:bookmarkEnd w:id="224"/>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w:t>
      </w:r>
    </w:p>
    <w:p>
      <w:pPr>
        <w:jc w:val="both"/>
      </w:pPr>
      <w:r>
        <w:rPr>
          <w:b/>
        </w:rPr>
        <w:t>具体做法。</w:t>
      </w:r>
      <w:r>
        <w:t xml:space="preserve"> 明确主要结局和预期效应或精度目标，再为样本量或数据规模提供有来源的论证。建立纳入排除、测量、缺失和批次风险表，并模拟失访与资料不可得的两种情况，评估它们如何改变研究范围。</w:t>
      </w:r>
    </w:p>
    <w:p>
      <w:pPr>
        <w:jc w:val="both"/>
      </w:pPr>
      <w:r>
        <w:rPr>
          <w:b/>
        </w:rPr>
        <w:t>验收作品。</w:t>
      </w:r>
      <w:r>
        <w:t xml:space="preserve"> 样本量假设说明和偏倚风险表。 </w:t>
      </w:r>
      <w:r>
        <w:rPr>
          <w:b/>
        </w:rPr>
        <w:t>核验要点。</w:t>
      </w:r>
      <w:r>
        <w:t xml:space="preserve"> 应能解释参数依据与样本独立性，不能援引‘每组30例足够’的通用口诀。 本项为教学训练，不代替所在单位的正式要求。</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bookmarkStart w:id="225" w:name="chapter_25"/>
      <w:pPr>
        <w:pStyle w:val="Heading1"/>
      </w:pPr>
      <w:r>
        <w:t>第二十五章　从研究问题到完整研究方案</w:t>
      </w:r>
      <w:bookmarkEnd w:id="225"/>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w:t>
      </w:r>
    </w:p>
    <w:p>
      <w:pPr>
        <w:jc w:val="both"/>
      </w:pPr>
      <w:r>
        <w:rPr>
          <w:b/>
        </w:rPr>
        <w:t>具体做法。</w:t>
      </w:r>
      <w:r>
        <w:t xml:space="preserve"> 在一页流程图中把数据或材料、质量控制、主要分析、独立验证和解释相连，每个节点写输入与具体输出。为不能保证的数据授权、样本或技术条件设置风险预警和可行的替代路径。</w:t>
      </w:r>
    </w:p>
    <w:p>
      <w:pPr>
        <w:jc w:val="both"/>
      </w:pPr>
      <w:r>
        <w:rPr>
          <w:b/>
        </w:rPr>
        <w:t>验收作品。</w:t>
      </w:r>
      <w:r>
        <w:t xml:space="preserve"> 五至十页研究方案及风险替代路径。 </w:t>
      </w:r>
      <w:r>
        <w:rPr>
          <w:b/>
        </w:rPr>
        <w:t>核验要点。</w:t>
      </w:r>
      <w:r>
        <w:t xml:space="preserve"> 科学问题、Methods、图表与里程碑必须存在一一对应的证据关系。 本项为教学训练，不代替所在单位的正式要求。</w:t>
      </w:r>
    </w:p>
    <w:p/>
    <w:p>
      <w:r>
        <w:br w:type="page"/>
      </w:r>
    </w:p>
    <w:p>
      <w:bookmarkStart w:id="226" w:name="chapter_26"/>
      <w:pPr>
        <w:pStyle w:val="Heading1"/>
      </w:pPr>
      <w:r>
        <w:t>第二十六章　开题报告与研究计划答辩</w:t>
      </w:r>
      <w:bookmarkEnd w:id="226"/>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w:t>
      </w:r>
    </w:p>
    <w:p>
      <w:pPr>
        <w:jc w:val="both"/>
      </w:pPr>
      <w:r>
        <w:rPr>
          <w:b/>
        </w:rPr>
        <w:t>具体做法。</w:t>
      </w:r>
      <w:r>
        <w:t xml:space="preserve"> 将研究问题和可行性材料组织为十五分钟开题汇报：背景、具体证据缺口、研究设计、质量验证、资源与风险。邀请两种专业背景的同伴提问，针对每条意见区分需要改设计、补来源或仅调整表述。</w:t>
      </w:r>
    </w:p>
    <w:p>
      <w:pPr>
        <w:jc w:val="both"/>
      </w:pPr>
      <w:r>
        <w:rPr>
          <w:b/>
        </w:rPr>
        <w:t>验收作品。</w:t>
      </w:r>
      <w:r>
        <w:t xml:space="preserve"> 15分钟开题简报及逐项修订记录。 </w:t>
      </w:r>
      <w:r>
        <w:rPr>
          <w:b/>
        </w:rPr>
        <w:t>核验要点。</w:t>
      </w:r>
      <w:r>
        <w:t xml:space="preserve"> 下一版开题方案需附实质修订日志，不能只把PPT重新配色。 本项为教学训练，不代替所在单位的正式要求。</w:t>
      </w:r>
    </w:p>
    <w:p>
      <w:pPr>
        <w:pStyle w:val="Heading2"/>
      </w:pPr>
      <w:r>
        <w:t>本章小结</w:t>
      </w:r>
    </w:p>
    <w:p>
      <w:pPr>
        <w:jc w:val="both"/>
      </w:pPr>
      <w:r>
        <w:t>开题报告是一项研究质量控制环节。越能清楚说明研究问题、证据与局限，越能从专家讨论中得到实质帮助。</w:t>
      </w:r>
    </w:p>
    <w:p/>
    <w:p>
      <w:r>
        <w:br w:type="page"/>
      </w:r>
    </w:p>
    <w:p>
      <w:bookmarkStart w:id="106" w:name="part_6"/>
      <w:pPr>
        <w:pStyle w:val="Heading1"/>
      </w:pPr>
      <w:r>
        <w:t>第六编　科研实践与数据分析</w:t>
      </w:r>
      <w:bookmarkEnd w:id="106"/>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bookmarkStart w:id="227" w:name="chapter_27"/>
      <w:pPr>
        <w:pStyle w:val="Heading1"/>
      </w:pPr>
      <w:r>
        <w:t>第二十七章　如何开展实验、调查与实际研究？</w:t>
      </w:r>
      <w:bookmarkEnd w:id="227"/>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w:t>
      </w:r>
    </w:p>
    <w:p>
      <w:pPr>
        <w:jc w:val="both"/>
      </w:pPr>
      <w:r>
        <w:rPr>
          <w:b/>
        </w:rPr>
        <w:t>具体做法。</w:t>
      </w:r>
      <w:r>
        <w:t xml:space="preserve"> 选一项经过必要培训和授权的规范操作，记录样本、实验单位、对照、批次、条件和原始测量。模拟出现一个与预期不符的结果，检查是否属于测量故障、真实变异或资料错误，并留下独立于显著性结果的处理依据。</w:t>
      </w:r>
    </w:p>
    <w:p>
      <w:pPr>
        <w:jc w:val="both"/>
      </w:pPr>
      <w:r>
        <w:rPr>
          <w:b/>
        </w:rPr>
        <w:t>验收作品。</w:t>
      </w:r>
      <w:r>
        <w:t xml:space="preserve"> 含异常原因、处理依据和后续行动的研究日志。 </w:t>
      </w:r>
      <w:r>
        <w:rPr>
          <w:b/>
        </w:rPr>
        <w:t>核验要点。</w:t>
      </w:r>
      <w:r>
        <w:t xml:space="preserve"> 任何样本排除均能从原始日志追溯，不能仅为了改善P值而删除。 本项为教学训练，不代替所在单位的正式要求。</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bookmarkStart w:id="228" w:name="chapter_28"/>
      <w:pPr>
        <w:pStyle w:val="Heading1"/>
      </w:pPr>
      <w:r>
        <w:t>第二十八章　从原始数据到可以分析的数据</w:t>
      </w:r>
      <w:bookmarkEnd w:id="228"/>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w:t>
      </w:r>
    </w:p>
    <w:p>
      <w:pPr>
        <w:jc w:val="both"/>
      </w:pPr>
      <w:r>
        <w:rPr>
          <w:b/>
        </w:rPr>
        <w:t>具体做法。</w:t>
      </w:r>
      <w:r>
        <w:t xml:space="preserve"> 用合成数据构造一对多的测量表，先预测合并后的行数和唯一对象数，再在代码中验证连接关系。人为设置一项缺失编码和一条异常值，分别记录能够核实与无法确认的部分。</w:t>
      </w:r>
    </w:p>
    <w:p>
      <w:pPr>
        <w:jc w:val="both"/>
      </w:pPr>
      <w:r>
        <w:rPr>
          <w:b/>
        </w:rPr>
        <w:t>验收作品。</w:t>
      </w:r>
      <w:r>
        <w:t xml:space="preserve"> 数据字典、清洗脚本和合并检查报告。 </w:t>
      </w:r>
      <w:r>
        <w:rPr>
          <w:b/>
        </w:rPr>
        <w:t>核验要点。</w:t>
      </w:r>
      <w:r>
        <w:t xml:space="preserve"> 把清洗前后的样本流向、数据字典和脚本交给同伴重跑，确认不会重复计数。 本项为教学训练，不代替所在单位的正式要求。</w:t>
      </w:r>
    </w:p>
    <w:p/>
    <w:p>
      <w:r>
        <w:br w:type="page"/>
      </w:r>
    </w:p>
    <w:p>
      <w:bookmarkStart w:id="229" w:name="chapter_29"/>
      <w:pPr>
        <w:pStyle w:val="Heading1"/>
      </w:pPr>
      <w:r>
        <w:t>第二十九章　研究生必须掌握的统计学基础</w:t>
      </w:r>
      <w:bookmarkEnd w:id="229"/>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w:t>
      </w:r>
    </w:p>
    <w:p>
      <w:pPr>
        <w:jc w:val="both"/>
      </w:pPr>
      <w:r>
        <w:rPr>
          <w:b/>
        </w:rPr>
        <w:t>具体做法。</w:t>
      </w:r>
      <w:r>
        <w:t xml:space="preserve"> 用同一份完全模拟数据计算两组均值差、标准误与区间估计，随后改变样本量或波动程度观察精度变化。分别写一段恰当和一段错误的结果解释，明确P值不等于零假设为真的概率。</w:t>
      </w:r>
    </w:p>
    <w:p>
      <w:pPr>
        <w:jc w:val="both"/>
      </w:pPr>
      <w:r>
        <w:rPr>
          <w:b/>
        </w:rPr>
        <w:t>验收作品。</w:t>
      </w:r>
      <w:r>
        <w:t xml:space="preserve"> 一页描述统计和限制解释。 </w:t>
      </w:r>
      <w:r>
        <w:rPr>
          <w:b/>
        </w:rPr>
        <w:t>核验要点。</w:t>
      </w:r>
      <w:r>
        <w:t xml:space="preserve"> 检查是否同时报告效应量、估计不确定性及科学意义，不能只报星号。 本项为教学训练，不代替所在单位的正式要求。</w:t>
      </w:r>
    </w:p>
    <w:p>
      <w:pPr>
        <w:pStyle w:val="Heading2"/>
      </w:pPr>
      <w:r>
        <w:t>本章小结</w:t>
      </w:r>
    </w:p>
    <w:p>
      <w:pPr>
        <w:jc w:val="both"/>
      </w:pPr>
      <w:r>
        <w:t>统计学不是制造显著性星号的机器，而是帮助研究者从不完整的数据中尽可能谨慎地作出判断。</w:t>
      </w:r>
    </w:p>
    <w:p/>
    <w:p>
      <w:r>
        <w:br w:type="page"/>
      </w:r>
    </w:p>
    <w:p>
      <w:bookmarkStart w:id="230" w:name="chapter_30"/>
      <w:pPr>
        <w:pStyle w:val="Heading1"/>
      </w:pPr>
      <w:r>
        <w:t>第三十章　怎样选择和使用统计分析方法？</w:t>
      </w:r>
      <w:bookmarkEnd w:id="230"/>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w:t>
      </w:r>
    </w:p>
    <w:p>
      <w:pPr>
        <w:jc w:val="both"/>
      </w:pPr>
      <w:r>
        <w:rPr>
          <w:b/>
        </w:rPr>
        <w:t>具体做法。</w:t>
      </w:r>
      <w:r>
        <w:t xml:space="preserve"> 先确认教学数据是独立样本、配对数据还是重复测量，再根据结局类型写出主要分析模型。使用R内置sleep数据完成配对检验，对照不恰当的独立检验解释两者的假设差异，补写缺失值与敏感性分析方案。</w:t>
      </w:r>
    </w:p>
    <w:p>
      <w:pPr>
        <w:jc w:val="both"/>
      </w:pPr>
      <w:r>
        <w:rPr>
          <w:b/>
        </w:rPr>
        <w:t>验收作品。</w:t>
      </w:r>
      <w:r>
        <w:t xml:space="preserve"> 可运行R脚本和统计分析计划。 </w:t>
      </w:r>
      <w:r>
        <w:rPr>
          <w:b/>
        </w:rPr>
        <w:t>核验要点。</w:t>
      </w:r>
      <w:r>
        <w:t xml:space="preserve"> 统计模型、对象结构、报告的效应单位和方法学文字必须完全一致。 本项为教学训练，不代替所在单位的正式要求。</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bookmarkStart w:id="231" w:name="chapter_31"/>
      <w:pPr>
        <w:pStyle w:val="Heading1"/>
      </w:pPr>
      <w:r>
        <w:t>第三十一章　机器学习与人工智能在科研中怎样使用？</w:t>
      </w:r>
      <w:bookmarkEnd w:id="231"/>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w:t>
      </w:r>
    </w:p>
    <w:p>
      <w:pPr>
        <w:jc w:val="both"/>
      </w:pPr>
      <w:r>
        <w:rPr>
          <w:b/>
        </w:rPr>
        <w:t>具体做法。</w:t>
      </w:r>
      <w:r>
        <w:t xml:space="preserve"> 先用独立训练和测试数据建立简单基线，记录类别比例与主要评价指标，再训练另一种模型并比较差异。特征选择、标准化和调参均需放在适当的开发流程内，禁止利用测试标签筛选最佳结果。</w:t>
      </w:r>
    </w:p>
    <w:p>
      <w:pPr>
        <w:jc w:val="both"/>
      </w:pPr>
      <w:r>
        <w:rPr>
          <w:b/>
        </w:rPr>
        <w:t>验收作品。</w:t>
      </w:r>
      <w:r>
        <w:t xml:space="preserve"> 模型评价表和数据泄漏核查清单。 </w:t>
      </w:r>
      <w:r>
        <w:rPr>
          <w:b/>
        </w:rPr>
        <w:t>核验要点。</w:t>
      </w:r>
      <w:r>
        <w:t xml:space="preserve"> 说明预测是否具有外部适用性证据，并明确特征重要性不等于致病机制。 本项为教学训练，不代替所在单位的正式要求。</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bookmarkStart w:id="232" w:name="chapter_32"/>
      <w:pPr>
        <w:pStyle w:val="Heading1"/>
      </w:pPr>
      <w:r>
        <w:t>第三十二章　科研数据可视化与可重复分析</w:t>
      </w:r>
      <w:bookmarkEnd w:id="232"/>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w:t>
      </w:r>
    </w:p>
    <w:p>
      <w:pPr>
        <w:jc w:val="both"/>
      </w:pPr>
      <w:r>
        <w:rPr>
          <w:b/>
        </w:rPr>
        <w:t>具体做法。</w:t>
      </w:r>
      <w:r>
        <w:t xml:space="preserve"> 利用本书合成CSV绘制原始点与分布摘要，另制作一张包含模型估计与不确定性说明的图。由同一脚本输出矢量文件、图注和样本量信息，对照两种图能回答的问题。</w:t>
      </w:r>
    </w:p>
    <w:p>
      <w:pPr>
        <w:jc w:val="both"/>
      </w:pPr>
      <w:r>
        <w:rPr>
          <w:b/>
        </w:rPr>
        <w:t>验收作品。</w:t>
      </w:r>
      <w:r>
        <w:t xml:space="preserve"> 矢量图、图注、绘图脚本与README。 </w:t>
      </w:r>
      <w:r>
        <w:rPr>
          <w:b/>
        </w:rPr>
        <w:t>核验要点。</w:t>
      </w:r>
      <w:r>
        <w:t xml:space="preserve"> 让同学只看图与图注解释分析单位、误差条与结果边界，检查是否可重复生成。 本项为教学训练，不代替所在单位的正式要求。</w:t>
      </w:r>
    </w:p>
    <w:p>
      <w:pPr>
        <w:pStyle w:val="Heading2"/>
      </w:pPr>
      <w:r>
        <w:t>本章小结</w:t>
      </w:r>
    </w:p>
    <w:p>
      <w:pPr>
        <w:jc w:val="both"/>
      </w:pPr>
      <w:r>
        <w:t>科学图表是证据表达，而不是装饰。清晰、诚实、可重复的图表，比复杂但难以理解的视觉效果更有价值。</w:t>
      </w:r>
    </w:p>
    <w:p/>
    <w:p>
      <w:r>
        <w:br w:type="page"/>
      </w:r>
    </w:p>
    <w:p>
      <w:bookmarkStart w:id="233" w:name="chapter_33"/>
      <w:pPr>
        <w:pStyle w:val="Heading1"/>
      </w:pPr>
      <w:r>
        <w:t>第三十三章　如何判断自己的研究结果是否可信？</w:t>
      </w:r>
      <w:bookmarkEnd w:id="233"/>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w:t>
      </w:r>
    </w:p>
    <w:p>
      <w:pPr>
        <w:jc w:val="both"/>
      </w:pPr>
      <w:r>
        <w:rPr>
          <w:b/>
        </w:rPr>
        <w:t>具体做法。</w:t>
      </w:r>
      <w:r>
        <w:t xml:space="preserve"> 挑出研究最重要的三项主张，为每项建立对应的数据、代码、图表与限制卡片。检查是否存在样本重叠、模型过拟合或批次混杂，再设计一个能够改变结论信心的独立验证方案。</w:t>
      </w:r>
    </w:p>
    <w:p>
      <w:pPr>
        <w:jc w:val="both"/>
      </w:pPr>
      <w:r>
        <w:rPr>
          <w:b/>
        </w:rPr>
        <w:t>验收作品。</w:t>
      </w:r>
      <w:r>
        <w:t xml:space="preserve"> 主张—证据—检查—局限四栏表。 </w:t>
      </w:r>
      <w:r>
        <w:rPr>
          <w:b/>
        </w:rPr>
        <w:t>核验要点。</w:t>
      </w:r>
      <w:r>
        <w:t xml:space="preserve"> 删除任何没有直接证据支撑的机制性或普遍推广性描述。 本项为教学训练，不代替所在单位的正式要求。</w:t>
      </w:r>
    </w:p>
    <w:p>
      <w:pPr>
        <w:pStyle w:val="Heading2"/>
      </w:pPr>
      <w:r>
        <w:t>本章小结</w:t>
      </w:r>
    </w:p>
    <w:p>
      <w:pPr>
        <w:jc w:val="both"/>
      </w:pPr>
      <w:r>
        <w:t>可信的研究结果不是一组永远不变的漂亮数字，而是经得起明确方法、合理质疑和独立检查的证据判断。</w:t>
      </w:r>
    </w:p>
    <w:p/>
    <w:p>
      <w:r>
        <w:br w:type="page"/>
      </w:r>
    </w:p>
    <w:p>
      <w:bookmarkStart w:id="107" w:name="part_7"/>
      <w:pPr>
        <w:pStyle w:val="Heading1"/>
      </w:pPr>
      <w:r>
        <w:t>第七编　学术写作与论文发表</w:t>
      </w:r>
      <w:bookmarkEnd w:id="107"/>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bookmarkStart w:id="234" w:name="chapter_34"/>
      <w:pPr>
        <w:pStyle w:val="Heading1"/>
      </w:pPr>
      <w:r>
        <w:t>第三十四章　科研论文究竟应该怎样组织？</w:t>
      </w:r>
      <w:bookmarkEnd w:id="234"/>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w:t>
      </w:r>
    </w:p>
    <w:p>
      <w:pPr>
        <w:jc w:val="both"/>
      </w:pPr>
      <w:r>
        <w:rPr>
          <w:b/>
        </w:rPr>
        <w:t>具体做法。</w:t>
      </w:r>
      <w:r>
        <w:t xml:space="preserve"> 把已有图表按‘研究对象—主要发现—独立检验—限制’重新排列，写出每张图要回答的问题。制作Introduction、Methods、Results与Discussion之间的证据映射，移除无法支持中心主张的重复内容。</w:t>
      </w:r>
    </w:p>
    <w:p>
      <w:pPr>
        <w:jc w:val="both"/>
      </w:pPr>
      <w:r>
        <w:rPr>
          <w:b/>
        </w:rPr>
        <w:t>验收作品。</w:t>
      </w:r>
      <w:r>
        <w:t xml:space="preserve"> 三到四张主要图的证据地图及论文大纲。 </w:t>
      </w:r>
      <w:r>
        <w:rPr>
          <w:b/>
        </w:rPr>
        <w:t>核验要点。</w:t>
      </w:r>
      <w:r>
        <w:t xml:space="preserve"> 陌生读者只看图表和小标题，应能准确复述研究问题及直接证据。 本项为教学训练，不代替所在单位的正式要求。</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bookmarkStart w:id="235" w:name="chapter_35"/>
      <w:pPr>
        <w:pStyle w:val="Heading1"/>
      </w:pPr>
      <w:r>
        <w:t>第三十五章　如何写好文献综述？</w:t>
      </w:r>
      <w:bookmarkEnd w:id="235"/>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w:t>
      </w:r>
    </w:p>
    <w:p>
      <w:pPr>
        <w:jc w:val="both"/>
      </w:pPr>
      <w:r>
        <w:rPr>
          <w:b/>
        </w:rPr>
        <w:t>具体做法。</w:t>
      </w:r>
      <w:r>
        <w:t xml:space="preserve"> 选择一个范围清楚的综述主题，用真实原始研究建立统一比较表。将逐篇流水账改写为‘中心判断—证据—不一致—下一步问题’四层段落，并说明讨论属于叙述性、范围还是系统综述。</w:t>
      </w:r>
    </w:p>
    <w:p>
      <w:pPr>
        <w:jc w:val="both"/>
      </w:pPr>
      <w:r>
        <w:rPr>
          <w:b/>
        </w:rPr>
        <w:t>验收作品。</w:t>
      </w:r>
      <w:r>
        <w:t xml:space="preserve"> 一段1000字综合评述和参考出处表。 </w:t>
      </w:r>
      <w:r>
        <w:rPr>
          <w:b/>
        </w:rPr>
        <w:t>核验要点。</w:t>
      </w:r>
      <w:r>
        <w:t xml:space="preserve"> 每项综合论断需核查原始文献，不可把系统综述名称当作方法完成证明。 本项为教学训练，不代替所在单位的正式要求。</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bookmarkStart w:id="236" w:name="chapter_36"/>
      <w:pPr>
        <w:pStyle w:val="Heading1"/>
      </w:pPr>
      <w:r>
        <w:t>第三十六章　标题、摘要与引言应该怎样写？</w:t>
      </w:r>
      <w:bookmarkEnd w:id="236"/>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w:t>
      </w:r>
    </w:p>
    <w:p>
      <w:pPr>
        <w:jc w:val="both"/>
      </w:pPr>
      <w:r>
        <w:rPr>
          <w:b/>
        </w:rPr>
        <w:t>具体做法。</w:t>
      </w:r>
      <w:r>
        <w:t xml:space="preserve"> 使用已核实的研究结果表起草三种论文标题，选出最不夸大的一版。按背景、方法、量化结果与结论写摘要，再逐句标注与Methods、Results或原始文献对应的位置。</w:t>
      </w:r>
    </w:p>
    <w:p>
      <w:pPr>
        <w:jc w:val="both"/>
      </w:pPr>
      <w:r>
        <w:rPr>
          <w:b/>
        </w:rPr>
        <w:t>验收作品。</w:t>
      </w:r>
      <w:r>
        <w:t xml:space="preserve"> 三版标题和一份结构化摘要。 </w:t>
      </w:r>
      <w:r>
        <w:rPr>
          <w:b/>
        </w:rPr>
        <w:t>核验要点。</w:t>
      </w:r>
      <w:r>
        <w:t xml:space="preserve"> 任何样本数、AUC或P值都必须出自实际输出，删除没有依据的‘突破性’用语。 本项为教学训练，不代替所在单位的正式要求。</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bookmarkStart w:id="237" w:name="chapter_37"/>
      <w:pPr>
        <w:pStyle w:val="Heading1"/>
      </w:pPr>
      <w:r>
        <w:t>第三十七章　方法学部分如何写得严谨且可复现？</w:t>
      </w:r>
      <w:bookmarkEnd w:id="237"/>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w:t>
      </w:r>
    </w:p>
    <w:p>
      <w:pPr>
        <w:jc w:val="both"/>
      </w:pPr>
      <w:r>
        <w:rPr>
          <w:b/>
        </w:rPr>
        <w:t>具体做法。</w:t>
      </w:r>
      <w:r>
        <w:t xml:space="preserve"> 打开最终代码或实验日志，反向核对研究对象、纳排、变量、处理、模型与验证。依研究设计选择STROBE、CONSORT或TRIPOD+AI等适用报告规范，制作‘清单要求—正文位置—直接记录’对应表。</w:t>
      </w:r>
    </w:p>
    <w:p>
      <w:pPr>
        <w:jc w:val="both"/>
      </w:pPr>
      <w:r>
        <w:rPr>
          <w:b/>
        </w:rPr>
        <w:t>验收作品。</w:t>
      </w:r>
      <w:r>
        <w:t xml:space="preserve"> 方法—脚本—报告标准三向检查表。 </w:t>
      </w:r>
      <w:r>
        <w:rPr>
          <w:b/>
        </w:rPr>
        <w:t>核验要点。</w:t>
      </w:r>
      <w:r>
        <w:t xml:space="preserve"> 无法通过实际记录核实的步骤不得为了填满报告清单而写成已执行。 本项为教学训练，不代替所在单位的正式要求。</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bookmarkStart w:id="238" w:name="chapter_38"/>
      <w:pPr>
        <w:pStyle w:val="Heading1"/>
      </w:pPr>
      <w:r>
        <w:t>第三十八章　Results与科研图表怎样配合？</w:t>
      </w:r>
      <w:bookmarkEnd w:id="238"/>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w:t>
      </w:r>
    </w:p>
    <w:p>
      <w:pPr>
        <w:jc w:val="both"/>
      </w:pPr>
      <w:r>
        <w:rPr>
          <w:b/>
        </w:rPr>
        <w:t>具体做法。</w:t>
      </w:r>
      <w:r>
        <w:t xml:space="preserve"> 为主要三张图分别撰写Results段落，第一句说明分析目的，第二句报告直接数值与不确定性，第三句指出重要限制。将推测机制转移到讨论，并核对图注、方法和正文的比较对象是否一致。</w:t>
      </w:r>
    </w:p>
    <w:p>
      <w:pPr>
        <w:jc w:val="both"/>
      </w:pPr>
      <w:r>
        <w:rPr>
          <w:b/>
        </w:rPr>
        <w:t>验收作品。</w:t>
      </w:r>
      <w:r>
        <w:t xml:space="preserve"> 经过数字核对的结果正文与图注。 </w:t>
      </w:r>
      <w:r>
        <w:rPr>
          <w:b/>
        </w:rPr>
        <w:t>核验要点。</w:t>
      </w:r>
      <w:r>
        <w:t xml:space="preserve"> 不选择性隐藏重要阴性结果，图表与文字中的样本量和统计阈值相同。 本项为教学训练，不代替所在单位的正式要求。</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bookmarkStart w:id="239" w:name="chapter_39"/>
      <w:pPr>
        <w:pStyle w:val="Heading1"/>
      </w:pPr>
      <w:r>
        <w:t>第三十九章　讨论、结论与论文整体修改</w:t>
      </w:r>
      <w:bookmarkEnd w:id="239"/>
    </w:p>
    <w:p>
      <w:pPr>
        <w:pStyle w:val="Quote"/>
      </w:pPr>
      <w:r>
        <w:t>本章目标：掌握Discussion与Results的分工，能够把新结果放回既有知识中进行评价，解释研究的贡献和边界，并通过结构化审查完成论文的科学与语言修订。</w:t>
      </w:r>
    </w:p>
    <w:p>
      <w:pPr>
        <w:pStyle w:val="Heading2"/>
      </w:pPr>
      <w:r>
        <w:t>39.1 为什么论文有了结果，讨论仍然难写？</w:t>
      </w:r>
    </w:p>
    <w:p>
      <w:pPr>
        <w:jc w:val="both"/>
      </w:pPr>
      <w:r>
        <w:t>许多研究生已经完成数据分析、绘制主要图表，写Discussion时却不知道还能说什么，于是按图1、图2、图3的顺序再次复述所有结果，再用几句“具有重要科学意义”结束。这样一篇论文即使统计数字完全正确，读者也很难看出研究比已有工作多提供了什么知识，更无法判断作者是否理解研究的限制。</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39.2 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39.3 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39.4 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39.5 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39.6 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39.7 本章实践：完成一份可提交的论文讨论与修改报告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Pr>
        <w:jc w:val="both"/>
      </w:pPr>
      <w:r>
        <w:rPr>
          <w:b/>
        </w:rPr>
        <w:t>本章小结。</w:t>
      </w:r>
      <w:r>
        <w:t xml:space="preserve"> 好的Discussion不会把每项统计关联都包装为机制，也不会因为承认局限而失去价值。它让新结果进入已有知识体系，并使读者清楚知道研究真正做到了哪一步。</w:t>
      </w:r>
    </w:p>
    <w:p/>
    <w:p>
      <w:r>
        <w:br w:type="page"/>
      </w:r>
    </w:p>
    <w:p>
      <w:bookmarkStart w:id="240" w:name="chapter_40"/>
      <w:pPr>
        <w:pStyle w:val="Heading1"/>
      </w:pPr>
      <w:r>
        <w:t>第四十章　怎样投稿、回应审稿与处理学术出版问题？</w:t>
      </w:r>
      <w:bookmarkEnd w:id="240"/>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w:t>
      </w:r>
    </w:p>
    <w:p>
      <w:pPr>
        <w:jc w:val="both"/>
      </w:pPr>
      <w:r>
        <w:rPr>
          <w:b/>
        </w:rPr>
        <w:t>具体做法。</w:t>
      </w:r>
      <w:r>
        <w:t xml:space="preserve"> 把三条模拟审稿意见分成方法性问题、证据缺口和表达问题。核查数据泄漏时先检查实际脚本再决定是否重跑；若外部验证无法取得，就缩小不恰当的应用主张，并在回复信中说明修改位置。</w:t>
      </w:r>
    </w:p>
    <w:p>
      <w:pPr>
        <w:jc w:val="both"/>
      </w:pPr>
      <w:r>
        <w:rPr>
          <w:b/>
        </w:rPr>
        <w:t>验收作品。</w:t>
      </w:r>
      <w:r>
        <w:t xml:space="preserve"> 逐条审稿回复表和方法版本记录。 </w:t>
      </w:r>
      <w:r>
        <w:rPr>
          <w:b/>
        </w:rPr>
        <w:t>核验要点。</w:t>
      </w:r>
      <w:r>
        <w:t xml:space="preserve"> 审稿回应不得声称已经完成未实际执行的补充实验或分析。 本项为教学训练，不代替所在单位的正式要求。</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bookmarkStart w:id="108" w:name="part_8"/>
      <w:pPr>
        <w:pStyle w:val="Heading1"/>
      </w:pPr>
      <w:r>
        <w:t>第八编　真实科研生活：合作、伦理、AI与学术交流</w:t>
      </w:r>
      <w:bookmarkEnd w:id="108"/>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bookmarkStart w:id="241" w:name="chapter_41"/>
      <w:pPr>
        <w:pStyle w:val="Heading1"/>
      </w:pPr>
      <w:r>
        <w:t>第四十一章　科研诚信与学术伦理</w:t>
      </w:r>
      <w:bookmarkEnd w:id="241"/>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w:t>
      </w:r>
    </w:p>
    <w:p>
      <w:pPr>
        <w:jc w:val="both"/>
      </w:pPr>
      <w:r>
        <w:rPr>
          <w:b/>
        </w:rPr>
        <w:t>具体做法。</w:t>
      </w:r>
      <w:r>
        <w:t xml:space="preserve"> 对‘删除极端样本’‘向AI上传临床数据’‘投稿后发现代码错误’三个情境，分别写出已知事实、正式规则、必须保存的证据及正确沟通路径。核对作者贡献与数据使用授权，避免只依赖口头承诺。</w:t>
      </w:r>
    </w:p>
    <w:p>
      <w:pPr>
        <w:jc w:val="both"/>
      </w:pPr>
      <w:r>
        <w:rPr>
          <w:b/>
        </w:rPr>
        <w:t>验收作品。</w:t>
      </w:r>
      <w:r>
        <w:t xml:space="preserve"> 一份科研诚信判断与处理记录。 </w:t>
      </w:r>
      <w:r>
        <w:rPr>
          <w:b/>
        </w:rPr>
        <w:t>核验要点。</w:t>
      </w:r>
      <w:r>
        <w:t xml:space="preserve"> 重点检查真实记录、参与者权益和纠错路径，而不是用是否显著判断研究可靠性。 本项为教学训练，不代替所在单位的正式要求。</w:t>
      </w:r>
    </w:p>
    <w:p/>
    <w:p>
      <w:r>
        <w:br w:type="page"/>
      </w:r>
    </w:p>
    <w:p>
      <w:bookmarkStart w:id="242" w:name="chapter_42"/>
      <w:pPr>
        <w:pStyle w:val="Heading1"/>
      </w:pPr>
      <w:r>
        <w:t>第四十二章　怎样正确使用AI辅助科研？</w:t>
      </w:r>
      <w:bookmarkEnd w:id="242"/>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w:t>
      </w:r>
    </w:p>
    <w:p>
      <w:pPr>
        <w:jc w:val="both"/>
      </w:pPr>
      <w:r>
        <w:rPr>
          <w:b/>
        </w:rPr>
        <w:t>具体做法。</w:t>
      </w:r>
      <w:r>
        <w:t xml:space="preserve"> 用公开教学数据请AI生成一个统计脚本，独立检查分析单位、变量、代码输出与模型假设。再将AI生成的论文概括与原文逐句比较，标记虚构引用、遗漏限制和不当因果词。</w:t>
      </w:r>
    </w:p>
    <w:p>
      <w:pPr>
        <w:jc w:val="both"/>
      </w:pPr>
      <w:r>
        <w:rPr>
          <w:b/>
        </w:rPr>
        <w:t>验收作品。</w:t>
      </w:r>
      <w:r>
        <w:t xml:space="preserve"> AI使用日志、错误清单和修改后的脚本。 </w:t>
      </w:r>
      <w:r>
        <w:rPr>
          <w:b/>
        </w:rPr>
        <w:t>核验要点。</w:t>
      </w:r>
      <w:r>
        <w:t xml:space="preserve"> AI输出需有人工核验日志，未获许可的资料不得输入公共服务。 本项为教学训练，不代替所在单位的正式要求。</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bookmarkStart w:id="243" w:name="chapter_43"/>
      <w:pPr>
        <w:pStyle w:val="Heading1"/>
      </w:pPr>
      <w:r>
        <w:t>第四十三章　团队合作、学术署名与科研沟通</w:t>
      </w:r>
      <w:bookmarkEnd w:id="243"/>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w:t>
      </w:r>
    </w:p>
    <w:p>
      <w:pPr>
        <w:jc w:val="both"/>
      </w:pPr>
      <w:r>
        <w:rPr>
          <w:b/>
        </w:rPr>
        <w:t>具体做法。</w:t>
      </w:r>
      <w:r>
        <w:t xml:space="preserve"> 为一个五人合作项目列出角色、关键决策、交付物、实际贡献与待确认的署名原则。组织一次围绕变量字典与分析版本的模拟会议，写出不同专业人员对同一术语的解释差异。</w:t>
      </w:r>
    </w:p>
    <w:p>
      <w:pPr>
        <w:jc w:val="both"/>
      </w:pPr>
      <w:r>
        <w:rPr>
          <w:b/>
        </w:rPr>
        <w:t>验收作品。</w:t>
      </w:r>
      <w:r>
        <w:t xml:space="preserve"> 贡献记录表及版本化协作纪要。 </w:t>
      </w:r>
      <w:r>
        <w:rPr>
          <w:b/>
        </w:rPr>
        <w:t>核验要点。</w:t>
      </w:r>
      <w:r>
        <w:t xml:space="preserve"> 作者贡献必须能够用真实工作记录支撑，分歧应按适用机构程序处理。 本项为教学训练，不代替所在单位的正式要求。</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bookmarkStart w:id="244" w:name="chapter_44"/>
      <w:pPr>
        <w:pStyle w:val="Heading1"/>
      </w:pPr>
      <w:r>
        <w:t>第四十四章　学术汇报、组会与国际会议</w:t>
      </w:r>
      <w:bookmarkEnd w:id="244"/>
    </w:p>
    <w:p>
      <w:pPr>
        <w:pStyle w:val="Quote"/>
      </w:pPr>
      <w:r>
        <w:t>本章目标：能够针对不同听众和时间限制选择核心研究内容，制作可独立理解的科研图表，处理专业提问，并完成一次包含反馈与修订记录的模拟学术报告。</w:t>
      </w:r>
    </w:p>
    <w:p>
      <w:pPr>
        <w:pStyle w:val="Heading2"/>
      </w:pPr>
      <w:r>
        <w:t>44.1 为什么懂自己的研究，仍然可能讲不清楚？</w:t>
      </w:r>
    </w:p>
    <w:p>
      <w:pPr>
        <w:jc w:val="both"/>
      </w:pPr>
      <w:r>
        <w:t>研究生小周在实验室里工作了两年，熟悉主要代码、仪器和数据。第一次参加正式会议，他把整个项目的全部二十张图放进十五分钟报告，前十分钟都在讲背景和方法，最后三张关键结果只能匆忙翻过。听众虽然听到了不少专业术语，却不知道研究真正解决什么问题。</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44.2 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44.3 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44.4 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44.5 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44.6 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44.7 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44.8 本章实践：一次十五分钟报告的完整演练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Pr>
        <w:jc w:val="both"/>
      </w:pPr>
      <w:r>
        <w:rPr>
          <w:b/>
        </w:rPr>
        <w:t>本章小结。</w:t>
      </w:r>
      <w:r>
        <w:t xml:space="preserve"> 好的学术汇报让证据得到准确理解，也让研究者能够通过专业提问发现自己的盲点。表达清楚不是包装研究，而是对研究质量负责。</w:t>
      </w:r>
    </w:p>
    <w:p/>
    <w:p>
      <w:r>
        <w:br w:type="page"/>
      </w:r>
    </w:p>
    <w:p>
      <w:bookmarkStart w:id="245" w:name="chapter_45"/>
      <w:pPr>
        <w:pStyle w:val="Heading1"/>
      </w:pPr>
      <w:r>
        <w:t>第四十五章　如何管理科研项目与申请研究经费？</w:t>
      </w:r>
      <w:bookmarkEnd w:id="245"/>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w:t>
      </w:r>
    </w:p>
    <w:p>
      <w:pPr>
        <w:jc w:val="both"/>
      </w:pPr>
      <w:r>
        <w:rPr>
          <w:b/>
        </w:rPr>
        <w:t>具体做法。</w:t>
      </w:r>
      <w:r>
        <w:t xml:space="preserve"> 围绕一个小规模科研问题，建立研究任务、预算资源和交付成果的对应表。明确已具备与尚待落实的设备、样本或数据，再为最可能发生的三种技术或资源风险设计预警信号和替代方案。</w:t>
      </w:r>
    </w:p>
    <w:p>
      <w:pPr>
        <w:jc w:val="both"/>
      </w:pPr>
      <w:r>
        <w:rPr>
          <w:b/>
        </w:rPr>
        <w:t>验收作品。</w:t>
      </w:r>
      <w:r>
        <w:t xml:space="preserve"> 五页项目申请、预算依据与风险表。 </w:t>
      </w:r>
      <w:r>
        <w:rPr>
          <w:b/>
        </w:rPr>
        <w:t>核验要点。</w:t>
      </w:r>
      <w:r>
        <w:t xml:space="preserve"> 所有费用依据真实工作包测算，不能为了凑预算虚构样本或服务。 本项为教学训练，不代替所在单位的正式要求。</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bookmarkStart w:id="109" w:name="part_9"/>
      <w:pPr>
        <w:pStyle w:val="Heading1"/>
      </w:pPr>
      <w:r>
        <w:t>第九编　毕业与未来：完成学位，继续成长</w:t>
      </w:r>
      <w:bookmarkEnd w:id="109"/>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bookmarkStart w:id="246" w:name="chapter_46"/>
      <w:pPr>
        <w:pStyle w:val="Heading1"/>
      </w:pPr>
      <w:r>
        <w:t>第四十六章　硕士和博士阶段的关键里程碑</w:t>
      </w:r>
      <w:bookmarkEnd w:id="246"/>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w:t>
      </w:r>
    </w:p>
    <w:p>
      <w:pPr>
        <w:jc w:val="both"/>
      </w:pPr>
      <w:r>
        <w:rPr>
          <w:b/>
        </w:rPr>
        <w:t>具体做法。</w:t>
      </w:r>
      <w:r>
        <w:t xml:space="preserve"> 阅读本校适用培养方案和学位申请流程，将课程、开题、中期、学位论文和正式行政节点列入单独时间表。再为研究工作标注必要证据、负责人和实际依赖条件，建立正常、延迟及关键资源缺失三种计划。</w:t>
      </w:r>
    </w:p>
    <w:p>
      <w:pPr>
        <w:jc w:val="both"/>
      </w:pPr>
      <w:r>
        <w:rPr>
          <w:b/>
        </w:rPr>
        <w:t>验收作品。</w:t>
      </w:r>
      <w:r>
        <w:t xml:space="preserve"> 学位节点表和十二个月进度路线图。 </w:t>
      </w:r>
      <w:r>
        <w:rPr>
          <w:b/>
        </w:rPr>
        <w:t>核验要点。</w:t>
      </w:r>
      <w:r>
        <w:t xml:space="preserve"> 每一个截止日期必须可追溯到本年度正式文件，外部审稿不能当作确定可控事项。 本项为教学训练，不代替所在单位的正式要求。</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bookmarkStart w:id="247" w:name="chapter_47"/>
      <w:pPr>
        <w:pStyle w:val="Heading1"/>
      </w:pPr>
      <w:r>
        <w:t>第四十七章　如何写出一篇合格的学位论文？</w:t>
      </w:r>
      <w:bookmarkEnd w:id="247"/>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w:t>
      </w:r>
    </w:p>
    <w:p>
      <w:pPr>
        <w:jc w:val="both"/>
      </w:pPr>
      <w:r>
        <w:rPr>
          <w:b/>
        </w:rPr>
        <w:t>具体做法。</w:t>
      </w:r>
      <w:r>
        <w:t xml:space="preserve"> 把已完成的不同研究章节放入‘总体问题—研究方法—直接结果—局限’矩阵，检查它们是否共同回答一个学位问题。对照原始脚本、图表和Methods统一变量、样本量及统计数值，最后写出跨章节总体讨论。</w:t>
      </w:r>
    </w:p>
    <w:p>
      <w:pPr>
        <w:jc w:val="both"/>
      </w:pPr>
      <w:r>
        <w:rPr>
          <w:b/>
        </w:rPr>
        <w:t>验收作品。</w:t>
      </w:r>
      <w:r>
        <w:t xml:space="preserve"> 学位论文三级目录和总体讨论提纲。 </w:t>
      </w:r>
      <w:r>
        <w:rPr>
          <w:b/>
        </w:rPr>
        <w:t>核验要点。</w:t>
      </w:r>
      <w:r>
        <w:t xml:space="preserve"> 学位论文不是简单装订已发表文章；应清楚区分各章的共同贡献与矛盾。 本项为教学训练，不代替所在单位的正式要求。</w:t>
      </w:r>
    </w:p>
    <w:p/>
    <w:p>
      <w:r>
        <w:br w:type="page"/>
      </w:r>
    </w:p>
    <w:p>
      <w:bookmarkStart w:id="248" w:name="chapter_48"/>
      <w:pPr>
        <w:pStyle w:val="Heading1"/>
      </w:pPr>
      <w:r>
        <w:t>第四十八章　预答辩、送审与正式答辩</w:t>
      </w:r>
      <w:bookmarkEnd w:id="248"/>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w:t>
      </w:r>
    </w:p>
    <w:p>
      <w:pPr>
        <w:jc w:val="both"/>
      </w:pPr>
      <w:r>
        <w:rPr>
          <w:b/>
        </w:rPr>
        <w:t>具体做法。</w:t>
      </w:r>
      <w:r>
        <w:t xml:space="preserve"> 选择三至五项重要证据制作十八分钟模拟答辩，不必讲完所有探索性图表。请两位不同专业背景的同学追问样本量、方法、创新与因果边界，并将问题与论文具体章节和修订措施逐项对应。</w:t>
      </w:r>
    </w:p>
    <w:p>
      <w:pPr>
        <w:jc w:val="both"/>
      </w:pPr>
      <w:r>
        <w:rPr>
          <w:b/>
        </w:rPr>
        <w:t>验收作品。</w:t>
      </w:r>
      <w:r>
        <w:t xml:space="preserve"> 18分钟模拟答辩与逐项修改表。 </w:t>
      </w:r>
      <w:r>
        <w:rPr>
          <w:b/>
        </w:rPr>
        <w:t>核验要点。</w:t>
      </w:r>
      <w:r>
        <w:t xml:space="preserve"> 答辩后检查意见落实日志，确保没有用更自信的措辞替代实际的方法修正。 本项为教学训练，不代替所在单位的正式要求。</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bookmarkStart w:id="249" w:name="chapter_49"/>
      <w:pPr>
        <w:pStyle w:val="Heading1"/>
      </w:pPr>
      <w:r>
        <w:t>第四十九章　研究生毕业后有哪些发展方向？</w:t>
      </w:r>
      <w:bookmarkEnd w:id="249"/>
    </w:p>
    <w:p>
      <w:pPr>
        <w:pStyle w:val="Quote"/>
      </w:pPr>
      <w:r>
        <w:t>本章目标：理解研究生训练可以服务哪些不同职业，学会用真实工作和作品展示能力，区分学术简历与岗位简历，并为未来六个月制定可核验的职业探索计划。</w:t>
      </w:r>
    </w:p>
    <w:p>
      <w:pPr>
        <w:pStyle w:val="Heading2"/>
      </w:pPr>
      <w:r>
        <w:t>49.1 毕业以后，研究能力可以在哪里发挥作用？</w:t>
      </w:r>
    </w:p>
    <w:p>
      <w:pPr>
        <w:jc w:val="both"/>
      </w:pPr>
      <w:r>
        <w:t>研究生毕业并不只有继续读博士、进入高校或进入企业三种整齐的路线。不同专业的毕业生可能进入科研机构、研发团队、医学或工程技术岗位、科研管理、科学传播、出版、公共服务、数据治理和其他专业领域。具体职业准入要求因国家、地区、机构与岗位而异，不能因为取得某个名称的学位，就假定具备所有相关职业资格。</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49.2 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49.3 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49.4 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49.5 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49.6 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49.7 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49.8 本章实践：两份简历与一份六个月职业计划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Pr>
        <w:jc w:val="both"/>
      </w:pPr>
      <w:r>
        <w:rPr>
          <w:b/>
        </w:rPr>
        <w:t>本章小结。</w:t>
      </w:r>
      <w:r>
        <w:t xml:space="preserve"> 研究生教育为未来提供的，不应只是学历标签和论文列表，还包括理解复杂问题、取得可靠证据、开展专业合作与持续学习的能力。选择什么职业，应根据真实工作与个人条件判断，而不需要符合单一的成功模板。</w:t>
      </w:r>
    </w:p>
    <w:p/>
    <w:p>
      <w:r>
        <w:br w:type="page"/>
      </w:r>
    </w:p>
    <w:p>
      <w:bookmarkStart w:id="250" w:name="chapter_50"/>
      <w:pPr>
        <w:pStyle w:val="Heading1"/>
      </w:pPr>
      <w:r>
        <w:t>第五十章　从研究生到独立研究者：怎样持续成长？</w:t>
      </w:r>
      <w:bookmarkEnd w:id="250"/>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w:t>
      </w:r>
    </w:p>
    <w:p>
      <w:pPr>
        <w:jc w:val="both"/>
      </w:pPr>
      <w:r>
        <w:rPr>
          <w:b/>
        </w:rPr>
        <w:t>具体做法。</w:t>
      </w:r>
      <w:r>
        <w:t xml:space="preserve"> 写出五年后希望仍拥有的三项研究能力，为每项设定可以核查的作品或行为标准。回顾一个曾经修正错误的研究经历，写明最初判断、后来证据与改变理由，并约定一年后再次复盘。</w:t>
      </w:r>
    </w:p>
    <w:p>
      <w:pPr>
        <w:jc w:val="both"/>
      </w:pPr>
      <w:r>
        <w:rPr>
          <w:b/>
        </w:rPr>
        <w:t>验收作品。</w:t>
      </w:r>
      <w:r>
        <w:t xml:space="preserve"> 一封成长信、能力作品清单和科研原则声明。 </w:t>
      </w:r>
      <w:r>
        <w:rPr>
          <w:b/>
        </w:rPr>
        <w:t>核验要点。</w:t>
      </w:r>
      <w:r>
        <w:t xml:space="preserve"> 成长评价不能只依赖论文或职位数量，也应检查是否能够独立识别问题并诚实修订结论。 本项为教学训练，不代替所在单位的正式要求。</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headerReference w:type="default" r:id="rId9"/>
      <w:footerReference w:type="default" r:id="rId10"/>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869"/>
        <w:sz w:val="16"/>
      </w:rPr>
      <w:t>从读研到做研究 · 一心问道</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