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V2.1</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p>
      <w:r>
        <w:br w:type="page"/>
      </w:r>
    </w:p>
    <w:p>
      <w:pPr>
        <w:pStyle w:val="Heading1"/>
      </w:pPr>
      <w:r>
        <w:t>第二编　如何成为研究生：报考、申请与导师选择</w:t>
      </w:r>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pPr>
        <w:pStyle w:val="Heading1"/>
      </w:pPr>
      <w:r>
        <w:t>第三编　研究生入学第一年：完成身份转变</w:t>
      </w:r>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pPr>
        <w:pStyle w:val="Heading1"/>
      </w:pPr>
      <w:r>
        <w:t>第十一章　收到录取通知书以后，应该准备什么？</w:t>
      </w:r>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pPr>
        <w:pStyle w:val="Heading1"/>
      </w:pPr>
      <w:r>
        <w:t>第四编　学会阅读文献：从获取知识到形成判断</w:t>
      </w:r>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pPr>
        <w:pStyle w:val="Heading1"/>
      </w:pPr>
      <w:r>
        <w:t>第五编　科研选题与研究设计</w:t>
      </w:r>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p>
      <w:r>
        <w:br w:type="page"/>
      </w:r>
    </w:p>
    <w:p>
      <w:pPr>
        <w:pStyle w:val="Heading1"/>
      </w:pPr>
      <w:r>
        <w:t>第六编　科研实践与数据分析</w:t>
      </w:r>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p>
      <w:r>
        <w:br w:type="page"/>
      </w:r>
    </w:p>
    <w:p>
      <w:pPr>
        <w:pStyle w:val="Heading1"/>
      </w:pPr>
      <w:r>
        <w:t>第七编　学术写作与论文发表</w:t>
      </w:r>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pPr>
        <w:pStyle w:val="Heading1"/>
      </w:pPr>
      <w:r>
        <w:t>第八编　真实科研生活：合作、伦理、AI与学术交流</w:t>
      </w:r>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pPr>
        <w:pStyle w:val="Heading1"/>
      </w:pPr>
      <w:r>
        <w:t>第九编　毕业与未来：完成学位，继续成长</w:t>
      </w:r>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