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b/>
          <w:bCs/>
          <w:color w:val="3A5A78"/>
          <w:sz w:val="30"/>
          <w:szCs w:val="30"/>
        </w:rPr>
        <w:t xml:space="preserve">METODIKA VÝUKY</w:t>
      </w:r>
    </w:p>
    <w:p>
      <w:pPr>
        <w:spacing w:after="300"/>
      </w:pPr>
      <w:r>
        <w:rPr>
          <w:b/>
          <w:bCs/>
          <w:sz w:val="26"/>
          <w:szCs w:val="26"/>
        </w:rPr>
        <w:t xml:space="preserve">Předmět Serverové služby (Debian GNU/Linux) metodou Challenge Based Learning</w:t>
      </w:r>
    </w:p>
    <w:p>
      <w:pPr>
        <w:spacing w:after="60"/>
      </w:pPr>
      <w:r>
        <w:rPr>
          <w:color w:val="666666"/>
          <w:sz w:val="21"/>
          <w:szCs w:val="21"/>
        </w:rPr>
        <w:t xml:space="preserve">4. ročník střední školy · SPŠ elektrotechniky a informatiky, Ostrava</w:t>
      </w:r>
    </w:p>
    <w:p>
      <w:pPr>
        <w:spacing w:after="60"/>
      </w:pPr>
      <w:r>
        <w:rPr>
          <w:color w:val="666666"/>
          <w:sz w:val="21"/>
          <w:szCs w:val="21"/>
        </w:rPr>
        <w:t xml:space="preserve">Školní rok 2025/2026 · Předmět SES, 60 vyučovacích hodin</w:t>
      </w:r>
    </w:p>
    <w:p>
      <w:pPr>
        <w:spacing w:after="500"/>
      </w:pPr>
      <w:r>
        <w:rPr>
          <w:i/>
          <w:iCs/>
          <w:color w:val="666666"/>
          <w:sz w:val="20"/>
          <w:szCs w:val="20"/>
        </w:rPr>
        <w:t xml:space="preserve">Úkol 1 projektu Edu-Linux: ujasnění metody výuky a návrh jednotné metodické šablony pro kapitoly ve formátu HTML</w:t>
      </w:r>
    </w:p>
    <w:p>
      <w:pPr>
        <w:pStyle w:val="Heading2"/>
        <w:spacing w:after="160" w:before="320"/>
      </w:pPr>
      <w:r>
        <w:t xml:space="preserve">0. Účel dokumentu</w:t>
      </w:r>
    </w:p>
    <w:p>
      <w:pPr>
        <w:spacing w:after="160" w:line="300"/>
      </w:pPr>
      <w:r>
        <w:t xml:space="preserve">Tento dokument vzniká jako první krok projektu Edu-Linux – přípravy interaktivních výukových aplikací GNU/Linux Debian pro žáky 4. ročníku. Než se začnou tvořit jednotlivé kapitoly v samostatných HTML souborech, je potřeba ujasnit a písemně ukotvit vyučovací metodu, kterou budou všechny kapitoly jednotně sledovat.</w:t>
      </w:r>
    </w:p>
    <w:p>
      <w:pPr>
        <w:spacing w:after="160" w:line="300"/>
      </w:pPr>
      <w:r>
        <w:t xml:space="preserve">Dokument má tři funkce: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vysvětlit princip Challenge Based Learning (CBL) a proč se hodí pro výuku správy serverů,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navrhnout, jak se CBL napojí na existující tematický plán předmětu SES (soubor SES_2025_26_linux.docx, 11 témat, 60 hodin) a na výstupy ŠVP (kap. 6.17 Operační systémy),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stanovit jednotnou metodickou šablonu, podle které se budou stavět všechny další HTML kapitoly, včetně hodnoticího rámce a pravidel pro ověřování zdrojů.</w:t>
      </w:r>
    </w:p>
    <w:p>
      <w:pPr>
        <w:spacing w:after="160" w:line="300"/>
      </w:pPr>
      <w:r>
        <w:t xml:space="preserve">Slouží jako referenční dokument pro všechny navazující kroky projektu – při tvorbě každé kapitoly se bude vycházet z kapitol 4–7.</w:t>
      </w:r>
    </w:p>
    <w:p>
      <w:pPr>
        <w:pStyle w:val="Heading2"/>
        <w:spacing w:after="160" w:before="320"/>
      </w:pPr>
      <w:r>
        <w:t xml:space="preserve">1. Rámec Challenge Based Learning</w:t>
      </w:r>
    </w:p>
    <w:p>
      <w:pPr>
        <w:spacing w:after="160" w:line="300"/>
      </w:pPr>
      <w:r>
        <w:t xml:space="preserve">Challenge Based Learning (CBL) je metodika navržená původně týmem Apple Education a dnes rozvíjená mj. organizací Digital Promise a Challenge Institute. Staví žáky do role řešitelů reálného problému – nikoli pasivních příjemců výkladu. Rámec má tři hlavní fáze a jednu průběžnou činnost:</w:t>
      </w:r>
    </w:p>
    <w:p>
      <w:pPr>
        <w:pStyle w:val="Heading3"/>
        <w:spacing w:after="120" w:before="240"/>
      </w:pPr>
      <w:r>
        <w:t xml:space="preserve">1.1 ENGAGE – Zapojení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Big Idea (velká myšlenka) – široké téma s více možnostmi zkoumání (např. „spolehlivá infrastruktura“).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Essential Question (klíčová otázka) – z Big Idea vzniká jedna zaměřená otázka s reálnou relevancí.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Challenge (výzva) – klíčová otázka se promění ve výzvu k činu, konkrétní a proveditelný úkol.</w:t>
      </w:r>
    </w:p>
    <w:p>
      <w:pPr>
        <w:pStyle w:val="Heading3"/>
        <w:spacing w:after="120" w:before="240"/>
      </w:pPr>
      <w:r>
        <w:t xml:space="preserve">1.2 INVESTIGATE – Zkoumání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Guiding Questions (badatelské otázky) – rozpracují výzvu do dílčích otázek, které je potřeba zodpovědět.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Guiding Activities/Resources (vodicí činnosti a zdroje) – ověřené materiály, dokumentace, cvičení, experimenty, které žákům umožní badatelské otázky zodpovědět.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Synthesis (syntéza) – žáci vyhodnotí nasbírané poznatky, najdou souvislosti a shrnou zjištění.</w:t>
      </w:r>
    </w:p>
    <w:p>
      <w:pPr>
        <w:pStyle w:val="Heading3"/>
        <w:spacing w:after="120" w:before="240"/>
      </w:pPr>
      <w:r>
        <w:t xml:space="preserve">1.3 ACT – Jednání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Solution Concept (návrh řešení) – první koncept, jak výzvu splnit.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Solution Development (vývoj řešení) – žáci sestaví a otestují funkční řešení, iterativně ho ladí.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Implementation &amp; Evaluation (nasazení a vyhodnocení) – řešení se skutečně nasadí a posoudí se jeho funkčnost a dopad.</w:t>
      </w:r>
    </w:p>
    <w:p>
      <w:pPr>
        <w:pStyle w:val="Heading3"/>
        <w:spacing w:after="120" w:before="240"/>
      </w:pPr>
      <w:r>
        <w:t xml:space="preserve">1.4 Průběžně: Reflect, Document &amp; Share</w:t>
      </w:r>
    </w:p>
    <w:p>
      <w:pPr>
        <w:spacing w:after="160" w:line="300"/>
      </w:pPr>
      <w:r>
        <w:t xml:space="preserve">Po celou dobu žáci průběžně dokumentují postup (screenshoty, konfigurační soubory, poznámky) a reflektují, co fungovalo a co ne. Dokumentace je zároveň důkazním portfoliem pro hodnocení.</w:t>
      </w:r>
    </w:p>
    <w:r>
      <w:rPr>
        <w:i/>
        <w:iCs/>
        <w:color w:val="666666"/>
      </w:rPr>
      <w:t xml:space="preserve">Zdroj rámce: Challenge Based Learning – challengebasedlearning.org/framework a Digital Promise (digitalpromise.org). Autorský CBL Guide (2016) je k dispozici na challengebasedlearning.org.</w:t>
    </w:r>
    <w:p>
      <w:pPr>
        <w:pStyle w:val="Heading2"/>
        <w:spacing w:after="160" w:before="320"/>
      </w:pPr>
      <w:r>
        <w:t xml:space="preserve">2. Proč CBL pro výuku serverových služeb</w:t>
      </w:r>
    </w:p>
    <w:p>
      <w:pPr>
        <w:spacing w:after="160" w:line="300"/>
      </w:pPr>
      <w:r>
        <w:t xml:space="preserve">Obor „správa serveru“ je ze své podstaty úkolový – administrátor v praxi nikdy nedostane zadání „nastuduj DNS“, ale „zajisti, aby se uživatelé v síti dohledali podle jména“. CBL tuto logiku respektuje a zároveň se přímo kryje s výchovnými a vzdělávacími strategiemi, které škola už deklaruje ve vlastním ŠVP u tematického celku Operační/Serverové systémy: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Kompetence k učení – aktivní vyhledávání a kritické hodnocení odborných zdrojů → fáze INVESTIGATE.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Kompetence k řešení problémů – logické a analytické myšlení, diagnostické nástroje → fáze ACT.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Komunikativní kompetence – obhajoba vlastních řešení, práce s odbornou terminologií → Reflect &amp; Share.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Personální a sociální kompetence – týmová spolupráce, respekt k řešení druhých → týmové výzvy v INVESTIGATE/ACT.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Digitální kompetence – efektivní využívání technologií, kritické posouzení digitálního obsahu → ověřování zdrojů (kap. 7).</w:t>
      </w:r>
    </w:p>
    <w:p>
      <w:pPr>
        <w:spacing w:after="160" w:line="300"/>
      </w:pPr>
      <w:r>
        <w:t xml:space="preserve">CBL tedy není „metoda navíc“, ale způsob, jak výstupy ŠVP naplnit smysluplněji než klasickým výkladem – a jak zároveň propojit 11 samostatných témat tematického plánu do jednoho smysluplného celoročního příběhu.</w:t>
      </w:r>
    </w:p>
    <w:p>
      <w:pPr>
        <w:pStyle w:val="Heading2"/>
        <w:spacing w:after="160" w:before="320"/>
      </w:pPr>
      <w:r>
        <w:t xml:space="preserve">3. Dvouúrovňová architektura kurzu</w:t>
      </w:r>
    </w:p>
    <w:p>
      <w:pPr>
        <w:spacing w:after="160" w:line="300"/>
      </w:pPr>
      <w:r>
        <w:t xml:space="preserve">Aby žáci nevnímali 60 hodin jako 11 oddělených okruhů, navrhuje se CBL struktura ve dvou úrovních: jedna celoroční „velká výzva“ (Master Challenge), do které se postupně skládají menší výzvy jednotlivých témat. Poslední téma tematického plánu – 1.11 Samostatná práce (8 h) – se stává přirozeným finále: fází ACT celoroční výzvy, kde se všechny dílčí výstupy zkompletují do jedné funkční infrastruktury.</w:t>
      </w:r>
    </w:p>
    <w:p>
      <w:pPr>
        <w:pStyle w:val="Heading3"/>
        <w:spacing w:after="120" w:before="240"/>
      </w:pPr>
      <w:r>
        <w:t xml:space="preserve">3.1 Celoroční rámec (Master Challenge)</w:t>
      </w:r>
    </w:p>
    <w:p>
      <w:pPr>
        <w:spacing w:after="120" w:line="300"/>
      </w:pPr>
      <w:r>
        <w:rPr>
          <w:b/>
          <w:bCs/>
          <w:color w:val="3A5A78"/>
        </w:rPr>
        <w:t xml:space="preserve">Big Idea: </w:t>
      </w:r>
      <w:r>
        <w:t xml:space="preserve">Spolehlivá digitální infrastruktura.</w:t>
      </w:r>
    </w:p>
    <w:p>
      <w:pPr>
        <w:spacing w:after="120" w:line="300"/>
      </w:pPr>
      <w:r>
        <w:rPr>
          <w:b/>
          <w:bCs/>
          <w:color w:val="3A5A78"/>
        </w:rPr>
        <w:t xml:space="preserve">Essential Question: </w:t>
      </w:r>
      <w:r>
        <w:t xml:space="preserve">Jak navrhnout a provozovat síťovou infrastrukturu, na kterou se uživatelé mohou spolehnout – dostupnou, bezpečnou a snadno spravovatelnou?</w:t>
      </w:r>
    </w:p>
    <w:p>
      <w:pPr>
        <w:spacing w:after="120" w:line="300"/>
      </w:pPr>
      <w:r>
        <w:rPr>
          <w:b/>
          <w:bCs/>
          <w:color w:val="3A5A78"/>
        </w:rPr>
        <w:t xml:space="preserve">Challenge: </w:t>
      </w:r>
      <w:r>
        <w:t xml:space="preserve">Jako tým IT správců naplánujte, postupně nasaďte a nakonec předveďte funkční serverovou infrastrukturu (síť, jmenné služby, přidělování adres, vzdálený přístup, web, soubory) pro fiktivní organizaci „Škola X“ – tak, aby ji na konci roku mohl bez problémů převzít jiný správce.</w:t>
      </w:r>
    </w:p>
    <w:p>
      <w:pPr>
        <w:spacing w:after="160" w:line="300"/>
      </w:pPr>
      <w:r>
        <w:t xml:space="preserve">Tato výzva se zadá hned v úvodní hodině (1.1) jako „karta výzvy“ a zůstává viditelná po celý rok – každá další kapitola na ni v úvodu (fáze ENGAGE) odkazuje a ukazuje, jakou částí infrastruktury se právě zabývá.</w:t>
      </w:r>
    </w:p>
    <w:p>
      <w:pPr>
        <w:pStyle w:val="Heading3"/>
        <w:spacing w:after="120" w:before="240"/>
      </w:pPr>
      <w:r>
        <w:t xml:space="preserve">3.2 Vnořené jednotkové cykly</w:t>
      </w:r>
    </w:p>
    <w:p>
      <w:pPr>
        <w:spacing w:after="160" w:line="300"/>
      </w:pPr>
      <w:r>
        <w:t xml:space="preserve">Každé z devíti obsahových témat (1.2–1.10) je samostatný, menší CBL cyklus (vlastní Essential Question, Challenge, Guiding Questions/Activities, Solution) – ale jeho výstup (artefakt) se stává stavebním kamenem finální infrastruktury z Master Challenge. Téma 1.11 pak funguje jako sdílená fáze ACT/Evaluate pro celý rok.</w:t>
      </w:r>
    </w:p>
    <w:p>
      <w:pPr>
        <w:pStyle w:val="Heading3"/>
        <w:spacing w:after="120" w:before="240"/>
      </w:pPr>
      <w:r>
        <w:t xml:space="preserve">3.3 Mapování témat tematického plánu na CBL jednotky</w:t>
      </w:r>
    </w:p>
    <w:p>
      <w:pPr>
        <w:spacing w:after="160" w:line="300"/>
      </w:pPr>
      <w:r>
        <w:t xml:space="preserve">Tabulka převádí všech 11 položek tematického plánu SES 2025/26 na CBL strukturu. Časové dotace odpovídají originálnímu plánu (celkem 60 hodin).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550"/>
        <w:gridCol w:w="450"/>
        <w:gridCol w:w="2200"/>
        <w:gridCol w:w="2350"/>
        <w:gridCol w:w="2300"/>
      </w:tblGrid>
      <w:tr>
        <w:trPr>
          <w:tblHeader/>
        </w:trPr>
        <w:tc>
          <w:tcPr>
            <w:tcW w:type="dxa" w:w="450"/>
            <w:shd w:fill="3A5A78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Č.</w:t>
            </w:r>
          </w:p>
        </w:tc>
        <w:tc>
          <w:tcPr>
            <w:tcW w:type="dxa" w:w="1550"/>
            <w:shd w:fill="3A5A78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Téma (dle tem. plánu SES)</w:t>
            </w:r>
          </w:p>
        </w:tc>
        <w:tc>
          <w:tcPr>
            <w:tcW w:type="dxa" w:w="450"/>
            <w:shd w:fill="3A5A78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Hod.</w:t>
            </w:r>
          </w:p>
        </w:tc>
        <w:tc>
          <w:tcPr>
            <w:tcW w:type="dxa" w:w="2200"/>
            <w:shd w:fill="3A5A78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Essential Question jednotky</w:t>
            </w:r>
          </w:p>
        </w:tc>
        <w:tc>
          <w:tcPr>
            <w:tcW w:type="dxa" w:w="2350"/>
            <w:shd w:fill="3A5A78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Challenge (scénář)</w:t>
            </w:r>
          </w:p>
        </w:tc>
        <w:tc>
          <w:tcPr>
            <w:tcW w:type="dxa" w:w="2300"/>
            <w:shd w:fill="3A5A78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Artefakt do Master Challenge</w:t>
            </w:r>
          </w:p>
        </w:tc>
      </w:tr>
      <w:tr>
        <w:tc>
          <w:tcPr>
            <w:tcW w:type="dxa" w:w="4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1.1</w:t>
            </w:r>
          </w:p>
        </w:tc>
        <w:tc>
          <w:tcPr>
            <w:tcW w:type="dxa" w:w="15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Úvod do serverových služeb</w:t>
            </w:r>
          </w:p>
        </w:tc>
        <w:tc>
          <w:tcPr>
            <w:tcW w:type="dxa" w:w="4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2 h</w:t>
            </w:r>
          </w:p>
        </w:tc>
        <w:tc>
          <w:tcPr>
            <w:tcW w:type="dxa" w:w="22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Co všechno „server“ vlastně dělá a proč na tom záleží?</w:t>
            </w:r>
          </w:p>
        </w:tc>
        <w:tc>
          <w:tcPr>
            <w:tcW w:type="dxa" w:w="23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Zmapujte, jaké digitální služby organizace typu „škola“ potřebuje, a navrhněte hrubou kostru řešení (topologii).</w:t>
            </w:r>
          </w:p>
        </w:tc>
        <w:tc>
          <w:tcPr>
            <w:tcW w:type="dxa" w:w="23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Úvodní návrh topologie – výchozí bod Master Challenge</w:t>
            </w:r>
          </w:p>
        </w:tc>
      </w:tr>
      <w:tr>
        <w:tc>
          <w:tcPr>
            <w:tcW w:type="dxa" w:w="4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1.2</w:t>
            </w:r>
          </w:p>
        </w:tc>
        <w:tc>
          <w:tcPr>
            <w:tcW w:type="dxa" w:w="15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Instalace a konfigurace OS (balíčky, root/sudo, GRUB)</w:t>
            </w:r>
          </w:p>
        </w:tc>
        <w:tc>
          <w:tcPr>
            <w:tcW w:type="dxa" w:w="4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8 h</w:t>
            </w:r>
          </w:p>
        </w:tc>
        <w:tc>
          <w:tcPr>
            <w:tcW w:type="dxa" w:w="22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Jak připravit stabilní a bezpečně přístupný základ serveru?</w:t>
            </w:r>
          </w:p>
        </w:tc>
        <w:tc>
          <w:tcPr>
            <w:tcW w:type="dxa" w:w="23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Nainstalujte a zabezpečte Debian server (účty, sudo, zavaděč) tak, aby byl připraven pro nasazení dalších služeb.</w:t>
            </w:r>
          </w:p>
        </w:tc>
        <w:tc>
          <w:tcPr>
            <w:tcW w:type="dxa" w:w="23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Zabezpečený, provozuschopný serverový OS</w:t>
            </w:r>
          </w:p>
        </w:tc>
      </w:tr>
      <w:tr>
        <w:tc>
          <w:tcPr>
            <w:tcW w:type="dxa" w:w="4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1.3</w:t>
            </w:r>
          </w:p>
        </w:tc>
        <w:tc>
          <w:tcPr>
            <w:tcW w:type="dxa" w:w="15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Konfigurace síťového rozhraní</w:t>
            </w:r>
          </w:p>
        </w:tc>
        <w:tc>
          <w:tcPr>
            <w:tcW w:type="dxa" w:w="4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6 h</w:t>
            </w:r>
          </w:p>
        </w:tc>
        <w:tc>
          <w:tcPr>
            <w:tcW w:type="dxa" w:w="22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Jak propojit servery a klienty do funkční sítě?</w:t>
            </w:r>
          </w:p>
        </w:tc>
        <w:tc>
          <w:tcPr>
            <w:tcW w:type="dxa" w:w="23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Nakonfigurujte statické síťové rozhraní a propojte virtuální stroje do společné sítě s přístupem k internetu.</w:t>
            </w:r>
          </w:p>
        </w:tc>
        <w:tc>
          <w:tcPr>
            <w:tcW w:type="dxa" w:w="23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Funkční síťové propojení serverů a klientů</w:t>
            </w:r>
          </w:p>
        </w:tc>
      </w:tr>
      <w:tr>
        <w:tc>
          <w:tcPr>
            <w:tcW w:type="dxa" w:w="4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1.4</w:t>
            </w:r>
          </w:p>
        </w:tc>
        <w:tc>
          <w:tcPr>
            <w:tcW w:type="dxa" w:w="15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Služby a procesy, systemd</w:t>
            </w:r>
          </w:p>
        </w:tc>
        <w:tc>
          <w:tcPr>
            <w:tcW w:type="dxa" w:w="4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6 h</w:t>
            </w:r>
          </w:p>
        </w:tc>
        <w:tc>
          <w:tcPr>
            <w:tcW w:type="dxa" w:w="22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Jak zjistit, co server dělá, a spolehlivě to řídit?</w:t>
            </w:r>
          </w:p>
        </w:tc>
        <w:tc>
          <w:tcPr>
            <w:tcW w:type="dxa" w:w="23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Zdiagnostikujte běžící procesy a nastavte vybranou službu, aby se spouštěla automaticky a spolehlivě přes systemd.</w:t>
            </w:r>
          </w:p>
        </w:tc>
        <w:tc>
          <w:tcPr>
            <w:tcW w:type="dxa" w:w="23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Zdokumentovaná správa služeb (systemd jednotky)</w:t>
            </w:r>
          </w:p>
        </w:tc>
      </w:tr>
      <w:tr>
        <w:tc>
          <w:tcPr>
            <w:tcW w:type="dxa" w:w="4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1.5</w:t>
            </w:r>
          </w:p>
        </w:tc>
        <w:tc>
          <w:tcPr>
            <w:tcW w:type="dxa" w:w="15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DNS (Bind9)</w:t>
            </w:r>
          </w:p>
        </w:tc>
        <w:tc>
          <w:tcPr>
            <w:tcW w:type="dxa" w:w="4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6 h</w:t>
            </w:r>
          </w:p>
        </w:tc>
        <w:tc>
          <w:tcPr>
            <w:tcW w:type="dxa" w:w="22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Jak zajistit, aby se uživatelé i služby v síti našli podle jména?</w:t>
            </w:r>
          </w:p>
        </w:tc>
        <w:tc>
          <w:tcPr>
            <w:tcW w:type="dxa" w:w="23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Nasaďte DNS server pro doménu organizace včetně zónových souborů (master/slave).</w:t>
            </w:r>
          </w:p>
        </w:tc>
        <w:tc>
          <w:tcPr>
            <w:tcW w:type="dxa" w:w="23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Funkční DNS server organizace</w:t>
            </w:r>
          </w:p>
        </w:tc>
      </w:tr>
      <w:tr>
        <w:tc>
          <w:tcPr>
            <w:tcW w:type="dxa" w:w="4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1.6</w:t>
            </w:r>
          </w:p>
        </w:tc>
        <w:tc>
          <w:tcPr>
            <w:tcW w:type="dxa" w:w="15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DHCP server a klient</w:t>
            </w:r>
          </w:p>
        </w:tc>
        <w:tc>
          <w:tcPr>
            <w:tcW w:type="dxa" w:w="4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4 h</w:t>
            </w:r>
          </w:p>
        </w:tc>
        <w:tc>
          <w:tcPr>
            <w:tcW w:type="dxa" w:w="22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Jak automatizovat přidělování síťové identity desítkám zařízení?</w:t>
            </w:r>
          </w:p>
        </w:tc>
        <w:tc>
          <w:tcPr>
            <w:tcW w:type="dxa" w:w="23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Nakonfigurujte DHCP server s rezervacemi adres pro klíčová zařízení sítě.</w:t>
            </w:r>
          </w:p>
        </w:tc>
        <w:tc>
          <w:tcPr>
            <w:tcW w:type="dxa" w:w="23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Funkční DHCP server integrovaný do sítě</w:t>
            </w:r>
          </w:p>
        </w:tc>
      </w:tr>
      <w:tr>
        <w:tc>
          <w:tcPr>
            <w:tcW w:type="dxa" w:w="4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1.7</w:t>
            </w:r>
          </w:p>
        </w:tc>
        <w:tc>
          <w:tcPr>
            <w:tcW w:type="dxa" w:w="15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FTP služba</w:t>
            </w:r>
          </w:p>
        </w:tc>
        <w:tc>
          <w:tcPr>
            <w:tcW w:type="dxa" w:w="4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2 h</w:t>
            </w:r>
          </w:p>
        </w:tc>
        <w:tc>
          <w:tcPr>
            <w:tcW w:type="dxa" w:w="22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Jak bezpečně sdílet soubory se vzdálenými uživateli?</w:t>
            </w:r>
          </w:p>
        </w:tc>
        <w:tc>
          <w:tcPr>
            <w:tcW w:type="dxa" w:w="23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Zprovozněte FTP službu pro výměnu souborů se zvolenou úrovní zabezpečení.</w:t>
            </w:r>
          </w:p>
        </w:tc>
        <w:tc>
          <w:tcPr>
            <w:tcW w:type="dxa" w:w="23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Funkční souborová výměnná služba</w:t>
            </w:r>
          </w:p>
        </w:tc>
      </w:tr>
      <w:tr>
        <w:tc>
          <w:tcPr>
            <w:tcW w:type="dxa" w:w="4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1.8</w:t>
            </w:r>
          </w:p>
        </w:tc>
        <w:tc>
          <w:tcPr>
            <w:tcW w:type="dxa" w:w="15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SSH, certifikáty, scp/sftp</w:t>
            </w:r>
          </w:p>
        </w:tc>
        <w:tc>
          <w:tcPr>
            <w:tcW w:type="dxa" w:w="4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6 h</w:t>
            </w:r>
          </w:p>
        </w:tc>
        <w:tc>
          <w:tcPr>
            <w:tcW w:type="dxa" w:w="22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Jak spravovat server na dálku a přitom ho neohrozit?</w:t>
            </w:r>
          </w:p>
        </w:tc>
        <w:tc>
          <w:tcPr>
            <w:tcW w:type="dxa" w:w="23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Nastavte SSH s autentizací klíčem/certifikátem a bezpečný vzdálený přístup ke všem serverům.</w:t>
            </w:r>
          </w:p>
        </w:tc>
        <w:tc>
          <w:tcPr>
            <w:tcW w:type="dxa" w:w="23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Zabezpečený vzdálený přístup k celé infrastruktuře</w:t>
            </w:r>
          </w:p>
        </w:tc>
      </w:tr>
      <w:tr>
        <w:tc>
          <w:tcPr>
            <w:tcW w:type="dxa" w:w="4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1.9</w:t>
            </w:r>
          </w:p>
        </w:tc>
        <w:tc>
          <w:tcPr>
            <w:tcW w:type="dxa" w:w="15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Webový server, SQL, phpMyAdmin</w:t>
            </w:r>
          </w:p>
        </w:tc>
        <w:tc>
          <w:tcPr>
            <w:tcW w:type="dxa" w:w="4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6 h</w:t>
            </w:r>
          </w:p>
        </w:tc>
        <w:tc>
          <w:tcPr>
            <w:tcW w:type="dxa" w:w="22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Jak zpřístupnit obsah a aplikace organizace na webu?</w:t>
            </w:r>
          </w:p>
        </w:tc>
        <w:tc>
          <w:tcPr>
            <w:tcW w:type="dxa" w:w="23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Nasaďte Apache, SQL server a phpMyAdmin včetně virtuálního hostingu pro dvě domény.</w:t>
            </w:r>
          </w:p>
        </w:tc>
        <w:tc>
          <w:tcPr>
            <w:tcW w:type="dxa" w:w="23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Funkční webová a databázová služba</w:t>
            </w:r>
          </w:p>
        </w:tc>
      </w:tr>
      <w:tr>
        <w:tc>
          <w:tcPr>
            <w:tcW w:type="dxa" w:w="4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1.10</w:t>
            </w:r>
          </w:p>
        </w:tc>
        <w:tc>
          <w:tcPr>
            <w:tcW w:type="dxa" w:w="15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Souborové systémy, diskový subsystém, zálohování</w:t>
            </w:r>
          </w:p>
        </w:tc>
        <w:tc>
          <w:tcPr>
            <w:tcW w:type="dxa" w:w="4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6 h</w:t>
            </w:r>
          </w:p>
        </w:tc>
        <w:tc>
          <w:tcPr>
            <w:tcW w:type="dxa" w:w="22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Jak ochránit data organizace před ztrátou?</w:t>
            </w:r>
          </w:p>
        </w:tc>
        <w:tc>
          <w:tcPr>
            <w:tcW w:type="dxa" w:w="235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Navrhněte diskové oddíly, přístupová práva a zálohovací strategii pro data organizace.</w:t>
            </w:r>
          </w:p>
        </w:tc>
        <w:tc>
          <w:tcPr>
            <w:tcW w:type="dxa" w:w="23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Zabezpečená a zálohovaná datová vrstva</w:t>
            </w:r>
          </w:p>
        </w:tc>
      </w:tr>
      <w:tr>
        <w:tc>
          <w:tcPr>
            <w:tcW w:type="dxa" w:w="4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1.11</w:t>
            </w:r>
          </w:p>
        </w:tc>
        <w:tc>
          <w:tcPr>
            <w:tcW w:type="dxa" w:w="15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Samostatná práce (finále – fáze ACT)</w:t>
            </w:r>
          </w:p>
        </w:tc>
        <w:tc>
          <w:tcPr>
            <w:tcW w:type="dxa" w:w="4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8 h</w:t>
            </w:r>
          </w:p>
        </w:tc>
        <w:tc>
          <w:tcPr>
            <w:tcW w:type="dxa" w:w="22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Funguje výsledná infrastruktura jako celek – a dokázali bychom ji předat dál?</w:t>
            </w:r>
          </w:p>
        </w:tc>
        <w:tc>
          <w:tcPr>
            <w:tcW w:type="dxa" w:w="235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Zkompletujte, otestujte a zdokumentujte celou infrastrukturu tak, aby ji převzal jiný správce; obhajte svá řešení před třídou.</w:t>
            </w:r>
          </w:p>
        </w:tc>
        <w:tc>
          <w:tcPr>
            <w:tcW w:type="dxa" w:w="23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Kompletní, předatelná serverová infrastruktura + dokumentace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t xml:space="preserve">4. Šablona jednotkového CBL cyklu</w:t>
      </w:r>
    </w:p>
    <w:p>
      <w:pPr>
        <w:spacing w:after="160" w:line="300"/>
      </w:pPr>
      <w:r>
        <w:t xml:space="preserve">Každé téma 1.2–1.10 (a analogicky i 1.1 a 1.11) prochází stejným sledem kroků. Tento cyklus je pedagogickým jádrem – šablona v kapitole 5 z něj odvozuje strukturu HTML souboru.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ENGAGE – připomenutí Big Idea, uvedení do role (krátký scénář „zadání od vedení školy X“), formulace Essential Question a Challenge jednotky.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INVESTIGATE – badatelské otázky (Guiding Questions), teorie a ověřené zdroje k nastudování (Guiding Resources), praktická cvičení na virtuálním Debianu (Guiding Activities).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SYNTHESIS – krátké shrnutí/sebekontrola (např. 4–6 kontrolních otázek nebo srovnávací tabulka), než žák přejde k samotnému řešení.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ACT – Solution: konkrétní laboratorní úkol s jasným zadáním a akceptačními kritérii; Implementation: žák úkol reálně provede na svém serveru; Evaluation: žák (a učitel) posoudí výsledek podle rubriky (kap. 6).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REFLECT &amp; DOCUMENT – žák zaznamená postup a poznatky do portfolia a stručně reflektuje, jak výstup zapadá do celkové infrastruktury Master Challenge.</w:t>
      </w:r>
    </w:p>
    <w:p>
      <w:pPr>
        <w:pStyle w:val="Heading2"/>
        <w:spacing w:after="160" w:before="320"/>
      </w:pPr>
      <w:r>
        <w:t xml:space="preserve">5. Jednotná metodická šablona HTML kapitoly</w:t>
      </w:r>
    </w:p>
    <w:p>
      <w:pPr>
        <w:spacing w:after="160" w:line="300"/>
      </w:pPr>
      <w:r>
        <w:t xml:space="preserve">Toto je závazná struktura, kterou bude dodržovat každý samostatný HTML soubor kapitoly (jedna kapitola = jedna jednotka z tabulky v kap. 3.3). Cílem je, aby žák po pár kapitolách věděl, „kde co najde“, bez ohledu na téma.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00"/>
        <w:gridCol w:w="2100"/>
      </w:tblGrid>
      <w:tr>
        <w:trPr>
          <w:tblHeader/>
        </w:trPr>
        <w:tc>
          <w:tcPr>
            <w:tcW w:type="dxa" w:w="2100"/>
            <w:shd w:fill="3A5A78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Sekce HTML souboru</w:t>
            </w:r>
          </w:p>
        </w:tc>
        <w:tc>
          <w:tcPr>
            <w:tcW w:type="dxa" w:w="5000"/>
            <w:shd w:fill="3A5A78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Obsah</w:t>
            </w:r>
          </w:p>
        </w:tc>
        <w:tc>
          <w:tcPr>
            <w:tcW w:type="dxa" w:w="2100"/>
            <w:shd w:fill="3A5A78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Fáze CBL</w:t>
            </w:r>
          </w:p>
        </w:tc>
      </w:tr>
      <w:tr>
        <w:tc>
          <w:tcPr>
            <w:tcW w:type="dxa" w:w="21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Hlavička</w:t>
            </w:r>
          </w:p>
        </w:tc>
        <w:tc>
          <w:tcPr>
            <w:tcW w:type="dxa" w:w="50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Název kapitoly, číslo tématu z tem. plánu, časová dotace, zen ikona SVG (téma jedním symbolem), odkaz zpět na „mapu infrastruktury“ (přehled Master Challenge).</w:t>
            </w:r>
          </w:p>
        </w:tc>
        <w:tc>
          <w:tcPr>
            <w:tcW w:type="dxa" w:w="21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rámec / orientace</w:t>
            </w:r>
          </w:p>
        </w:tc>
      </w:tr>
      <w:tr>
        <w:tc>
          <w:tcPr>
            <w:tcW w:type="dxa" w:w="21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1. Výzva (Engage)</w:t>
            </w:r>
          </w:p>
        </w:tc>
        <w:tc>
          <w:tcPr>
            <w:tcW w:type="dxa" w:w="50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Krátký scénář (2–4 věty) navazující na roli „správce infrastruktury Školy X“, připomenutí Big Idea, Essential Question a Challenge jednotky – graficky odlišený box.</w:t>
            </w:r>
          </w:p>
        </w:tc>
        <w:tc>
          <w:tcPr>
            <w:tcW w:type="dxa" w:w="21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ENGAGE</w:t>
            </w:r>
          </w:p>
        </w:tc>
      </w:tr>
      <w:tr>
        <w:tc>
          <w:tcPr>
            <w:tcW w:type="dxa" w:w="21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2. Co budeme zkoumat</w:t>
            </w:r>
          </w:p>
        </w:tc>
        <w:tc>
          <w:tcPr>
            <w:tcW w:type="dxa" w:w="50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Seznam badatelských otázek (Guiding Questions) jednotky – 3–5 položek, viditelně očíslované.</w:t>
            </w:r>
          </w:p>
        </w:tc>
        <w:tc>
          <w:tcPr>
            <w:tcW w:type="dxa" w:w="21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INVESTIGATE</w:t>
            </w:r>
          </w:p>
        </w:tc>
      </w:tr>
      <w:tr>
        <w:tc>
          <w:tcPr>
            <w:tcW w:type="dxa" w:w="21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3. Teorie a zdroje</w:t>
            </w:r>
          </w:p>
        </w:tc>
        <w:tc>
          <w:tcPr>
            <w:tcW w:type="dxa" w:w="50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Vlastní výklad (z ověřeného obsahu), strukturovaný pod jednotlivé badatelské otázky; SVG schémata v zenovském stylu; boxík „Ověřené zdroje“ s odkazy/citacemi ke každému tvrzení.</w:t>
            </w:r>
          </w:p>
        </w:tc>
        <w:tc>
          <w:tcPr>
            <w:tcW w:type="dxa" w:w="21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INVESTIGATE</w:t>
            </w:r>
          </w:p>
        </w:tc>
      </w:tr>
      <w:tr>
        <w:tc>
          <w:tcPr>
            <w:tcW w:type="dxa" w:w="21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4. Vyzkoušej si to</w:t>
            </w:r>
          </w:p>
        </w:tc>
        <w:tc>
          <w:tcPr>
            <w:tcW w:type="dxa" w:w="50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Praktická cvičení/příkazy k procvičení na virtuálním Debianu, včetně očekávaného výstupu.</w:t>
            </w:r>
          </w:p>
        </w:tc>
        <w:tc>
          <w:tcPr>
            <w:tcW w:type="dxa" w:w="21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INVESTIGATE</w:t>
            </w:r>
          </w:p>
        </w:tc>
      </w:tr>
      <w:tr>
        <w:tc>
          <w:tcPr>
            <w:tcW w:type="dxa" w:w="21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5. Shrnutí</w:t>
            </w:r>
          </w:p>
        </w:tc>
        <w:tc>
          <w:tcPr>
            <w:tcW w:type="dxa" w:w="50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Krátká sebekontrola (4–6 otázek/úloh) nebo přehledová tabulka klíčových pojmů.</w:t>
            </w:r>
          </w:p>
        </w:tc>
        <w:tc>
          <w:tcPr>
            <w:tcW w:type="dxa" w:w="21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SYNTHESIS</w:t>
            </w:r>
          </w:p>
        </w:tc>
      </w:tr>
      <w:tr>
        <w:tc>
          <w:tcPr>
            <w:tcW w:type="dxa" w:w="21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6. Úkol (Act)</w:t>
            </w:r>
          </w:p>
        </w:tc>
        <w:tc>
          <w:tcPr>
            <w:tcW w:type="dxa" w:w="50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Zadání laboratorní úlohy s akceptačními kritérii („váš server je hotový, když …“) a kroky nasazení.</w:t>
            </w:r>
          </w:p>
        </w:tc>
        <w:tc>
          <w:tcPr>
            <w:tcW w:type="dxa" w:w="21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ACT – Solution/Implementation</w:t>
            </w:r>
          </w:p>
        </w:tc>
      </w:tr>
      <w:tr>
        <w:tc>
          <w:tcPr>
            <w:tcW w:type="dxa" w:w="21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7. Hodnocení</w:t>
            </w:r>
          </w:p>
        </w:tc>
        <w:tc>
          <w:tcPr>
            <w:tcW w:type="dxa" w:w="50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Viditelná rubrika (viz kap. 6) – žák ví předem, podle čeho bude hodnocen.</w:t>
            </w:r>
          </w:p>
        </w:tc>
        <w:tc>
          <w:tcPr>
            <w:tcW w:type="dxa" w:w="21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ACT – Evaluation</w:t>
            </w:r>
          </w:p>
        </w:tc>
      </w:tr>
      <w:tr>
        <w:tc>
          <w:tcPr>
            <w:tcW w:type="dxa" w:w="21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8. Reflexe a portfolio</w:t>
            </w:r>
          </w:p>
        </w:tc>
        <w:tc>
          <w:tcPr>
            <w:tcW w:type="dxa" w:w="50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3 reflexní otázky + políčko/návod, co uložit do portfolia a jak výstup zapadá do celkové infrastruktury.</w:t>
            </w:r>
          </w:p>
        </w:tc>
        <w:tc>
          <w:tcPr>
            <w:tcW w:type="dxa" w:w="21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REFLECT/DOCUMENT/SHARE</w:t>
            </w:r>
          </w:p>
        </w:tc>
      </w:tr>
      <w:tr>
        <w:tc>
          <w:tcPr>
            <w:tcW w:type="dxa" w:w="21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9. Zdroje</w:t>
            </w:r>
          </w:p>
        </w:tc>
        <w:tc>
          <w:tcPr>
            <w:tcW w:type="dxa" w:w="50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Úplný seznam ověřených zdrojů kapitoly (oficiální dokumentace, man stránky, RFC) – viz kap. 7.</w:t>
            </w:r>
          </w:p>
        </w:tc>
        <w:tc>
          <w:tcPr>
            <w:tcW w:type="dxa" w:w="21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6"/>
                <w:szCs w:val="16"/>
              </w:rPr>
              <w:t xml:space="preserve">napříč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t xml:space="preserve">5.1 Vizuální styl (zen SVG)</w:t>
      </w:r>
    </w:p>
    <w:p>
      <w:pPr>
        <w:spacing w:after="160" w:line="300"/>
      </w:pPr>
      <w:r>
        <w:t xml:space="preserve">Platí pro grafiku ve všech kapitolách (návaznost na zadání projektu):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Bílé pozadí, vhodné pro projekci ve třídě (vysoký kontrast, žádné tmavé podklady).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Grafika výhradně SVG (ostrá na projektoru v libovolném rozlišení), tenké linky, hodně prázdného prostoru – zenovská estetika, žádná dekorace navíc.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Jedna zvolená akcentní barva pro celý projekt (odlišuje důležité prvky), zbytek v odstínech šedé.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Konzistentní sada ikon: každé téma z tabulky 3.3 má svůj jednoduchý symbol, který se opakuje v hlavičce, na „mapě infrastruktury“ a v navigaci.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Typografie: jedno bezpatkové písmo, velké čitelné nadpisy (čitelnost z posledních lavic).</w:t>
      </w:r>
    </w:p>
    <w:p>
      <w:pPr>
        <w:spacing w:after="160" w:line="300"/>
      </w:pPr>
      <w:r>
        <w:t xml:space="preserve">Detailní grafický manuál (paleta, konkrétní ikony, rozměry) je předmětem navazujícího kroku projektu – zde se stanovují pouze závazná pravidla.</w:t>
      </w:r>
    </w:p>
    <w:p>
      <w:pPr>
        <w:pStyle w:val="Heading2"/>
        <w:spacing w:after="160" w:before="320"/>
      </w:pPr>
      <w:r>
        <w:t xml:space="preserve">6. Hodnoticí rámec</w:t>
      </w:r>
    </w:p>
    <w:p>
      <w:pPr>
        <w:spacing w:after="160" w:line="300"/>
      </w:pPr>
      <w:r>
        <w:t xml:space="preserve">Rubrika přebírá kritéria, která už škola deklaruje ve vlastním ŠVP u serverových/operačních systémů („Hodnocení vychází z ověření teoretických znalostí a praktických dovedností… posuzuje se správnost, míra samostatnosti, schopnost aplikovat získané znalosti v praxi a aktivní zapojení do výuky“), a rozepisuje je do čtyř pozorovatelných úrovní. Používá se v každé kapitole (sekce 7 šablony) i souhrnně pro finální Act (1.11).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700"/>
            <w:shd w:fill="3A5A78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Kritérium</w:t>
            </w:r>
          </w:p>
        </w:tc>
        <w:tc>
          <w:tcPr>
            <w:tcW w:type="dxa" w:w="1900"/>
            <w:shd w:fill="3A5A78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1 – začínající</w:t>
            </w:r>
          </w:p>
        </w:tc>
        <w:tc>
          <w:tcPr>
            <w:tcW w:type="dxa" w:w="1900"/>
            <w:shd w:fill="3A5A78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2 – rozvíjející se</w:t>
            </w:r>
          </w:p>
        </w:tc>
        <w:tc>
          <w:tcPr>
            <w:tcW w:type="dxa" w:w="1900"/>
            <w:shd w:fill="3A5A78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3 – očekávaná úroveň</w:t>
            </w:r>
          </w:p>
        </w:tc>
        <w:tc>
          <w:tcPr>
            <w:tcW w:type="dxa" w:w="1900"/>
            <w:shd w:fill="3A5A78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4 – nad rámec očekávání</w:t>
            </w:r>
          </w:p>
        </w:tc>
      </w:tr>
      <w:tr>
        <w:tc>
          <w:tcPr>
            <w:tcW w:type="dxa" w:w="17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Teoretické znalosti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Neumí vysvětlit princip služby.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Princip vysvětlí s nápovědou.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Princip vysvětlí samostatně a přesně.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Vysvětlí princip i souvislosti s dalšími službami infrastruktury.</w:t>
            </w:r>
          </w:p>
        </w:tc>
      </w:tr>
      <w:tr>
        <w:tc>
          <w:tcPr>
            <w:tcW w:type="dxa" w:w="17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Praktická realizace (správnost)</w:t>
            </w:r>
          </w:p>
        </w:tc>
        <w:tc>
          <w:tcPr>
            <w:tcW w:type="dxa" w:w="19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Úkol nefunguje / nedokončen.</w:t>
            </w:r>
          </w:p>
        </w:tc>
        <w:tc>
          <w:tcPr>
            <w:tcW w:type="dxa" w:w="19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Úkol funguje částečně, se závažnými chybami.</w:t>
            </w:r>
          </w:p>
        </w:tc>
        <w:tc>
          <w:tcPr>
            <w:tcW w:type="dxa" w:w="19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Úkol splňuje zadaná akceptační kritéria.</w:t>
            </w:r>
          </w:p>
        </w:tc>
        <w:tc>
          <w:tcPr>
            <w:tcW w:type="dxa" w:w="19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Úkol splněn, řešení je efektivní/robustní nad rámec zadání.</w:t>
            </w:r>
          </w:p>
        </w:tc>
      </w:tr>
      <w:tr>
        <w:tc>
          <w:tcPr>
            <w:tcW w:type="dxa" w:w="17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Samostatnost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Vyžaduje krokové vedení.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Potřebuje občasnou nápovědu.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Pracuje samostatně, umí si dohledat informace.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Samostatně řeší i neočekávané problémy.</w:t>
            </w:r>
          </w:p>
        </w:tc>
      </w:tr>
      <w:tr>
        <w:tc>
          <w:tcPr>
            <w:tcW w:type="dxa" w:w="17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Aplikace v praxi</w:t>
            </w:r>
          </w:p>
        </w:tc>
        <w:tc>
          <w:tcPr>
            <w:tcW w:type="dxa" w:w="19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Neumí propojit s ostatními službami infrastruktury.</w:t>
            </w:r>
          </w:p>
        </w:tc>
        <w:tc>
          <w:tcPr>
            <w:tcW w:type="dxa" w:w="19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Propojení jen s nápovědou.</w:t>
            </w:r>
          </w:p>
        </w:tc>
        <w:tc>
          <w:tcPr>
            <w:tcW w:type="dxa" w:w="19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Sám propojí výstup s ostatními jednotkami Master Challenge.</w:t>
            </w:r>
          </w:p>
        </w:tc>
        <w:tc>
          <w:tcPr>
            <w:tcW w:type="dxa" w:w="1900"/>
            <w:shd w:fill="EDF2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Navrhne vylepšení přesahující zadání jednotky.</w:t>
            </w:r>
          </w:p>
        </w:tc>
      </w:tr>
      <w:tr>
        <w:tc>
          <w:tcPr>
            <w:tcW w:type="dxa" w:w="17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Zapojení a reflexe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Bez dokumentace/reflexe.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Dokumentace neúplná.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Vede portfolio, reflektuje postup.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sz w:val="15"/>
                <w:szCs w:val="15"/>
              </w:rPr>
              <w:t xml:space="preserve">Aktivně sdílí poznatky se spolužáky, obhajuje řešení.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t xml:space="preserve">Doporučené vážení pro klasifikaci: praktická realizace 40 %, teoretické znalosti 25 %, aplikace v praxi 20 %, samostatnost a zapojení 15 %. Váhy může vyučující upravit; princip čtyř kritérií zůstává jednotný napříč kapitolami.</w:t>
      </w:r>
    </w:p>
    <w:p>
      <w:pPr>
        <w:pStyle w:val="Heading2"/>
        <w:spacing w:after="160" w:before="320"/>
      </w:pPr>
      <w:r>
        <w:t xml:space="preserve">7. Zdroje a jejich ověřování</w:t>
      </w:r>
    </w:p>
    <w:p>
      <w:pPr>
        <w:spacing w:after="160" w:line="300"/>
      </w:pPr>
      <w:r>
        <w:t xml:space="preserve">Zadání projektu vyžaduje „ověřené zdroje a evaluované příklady“. Pro předmět správy Linuxu to znamená konkrétní hierarchii důvěryhodnosti: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1. úroveň – primární: oficiální dokumentace Debianu (debian.org/doc, Debian Wiki), man stránky nainstalovaných nástrojů, RFC standardy (např. RFC 1035 DNS, RFC 2131 DHCP, RFC 959/959bis FTP).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2. úroveň – uznávané odborné publikace: Debian Administrator's Handbook, dokumentace projektů (Bind9/ISC, Apache, OpenSSH, systemd).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3. úroveň – ověřitelné výukové materiály: vlastní dříve připravené a odzkoušené podklady (Linux-vyuka-spsei.docx) – používat jen po ověření proti 1.–2. úrovni, protože vznikaly postupně a mohou obsahovat zastaralé postupy (např. apt-key).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Nepoužívat jako zdroj: neověřené blogy, fóra bez citace primárního zdroje, obsah generovaný AI bez ověření – lze je nanejvýš použít jako inspiraci k formulaci úlohy, nikdy jako zdroj faktu v textu kapitoly.</w:t>
      </w:r>
    </w:p>
    <w:p>
      <w:pPr>
        <w:spacing w:after="160" w:line="300"/>
      </w:pPr>
      <w:r>
        <w:t xml:space="preserve">Pravidlo pro tvorbu kapitol: každé tvrzení o chování příkazu/služby, které žák nemůže hned sám ověřit spuštěním, musí mít v sekci „Zdroje“ (bod 9 šablony) uveden konkrétní odkaz nebo citaci. Příklady a laboratorní úlohy se před zařazením do kapitoly reálně odzkouší na Debianu (evaluovaný příklad) – tedy nejen zkopírují z podkladů, ale ověří, že fungují na aktuální verzi Debianu používané ve výuce.</w:t>
      </w:r>
    </w:p>
    <w:p>
      <w:r>
        <w:br w:type="page"/>
      </w:r>
    </w:p>
    <w:p>
      <w:pPr>
        <w:pStyle w:val="Heading2"/>
        <w:spacing w:after="160" w:before="320"/>
      </w:pPr>
      <w:r>
        <w:t xml:space="preserve">8. Ukázková jednotka podle šablony: DHCP server a klient (1.6, 4 hodiny)</w:t>
      </w:r>
    </w:p>
    <w:p>
      <w:pPr>
        <w:spacing w:after="160" w:line="300"/>
      </w:pPr>
      <w:r>
        <w:t xml:space="preserve">Následující rozpracování ukazuje, jak šablona z kapitol 4–7 dopadne na konkrétní téma. Slouží jako vzor pro tvorbu všech dalších HTML kapitol.</w:t>
      </w:r>
    </w:p>
    <w:p>
      <w:pPr>
        <w:pStyle w:val="Heading3"/>
        <w:spacing w:after="120" w:before="240"/>
      </w:pPr>
      <w:r>
        <w:t xml:space="preserve">Hlavička</w:t>
      </w:r>
    </w:p>
    <w:p>
      <w:pPr>
        <w:spacing w:after="120" w:line="300"/>
      </w:pPr>
      <w:r>
        <w:rPr>
          <w:b/>
          <w:bCs/>
          <w:color w:val="3A5A78"/>
        </w:rPr>
        <w:t xml:space="preserve">Kapitola: </w:t>
      </w:r>
      <w:r>
        <w:t xml:space="preserve">1.6 DHCP server a klient · 4 vyučovací hodiny · ikona: „rozdělovník adres“</w:t>
      </w:r>
    </w:p>
    <w:p>
      <w:pPr>
        <w:pStyle w:val="Heading3"/>
        <w:spacing w:after="120" w:before="240"/>
      </w:pPr>
      <w:r>
        <w:t xml:space="preserve">1. Výzva (Engage)</w:t>
      </w:r>
    </w:p>
    <w:p>
      <w:pPr>
        <w:pBdr>
          <w:left w:val="single" w:color="3A5A78" w:sz="18" w:space="8"/>
        </w:pBdr>
        <w:spacing w:after="200" w:before="100" w:line="300"/>
        <w:ind w:left="431"/>
      </w:pPr>
      <w:r>
        <w:rPr>
          <w:i/>
          <w:iCs/>
          <w:color w:val="444444"/>
        </w:rPr>
        <w:t xml:space="preserve">„Škola X právě zapojila do sítě 40 nových studentských notebooků a tři nové tiskárny. Ruční nastavení IP adresy na každém zařízení by zabralo celé odpoledne – a příští týden přibude dalších 20 zařízení. Vedení IT chce řešení, které funguje samo.“</w:t>
      </w:r>
    </w:p>
    <w:p>
      <w:pPr>
        <w:spacing w:after="120" w:line="300"/>
      </w:pPr>
      <w:r>
        <w:rPr>
          <w:b/>
          <w:bCs/>
          <w:color w:val="3A5A78"/>
        </w:rPr>
        <w:t xml:space="preserve">Essential Question: </w:t>
      </w:r>
      <w:r>
        <w:t xml:space="preserve">Jak automatizovat přidělování síťové identity desítkám zařízení?</w:t>
      </w:r>
    </w:p>
    <w:p>
      <w:pPr>
        <w:spacing w:after="120" w:line="300"/>
      </w:pPr>
      <w:r>
        <w:rPr>
          <w:b/>
          <w:bCs/>
          <w:color w:val="3A5A78"/>
        </w:rPr>
        <w:t xml:space="preserve">Challenge: </w:t>
      </w:r>
      <w:r>
        <w:t xml:space="preserve">Nakonfigurujte DHCP server s rezervacemi adres pro klíčová zařízení sítě.</w:t>
      </w:r>
    </w:p>
    <w:p>
      <w:pPr>
        <w:pStyle w:val="Heading3"/>
        <w:spacing w:after="120" w:before="240"/>
      </w:pPr>
      <w:r>
        <w:t xml:space="preserve">2. Co budeme zkoumat (Guiding Questions)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 přesně DHCP protokol dělá a v jakých čtyřech krocích (DORA) probíhá komunikace?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Které parametry síťové identity DHCP klientovi přiděluje a které si server musí sám „pohlídat“, aby nedošlo ke kolizi adres?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Jak nastavit, aby konkrétní zařízení (např. DNS server) mělo vždy stejnou adresu (rezervace/reservation)?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Jak DHCP server ověřit a odladit, když klient adresu nedostane?</w:t>
      </w:r>
    </w:p>
    <w:p>
      <w:pPr>
        <w:pStyle w:val="Heading3"/>
        <w:spacing w:after="120" w:before="240"/>
      </w:pPr>
      <w:r>
        <w:t xml:space="preserve">3. Teorie a zdroje (výtah)</w:t>
      </w:r>
    </w:p>
    <w:p>
      <w:pPr>
        <w:spacing w:after="160" w:line="300"/>
      </w:pPr>
      <w:r>
        <w:t xml:space="preserve">Princip: DHCP (Dynamic Host Configuration Protocol) automatizuje přidělování IP adresy, masky, výchozí brány a DNS serveru novým zařízením v síti pomocí čtyřkrokové výměny zpráv DHCPDISCOVER → DHCPOFFER → DHCPREQUEST → DHCPACK (DORA).</w:t>
      </w:r>
    </w:p>
    <w:p>
      <w:pPr>
        <w:spacing w:after="160" w:line="300"/>
      </w:pPr>
      <w:r>
        <w:t xml:space="preserve">Instalace a konfigurace na Debianu: balíček isc-dhcp-server, hlavní konfigurační soubor /etc/dhcp/dhcpd.conf (rozsah adres, doba zápůjčky/lease, volitelně rezervace podle MAC adresy), rozhraní pro naslouchání se nastavuje v /etc/default/isc-dhcp-server.</w:t>
      </w:r>
    </w:p>
    <w:p>
      <w:pPr>
        <w:spacing w:after="160" w:line="300"/>
      </w:pPr>
      <w:r>
        <w:rPr>
          <w:b/>
          <w:bCs/>
        </w:rPr>
        <w:t xml:space="preserve">Ověřené zdroje: </w:t>
      </w:r>
      <w:r>
        <w:t xml:space="preserve">RFC 2131 – Dynamic Host Configuration Protocol; Debian Wiki – DHCP Server; man dhcpd.conf(5); ISC DHCP dokumentace.</w:t>
      </w:r>
    </w:p>
    <w:p>
      <w:pPr>
        <w:pStyle w:val="Heading3"/>
        <w:spacing w:after="120" w:before="240"/>
      </w:pPr>
      <w:r>
        <w:t xml:space="preserve">4. Vyzkoušej si 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sudo apt install isc-dhcp-server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Uprav /etc/dhcp/dhcpd.conf – nastav subnet, rozsah adres a dobu zápůjčky.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sudo systemctl restart isc-dhcp-server &amp;&amp; systemctl status isc-dhcp-server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Na klientovi ověř přidělenou adresu (ip a) a zaznamenej DORA výměnu (tcpdump/journalctl).</w:t>
      </w:r>
    </w:p>
    <w:p>
      <w:pPr>
        <w:pStyle w:val="Heading3"/>
        <w:spacing w:after="120" w:before="240"/>
      </w:pPr>
      <w:r>
        <w:t xml:space="preserve">5. Shrnutí (sebekontrola)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Vyjmenuj čtyři kroky DORA výměny a k čemu každý slouží.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Co se stane, když má síť dva aktivní DHCP servery se stejným rozsahem adres?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Jak zajistíš, aby server pro DNS měl pořád stejnou IP adresu?</w:t>
      </w:r>
    </w:p>
    <w:p>
      <w:pPr>
        <w:pStyle w:val="Heading3"/>
        <w:spacing w:after="120" w:before="240"/>
      </w:pPr>
      <w:r>
        <w:t xml:space="preserve">6. Úkol (Act) – akceptační kritéria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DHCP server běží a automaticky se spouští po restartu.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Klienti v síti učebny dostávají adresu z definovaného rozsahu s funkční bránou a DNS.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Server určený pro DNS (jednotka 1.5) má trvalou rezervovanou adresu podle MAC.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Konfigurace je okomentovaná a uložená do portfolia (dhcpd.conf + log úspěšného přidělení).</w:t>
      </w:r>
    </w:p>
    <w:p>
      <w:pPr>
        <w:pStyle w:val="Heading3"/>
        <w:spacing w:after="120" w:before="240"/>
      </w:pPr>
      <w:r>
        <w:t xml:space="preserve">7. Hodnocení</w:t>
      </w:r>
    </w:p>
    <w:p>
      <w:pPr>
        <w:spacing w:after="160" w:line="300"/>
      </w:pPr>
      <w:r>
        <w:t xml:space="preserve">Použije se rubrika z kapitoly 6 beze změny; „praktická realizace“ = splnění čtyř akceptačních kritérií výše.</w:t>
      </w:r>
    </w:p>
    <w:p>
      <w:pPr>
        <w:pStyle w:val="Heading3"/>
        <w:spacing w:after="120" w:before="240"/>
      </w:pPr>
      <w:r>
        <w:t xml:space="preserve">8. Reflexe a portfolio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 bylo na nastavení DHCP nejnáročnější a proč?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Jak dnešní výstup (fungující DHCP) navazuje na síť z jednotky 1.3 a připravuje půdu pro DNS z jednotky 1.5?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 by se stalo s infrastrukturou Školy X, kdyby DHCP server dnes vypadl?</w:t>
      </w:r>
    </w:p>
    <w:p>
      <w:pPr>
        <w:pStyle w:val="Heading3"/>
        <w:spacing w:after="120" w:before="240"/>
      </w:pPr>
      <w:r>
        <w:t xml:space="preserve">9. Zdroje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RFC 2131 – Dynamic Host Configuration Protocol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Debian Wiki: DHCP Server – wiki.debian.org/DHCP Server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man dhcpd.conf(5)</w:t>
      </w:r>
    </w:p>
    <w:p>
      <w:pPr>
        <w:pStyle w:val="Heading2"/>
        <w:spacing w:after="160" w:before="320"/>
      </w:pPr>
      <w:r>
        <w:t xml:space="preserve">9. Návaznost – další kroky projektu</w:t>
      </w:r>
    </w:p>
    <w:p>
      <w:pPr>
        <w:spacing w:after="160" w:line="300"/>
      </w:pPr>
      <w:r>
        <w:t xml:space="preserve">Tento dokument řeší Úkol 1 (metodika). Navazující kroky, které z něj vycházejí: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Ověřit a doplnit technický obsah pro každou jednotku (kontrola existujících podkladů Linux-vyuka-spsei.docx proti 1.–2. úrovni zdrojů, kap. 7).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Vytvořit grafický manuál zenovského SVG stylu (paleta, sada ikon k tématům z tabulky 3.3, rozměry pro projekci).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Postavit HTML kostru šablony (kap. 5) jako opakovaně použitelný základ pro všechny kapitoly.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Podle šablony rozpracovat první ostrou kapitolu (doporučeno začít úvodní jednotkou 1.1, aby žáci hned dostali „mapu infrastruktury“ a kartu Master Challenge).</w:t>
      </w:r>
    </w:p>
    <w:p>
      <w:pPr>
        <w:spacing w:after="160" w:line="300"/>
      </w:pPr>
      <w:r>
        <w:t xml:space="preserve">Než se přejde k dalšímu kroku, doporučuje se tuto metodiku (zejména volbu Big Idea/Master Challenge a hodnoticí váhy v kap. 6) potvrdit nebo upravit.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806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3A5A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3A5A7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2026-08-30T19:36:00.635Z</dcterms:created>
  <dcterms:modified xsi:type="dcterms:W3CDTF">2026-08-30T19:36:00.635Z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