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7.xml" ContentType="application/vnd.openxmlformats-officedocument.wordprocessingml.footer+xml"/>
  <Override PartName="/word/footer5.xml" ContentType="application/vnd.openxmlformats-officedocument.wordprocessingml.footer+xml"/>
  <Override PartName="/word/media/image1.png" ContentType="image/png"/>
  <Override PartName="/word/media/image2.jpeg" ContentType="image/jpeg"/>
  <Override PartName="/word/media/image4.png" ContentType="image/png"/>
  <Override PartName="/word/media/image3.png" ContentType="image/png"/>
  <Override PartName="/word/media/image5.png" ContentType="image/png"/>
  <Override PartName="/word/header3.xml" ContentType="application/vnd.openxmlformats-officedocument.wordprocessingml.header+xml"/>
  <Override PartName="/word/footer4.xml" ContentType="application/vnd.openxmlformats-officedocument.wordprocessingml.footer+xml"/>
  <Override PartName="/word/settings.xml" ContentType="application/vnd.openxmlformats-officedocument.wordprocessingml.settings+xml"/>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footer2.xml" ContentType="application/vnd.openxmlformats-officedocument.wordprocessingml.footer+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footer8.xml" ContentType="application/vnd.openxmlformats-officedocument.wordprocessingml.footer+xml"/>
  <Override PartName="/word/commentsExtended.xml" ContentType="application/vnd.openxmlformats-officedocument.wordprocessingml.commentsExtended+xml"/>
  <Override PartName="/word/document.xml" ContentType="application/vnd.openxmlformats-officedocument.wordprocessingml.document.main+xml"/>
  <Override PartName="/word/_rels/footnotes.xml.rels" ContentType="application/vnd.openxmlformats-package.relationships+xml"/>
  <Override PartName="/word/_rels/document.xml.rels" ContentType="application/vnd.openxmlformats-package.relationships+xml"/>
  <Override PartName="/word/comments.xml" ContentType="application/vnd.openxmlformats-officedocument.wordprocessingml.comments+xml"/>
  <Override PartName="/word/footer1.xml" ContentType="application/vnd.openxmlformats-officedocument.wordprocessingml.footer+xml"/>
  <Override PartName="/word/footer9.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styles.xml" ContentType="application/vnd.openxmlformats-officedocument.wordprocessingml.styles+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ind w:left="0" w:right="0"/>
        <w:jc w:val="right"/>
        <w:rPr>
          <w:rFonts w:cs="Calibri" w:cstheme="minorHAnsi"/>
          <w:color w:themeColor="background1" w:val="FFFFFF"/>
          <w:szCs w:val="20"/>
        </w:rPr>
      </w:pPr>
      <w:bookmarkStart w:id="0" w:name="_Hlk225775507"/>
      <w:bookmarkEnd w:id="0"/>
      <w:r>
        <mc:AlternateContent>
          <mc:Choice Requires="wps">
            <w:drawing>
              <wp:anchor behindDoc="1" distT="6350" distB="6350" distL="6350" distR="6350" simplePos="0" locked="0" layoutInCell="0" allowOverlap="1" relativeHeight="10" wp14:anchorId="20C764A2">
                <wp:simplePos x="0" y="0"/>
                <wp:positionH relativeFrom="page">
                  <wp:align>left</wp:align>
                </wp:positionH>
                <wp:positionV relativeFrom="paragraph">
                  <wp:posOffset>-428625</wp:posOffset>
                </wp:positionV>
                <wp:extent cx="7600950" cy="10801350"/>
                <wp:effectExtent l="6350" t="6350" r="6350" b="6350"/>
                <wp:wrapNone/>
                <wp:docPr id="1" name="Obdélník 2"/>
                <a:graphic xmlns:a="http://schemas.openxmlformats.org/drawingml/2006/main">
                  <a:graphicData uri="http://schemas.microsoft.com/office/word/2010/wordprocessingShape">
                    <wps:wsp>
                      <wps:cNvSpPr/>
                      <wps:spPr>
                        <a:xfrm>
                          <a:off x="0" y="0"/>
                          <a:ext cx="7601040" cy="10801440"/>
                        </a:xfrm>
                        <a:prstGeom prst="rect">
                          <a:avLst/>
                        </a:prstGeom>
                        <a:solidFill>
                          <a:srgbClr val="0c1838"/>
                        </a:solidFill>
                        <a:ln w="12700">
                          <a:solidFill>
                            <a:srgbClr val="0c1838"/>
                          </a:solidFill>
                          <a:miter/>
                        </a:ln>
                      </wps:spPr>
                      <wps:style>
                        <a:lnRef idx="0"/>
                        <a:fillRef idx="0"/>
                        <a:effectRef idx="0"/>
                        <a:fontRef idx="minor"/>
                      </wps:style>
                      <wps:bodyPr/>
                    </wps:wsp>
                  </a:graphicData>
                </a:graphic>
              </wp:anchor>
            </w:drawing>
          </mc:Choice>
          <mc:Fallback>
            <w:pict>
              <v:rect id="shape_0" ID="Obdélník 2" path="m0,0l-2147483645,0l-2147483645,-2147483646l0,-2147483646xe" fillcolor="#0c1838" stroked="t" o:allowincell="f" style="position:absolute;margin-left:0.5pt;margin-top:-33.75pt;width:598.45pt;height:850.45pt;mso-wrap-style:none;v-text-anchor:middle;mso-position-horizontal:left;mso-position-horizontal-relative:page" wp14:anchorId="20C764A2">
                <v:fill o:detectmouseclick="t" type="solid" color2="#f3e7c7"/>
                <v:stroke color="#0c1838" weight="12600" joinstyle="miter" endcap="flat"/>
                <w10:wrap type="none"/>
              </v:rect>
            </w:pict>
          </mc:Fallback>
        </mc:AlternateContent>
        <w:drawing>
          <wp:anchor behindDoc="1" distT="0" distB="0" distL="0" distR="0" simplePos="0" locked="0" layoutInCell="1" allowOverlap="1" relativeHeight="11">
            <wp:simplePos x="0" y="0"/>
            <wp:positionH relativeFrom="column">
              <wp:posOffset>-450215</wp:posOffset>
            </wp:positionH>
            <wp:positionV relativeFrom="page">
              <wp:posOffset>307340</wp:posOffset>
            </wp:positionV>
            <wp:extent cx="1984375" cy="791845"/>
            <wp:effectExtent l="0" t="0" r="0" b="0"/>
            <wp:wrapNone/>
            <wp:docPr id="2" name="Obrázek 3" descr="Obsah obrázku text, Písmo, Grafika, snímek obrazovky&#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ázek 3" descr="Obsah obrázku text, Písmo, Grafika, snímek obrazovky&#10;&#10;Obsah generovaný pomocí AI může být nesprávný."/>
                    <pic:cNvPicPr>
                      <a:picLocks noChangeAspect="1" noChangeArrowheads="1"/>
                    </pic:cNvPicPr>
                  </pic:nvPicPr>
                  <pic:blipFill>
                    <a:blip r:embed="rId2"/>
                    <a:stretch>
                      <a:fillRect/>
                    </a:stretch>
                  </pic:blipFill>
                  <pic:spPr bwMode="auto">
                    <a:xfrm>
                      <a:off x="0" y="0"/>
                      <a:ext cx="1984375" cy="791845"/>
                    </a:xfrm>
                    <a:prstGeom prst="rect">
                      <a:avLst/>
                    </a:prstGeom>
                  </pic:spPr>
                </pic:pic>
              </a:graphicData>
            </a:graphic>
          </wp:anchor>
        </w:drawing>
      </w:r>
      <w:r>
        <w:rPr>
          <w:rFonts w:cs="Calibri" w:cstheme="minorHAnsi"/>
          <w:color w:themeColor="background1" w:val="FFFFFF"/>
          <w:szCs w:val="20"/>
        </w:rPr>
        <w:t>Sekce hospodářské soutěže</w:t>
      </w:r>
    </w:p>
    <w:p>
      <w:pPr>
        <w:pStyle w:val="Normal"/>
        <w:spacing w:before="0" w:after="0"/>
        <w:ind w:left="0" w:right="0"/>
        <w:jc w:val="right"/>
        <w:rPr>
          <w:rFonts w:cs="Calibri" w:cstheme="minorHAnsi"/>
          <w:color w:themeColor="background1" w:val="FFFFFF"/>
          <w:szCs w:val="20"/>
        </w:rPr>
      </w:pPr>
      <w:r>
        <w:rPr>
          <w:rFonts w:cs="Calibri" w:cstheme="minorHAnsi"/>
          <w:color w:themeColor="background1" w:val="FFFFFF"/>
          <w:szCs w:val="20"/>
        </w:rPr>
      </w:r>
    </w:p>
    <w:p>
      <w:pPr>
        <w:pStyle w:val="Normal"/>
        <w:spacing w:before="0" w:after="0"/>
        <w:ind w:left="0" w:right="0"/>
        <w:jc w:val="right"/>
        <w:rPr>
          <w:rFonts w:cs="Calibri" w:cstheme="minorHAnsi"/>
          <w:color w:themeColor="background1" w:val="FFFFFF"/>
          <w:szCs w:val="20"/>
        </w:rPr>
      </w:pPr>
      <w:r>
        <w:rPr>
          <w:rFonts w:cs="Calibri" w:cstheme="minorHAnsi"/>
          <w:color w:themeColor="background1" w:val="FFFFFF"/>
          <w:szCs w:val="20"/>
        </w:rPr>
      </w:r>
    </w:p>
    <w:p>
      <w:pPr>
        <w:pStyle w:val="Normal"/>
        <w:spacing w:lineRule="auto" w:line="259" w:before="0" w:after="160"/>
        <w:ind w:left="0" w:right="0"/>
        <w:jc w:val="left"/>
        <w:rPr>
          <w:rFonts w:cs="Calibri" w:cstheme="minorHAnsi"/>
          <w:szCs w:val="20"/>
        </w:rPr>
      </w:pPr>
      <w:r>
        <w:rPr>
          <w:rFonts w:cs="Calibri" w:cstheme="minorHAnsi"/>
          <w:szCs w:val="20"/>
        </w:rPr>
      </w:r>
    </w:p>
    <w:p>
      <w:pPr>
        <w:pStyle w:val="Normal"/>
        <w:spacing w:lineRule="auto" w:line="259" w:before="0" w:after="160"/>
        <w:ind w:left="0" w:right="0"/>
        <w:jc w:val="left"/>
        <w:rPr>
          <w:rFonts w:cs="Calibri" w:cstheme="minorHAnsi"/>
          <w:szCs w:val="20"/>
        </w:rPr>
      </w:pPr>
      <w:r>
        <w:rPr>
          <w:rFonts w:cs="Calibri" w:cstheme="minorHAnsi"/>
          <w:szCs w:val="20"/>
        </w:rPr>
      </w:r>
    </w:p>
    <w:p>
      <w:pPr>
        <w:pStyle w:val="Normal"/>
        <w:spacing w:lineRule="auto" w:line="259" w:before="0" w:after="160"/>
        <w:ind w:left="0" w:right="0"/>
        <w:jc w:val="left"/>
        <w:rPr>
          <w:rFonts w:cs="Calibri" w:cstheme="minorHAnsi"/>
          <w:szCs w:val="20"/>
        </w:rPr>
      </w:pPr>
      <w:r>
        <w:rPr/>
        <w:drawing>
          <wp:inline distT="0" distB="0" distL="0" distR="0">
            <wp:extent cx="5734685" cy="3823335"/>
            <wp:effectExtent l="0" t="0" r="0" b="0"/>
            <wp:docPr id="3" name="Obrázek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rázek 6" descr=""/>
                    <pic:cNvPicPr>
                      <a:picLocks noChangeAspect="1" noChangeArrowheads="1"/>
                    </pic:cNvPicPr>
                  </pic:nvPicPr>
                  <pic:blipFill>
                    <a:blip r:embed="rId3"/>
                    <a:stretch>
                      <a:fillRect/>
                    </a:stretch>
                  </pic:blipFill>
                  <pic:spPr bwMode="auto">
                    <a:xfrm>
                      <a:off x="0" y="0"/>
                      <a:ext cx="5734685" cy="3823335"/>
                    </a:xfrm>
                    <a:prstGeom prst="rect">
                      <a:avLst/>
                    </a:prstGeom>
                  </pic:spPr>
                </pic:pic>
              </a:graphicData>
            </a:graphic>
          </wp:inline>
        </w:drawing>
      </w:r>
    </w:p>
    <w:p>
      <w:pPr>
        <w:pStyle w:val="Normal"/>
        <w:spacing w:lineRule="auto" w:line="259" w:before="0" w:after="160"/>
        <w:ind w:left="0" w:right="0"/>
        <w:jc w:val="left"/>
        <w:rPr>
          <w:rFonts w:cs="Calibri" w:cstheme="minorHAnsi"/>
          <w:szCs w:val="20"/>
        </w:rPr>
      </w:pPr>
      <w:r>
        <w:rPr>
          <w:rFonts w:cs="Calibri" w:cstheme="minorHAnsi"/>
          <w:szCs w:val="20"/>
        </w:rPr>
      </w:r>
    </w:p>
    <w:p>
      <w:pPr>
        <w:pStyle w:val="Normal"/>
        <w:spacing w:before="0" w:after="480"/>
        <w:ind w:left="0" w:right="0"/>
        <w:jc w:val="left"/>
        <w:rPr>
          <w:rFonts w:eastAsia="MS Mincho" w:cs="Times New Roman"/>
          <w:b/>
          <w:bCs/>
          <w:color w:val="9DC8E9"/>
          <w:sz w:val="60"/>
          <w:szCs w:val="60"/>
          <w:lang w:eastAsia="cs-CZ"/>
        </w:rPr>
      </w:pPr>
      <w:r>
        <w:rPr>
          <w:rFonts w:eastAsia="MS Mincho" w:cs="Times New Roman"/>
          <w:b/>
          <w:bCs/>
          <w:color w:val="9DC8E9"/>
          <w:sz w:val="60"/>
          <w:szCs w:val="60"/>
          <w:lang w:eastAsia="cs-CZ"/>
        </w:rPr>
        <w:t>Ostře sledované ceny</w:t>
      </w:r>
    </w:p>
    <w:p>
      <w:pPr>
        <w:pStyle w:val="Normal"/>
        <w:spacing w:lineRule="auto" w:line="276" w:before="0" w:after="160"/>
        <w:ind w:left="0" w:right="0"/>
        <w:jc w:val="left"/>
        <w:rPr>
          <w:rFonts w:eastAsia="MS Mincho" w:cs="Times New Roman"/>
          <w:b/>
          <w:bCs/>
          <w:color w:themeColor="background1" w:val="FFFFFF"/>
          <w:sz w:val="32"/>
          <w:szCs w:val="32"/>
          <w:lang w:eastAsia="cs-CZ"/>
        </w:rPr>
      </w:pPr>
      <w:r>
        <w:rPr>
          <w:rFonts w:eastAsia="MS Mincho" w:cs="Times New Roman"/>
          <w:b/>
          <w:bCs/>
          <w:color w:themeColor="background1" w:val="FFFFFF"/>
          <w:sz w:val="32"/>
          <w:szCs w:val="32"/>
          <w:lang w:eastAsia="cs-CZ"/>
        </w:rPr>
        <w:t>Závěrečná zpráva</w:t>
        <w:br/>
        <w:t>2027/XX</w:t>
      </w:r>
    </w:p>
    <w:p>
      <w:pPr>
        <w:pStyle w:val="Normal"/>
        <w:spacing w:lineRule="auto" w:line="276" w:before="0" w:after="160"/>
        <w:ind w:left="0" w:right="0"/>
        <w:jc w:val="left"/>
        <w:rPr>
          <w:rFonts w:eastAsia="MS Mincho" w:cs="Times New Roman"/>
          <w:color w:themeColor="background1" w:val="FFFFFF"/>
          <w:sz w:val="32"/>
          <w:szCs w:val="32"/>
          <w:lang w:eastAsia="cs-CZ"/>
        </w:rPr>
      </w:pPr>
      <w:r>
        <w:rPr>
          <w:rFonts w:eastAsia="MS Mincho" w:cs="Times New Roman"/>
          <w:color w:themeColor="background1" w:val="FFFFFF"/>
          <w:sz w:val="32"/>
          <w:szCs w:val="32"/>
          <w:lang w:eastAsia="cs-CZ"/>
        </w:rPr>
        <w:t xml:space="preserve">ze sektorového šetření v oblasti </w:t>
        <w:br/>
        <w:t xml:space="preserve">mobilních telekomunikačních služeb </w:t>
        <w:br/>
        <w:t>poskytovaných domácnostem v České republice</w:t>
        <w:br/>
        <w:t>za období od roku 2018 do 31. 10. 2025</w:t>
      </w:r>
    </w:p>
    <w:p>
      <w:pPr>
        <w:sectPr>
          <w:footerReference w:type="even" r:id="rId6"/>
          <w:footerReference w:type="default" r:id="rId7"/>
          <w:footerReference w:type="first" r:id="rId8"/>
          <w:type w:val="nextPage"/>
          <w:pgSz w:w="11906" w:h="16838"/>
          <w:pgMar w:left="1474" w:right="1361" w:gutter="0" w:header="0" w:top="567" w:footer="709" w:bottom="766"/>
          <w:pgNumType w:fmt="lowerRoman"/>
          <w:formProt w:val="false"/>
          <w:textDirection w:val="lrTb"/>
          <w:docGrid w:type="default" w:linePitch="360" w:charSpace="0"/>
        </w:sectPr>
        <w:pStyle w:val="Normal"/>
        <w:spacing w:lineRule="auto" w:line="259" w:before="0" w:after="160"/>
        <w:ind w:left="0" w:right="0"/>
        <w:jc w:val="left"/>
        <w:rPr>
          <w:b/>
          <w:bCs/>
          <w:color w:themeColor="background1" w:val="FFFFFF"/>
        </w:rPr>
      </w:pPr>
      <w:r>
        <w:rPr>
          <w:b/>
          <w:bCs/>
          <w:color w:themeColor="background1" w:val="FFFFFF"/>
        </w:rPr>
        <mc:AlternateContent>
          <mc:Choice Requires="wps">
            <w:drawing>
              <wp:anchor behindDoc="1" distT="0" distB="0" distL="0" distR="0" simplePos="0" locked="0" layoutInCell="0" allowOverlap="1" relativeHeight="12" wp14:anchorId="4885EB18">
                <wp:simplePos x="0" y="0"/>
                <wp:positionH relativeFrom="margin">
                  <wp:posOffset>-115570</wp:posOffset>
                </wp:positionH>
                <wp:positionV relativeFrom="margin">
                  <wp:posOffset>9103360</wp:posOffset>
                </wp:positionV>
                <wp:extent cx="5991225" cy="657225"/>
                <wp:effectExtent l="0" t="0" r="0" b="0"/>
                <wp:wrapNone/>
                <wp:docPr id="4" name="Textové pole 3"/>
                <a:graphic xmlns:a="http://schemas.openxmlformats.org/drawingml/2006/main">
                  <a:graphicData uri="http://schemas.microsoft.com/office/word/2010/wordprocessingShape">
                    <wps:wsp>
                      <wps:cNvSpPr/>
                      <wps:spPr>
                        <a:xfrm>
                          <a:off x="0" y="0"/>
                          <a:ext cx="5991120" cy="657360"/>
                        </a:xfrm>
                        <a:prstGeom prst="rect">
                          <a:avLst/>
                        </a:prstGeom>
                        <a:noFill/>
                        <a:ln w="6350">
                          <a:noFill/>
                        </a:ln>
                      </wps:spPr>
                      <wps:style>
                        <a:lnRef idx="0"/>
                        <a:fillRef idx="0"/>
                        <a:effectRef idx="0"/>
                        <a:fontRef idx="minor"/>
                      </wps:style>
                      <wps:txbx>
                        <w:txbxContent>
                          <w:p>
                            <w:pPr>
                              <w:pStyle w:val="FrameContents"/>
                              <w:tabs>
                                <w:tab w:val="clear" w:pos="708"/>
                                <w:tab w:val="right" w:pos="9072" w:leader="none"/>
                              </w:tabs>
                              <w:spacing w:before="240" w:after="0"/>
                              <w:ind w:left="0" w:right="283"/>
                              <w:contextualSpacing/>
                              <w:jc w:val="left"/>
                              <w:rPr>
                                <w:rFonts w:eastAsia="MS Mincho" w:cs="Azeret Mono"/>
                                <w:color w:val="FFFFFF"/>
                                <w:sz w:val="16"/>
                                <w:szCs w:val="16"/>
                                <w:lang w:eastAsia="cs-CZ"/>
                              </w:rPr>
                            </w:pPr>
                            <w:bookmarkStart w:id="1" w:name="OLE_LINK62"/>
                            <w:bookmarkStart w:id="2" w:name="OLE_LINK14"/>
                            <w:bookmarkStart w:id="3" w:name="OLE_LINK2"/>
                            <w:bookmarkStart w:id="4" w:name="OLE_LINK13"/>
                            <w:bookmarkStart w:id="5" w:name="_Hlk216450929"/>
                            <w:bookmarkStart w:id="6" w:name="OLE_LINK3"/>
                            <w:r>
                              <w:rPr>
                                <w:rFonts w:eastAsia="MS Mincho" w:cs="Azeret Mono"/>
                                <w:color w:val="FFFFFF"/>
                                <w:sz w:val="16"/>
                                <w:szCs w:val="16"/>
                                <w:lang w:eastAsia="cs-CZ"/>
                              </w:rPr>
                              <w:t>Úřad pro ochranu hospodářské soutěže</w:t>
                              <w:tab/>
                            </w:r>
                            <w:bookmarkEnd w:id="1"/>
                            <w:bookmarkEnd w:id="2"/>
                            <w:bookmarkEnd w:id="4"/>
                          </w:p>
                          <w:p>
                            <w:pPr>
                              <w:pStyle w:val="FrameContents"/>
                              <w:tabs>
                                <w:tab w:val="clear" w:pos="708"/>
                                <w:tab w:val="right" w:pos="9071" w:leader="none"/>
                              </w:tabs>
                              <w:spacing w:before="240" w:after="0"/>
                              <w:ind w:left="0" w:right="283"/>
                              <w:contextualSpacing/>
                              <w:jc w:val="left"/>
                              <w:rPr>
                                <w:rFonts w:eastAsia="MS Mincho" w:cs="Azeret Mono"/>
                                <w:color w:val="FFFFFF"/>
                                <w:sz w:val="16"/>
                                <w:szCs w:val="16"/>
                                <w:lang w:eastAsia="cs-CZ"/>
                              </w:rPr>
                            </w:pPr>
                            <w:r>
                              <w:rPr>
                                <w:rFonts w:eastAsia="MS Mincho" w:cs="Azeret Mono"/>
                                <w:color w:val="FFFFFF"/>
                                <w:sz w:val="16"/>
                                <w:szCs w:val="16"/>
                                <w:lang w:eastAsia="cs-CZ"/>
                              </w:rPr>
                              <w:t>třída Kpt. Jaroše 7, 602 00 Brno</w:t>
                              <w:tab/>
                            </w:r>
                          </w:p>
                          <w:p>
                            <w:pPr>
                              <w:pStyle w:val="FrameContents"/>
                              <w:tabs>
                                <w:tab w:val="clear" w:pos="708"/>
                                <w:tab w:val="right" w:pos="9072" w:leader="none"/>
                              </w:tabs>
                              <w:spacing w:before="0" w:after="0"/>
                              <w:ind w:left="0" w:right="66"/>
                              <w:rPr/>
                            </w:pPr>
                            <w:r>
                              <w:rPr>
                                <w:rFonts w:eastAsia="MS Mincho" w:cs="Azeret Mono"/>
                                <w:color w:val="FFFFFF"/>
                                <w:sz w:val="16"/>
                                <w:szCs w:val="16"/>
                                <w:lang w:eastAsia="cs-CZ"/>
                              </w:rPr>
                              <w:t>posta@uohs.gov.cz</w:t>
                              <w:tab/>
                            </w:r>
                            <w:hyperlink r:id="rId4">
                              <w:r>
                                <w:rPr>
                                  <w:rStyle w:val="ListLabel460"/>
                                  <w:rFonts w:eastAsia="MS Mincho" w:cs="Times New Roman"/>
                                  <w:color w:val="FFFFFF"/>
                                  <w:sz w:val="16"/>
                                  <w:szCs w:val="16"/>
                                  <w:lang w:eastAsia="cs-CZ"/>
                                </w:rPr>
                                <w:t>uohs.gov.cz</w:t>
                              </w:r>
                            </w:hyperlink>
                            <w:bookmarkEnd w:id="3"/>
                            <w:bookmarkEnd w:id="5"/>
                            <w:bookmarkEnd w:id="6"/>
                          </w:p>
                        </w:txbxContent>
                      </wps:txbx>
                      <wps:bodyPr anchor="t">
                        <a:prstTxWarp prst="textNoShape"/>
                        <a:noAutofit/>
                      </wps:bodyPr>
                    </wps:wsp>
                  </a:graphicData>
                </a:graphic>
              </wp:anchor>
            </w:drawing>
          </mc:Choice>
          <mc:Fallback>
            <w:pict>
              <v:rect id="shape_0" ID="Textové pole 3" path="m0,0l-2147483645,0l-2147483645,-2147483646l0,-2147483646xe" stroked="f" o:allowincell="f" style="position:absolute;margin-left:-9.1pt;margin-top:716.8pt;width:471.7pt;height:51.7pt;mso-wrap-style:square;v-text-anchor:top;mso-position-horizontal-relative:margin;mso-position-vertical-relative:margin" wp14:anchorId="4885EB18">
                <v:fill o:detectmouseclick="t" on="false"/>
                <v:stroke color="#3465a4" weight="6480" joinstyle="round" endcap="flat"/>
                <v:textbox>
                  <w:txbxContent>
                    <w:p>
                      <w:pPr>
                        <w:pStyle w:val="FrameContents"/>
                        <w:tabs>
                          <w:tab w:val="clear" w:pos="708"/>
                          <w:tab w:val="right" w:pos="9072" w:leader="none"/>
                        </w:tabs>
                        <w:spacing w:before="240" w:after="0"/>
                        <w:ind w:left="0" w:right="283"/>
                        <w:contextualSpacing/>
                        <w:jc w:val="left"/>
                        <w:rPr>
                          <w:rFonts w:eastAsia="MS Mincho" w:cs="Azeret Mono"/>
                          <w:color w:val="FFFFFF"/>
                          <w:sz w:val="16"/>
                          <w:szCs w:val="16"/>
                          <w:lang w:eastAsia="cs-CZ"/>
                        </w:rPr>
                      </w:pPr>
                      <w:bookmarkStart w:id="7" w:name="OLE_LINK62"/>
                      <w:bookmarkStart w:id="8" w:name="OLE_LINK14"/>
                      <w:bookmarkStart w:id="9" w:name="OLE_LINK2"/>
                      <w:bookmarkStart w:id="10" w:name="OLE_LINK13"/>
                      <w:bookmarkStart w:id="11" w:name="_Hlk216450929"/>
                      <w:bookmarkStart w:id="12" w:name="OLE_LINK3"/>
                      <w:r>
                        <w:rPr>
                          <w:rFonts w:eastAsia="MS Mincho" w:cs="Azeret Mono"/>
                          <w:color w:val="FFFFFF"/>
                          <w:sz w:val="16"/>
                          <w:szCs w:val="16"/>
                          <w:lang w:eastAsia="cs-CZ"/>
                        </w:rPr>
                        <w:t>Úřad pro ochranu hospodářské soutěže</w:t>
                        <w:tab/>
                      </w:r>
                      <w:bookmarkEnd w:id="7"/>
                      <w:bookmarkEnd w:id="8"/>
                      <w:bookmarkEnd w:id="10"/>
                    </w:p>
                    <w:p>
                      <w:pPr>
                        <w:pStyle w:val="FrameContents"/>
                        <w:tabs>
                          <w:tab w:val="clear" w:pos="708"/>
                          <w:tab w:val="right" w:pos="9071" w:leader="none"/>
                        </w:tabs>
                        <w:spacing w:before="240" w:after="0"/>
                        <w:ind w:left="0" w:right="283"/>
                        <w:contextualSpacing/>
                        <w:jc w:val="left"/>
                        <w:rPr>
                          <w:rFonts w:eastAsia="MS Mincho" w:cs="Azeret Mono"/>
                          <w:color w:val="FFFFFF"/>
                          <w:sz w:val="16"/>
                          <w:szCs w:val="16"/>
                          <w:lang w:eastAsia="cs-CZ"/>
                        </w:rPr>
                      </w:pPr>
                      <w:r>
                        <w:rPr>
                          <w:rFonts w:eastAsia="MS Mincho" w:cs="Azeret Mono"/>
                          <w:color w:val="FFFFFF"/>
                          <w:sz w:val="16"/>
                          <w:szCs w:val="16"/>
                          <w:lang w:eastAsia="cs-CZ"/>
                        </w:rPr>
                        <w:t>třída Kpt. Jaroše 7, 602 00 Brno</w:t>
                        <w:tab/>
                      </w:r>
                    </w:p>
                    <w:p>
                      <w:pPr>
                        <w:pStyle w:val="FrameContents"/>
                        <w:tabs>
                          <w:tab w:val="clear" w:pos="708"/>
                          <w:tab w:val="right" w:pos="9072" w:leader="none"/>
                        </w:tabs>
                        <w:spacing w:before="0" w:after="0"/>
                        <w:ind w:left="0" w:right="66"/>
                        <w:rPr/>
                      </w:pPr>
                      <w:r>
                        <w:rPr>
                          <w:rFonts w:eastAsia="MS Mincho" w:cs="Azeret Mono"/>
                          <w:color w:val="FFFFFF"/>
                          <w:sz w:val="16"/>
                          <w:szCs w:val="16"/>
                          <w:lang w:eastAsia="cs-CZ"/>
                        </w:rPr>
                        <w:t>posta@uohs.gov.cz</w:t>
                        <w:tab/>
                      </w:r>
                      <w:hyperlink r:id="rId5">
                        <w:r>
                          <w:rPr>
                            <w:rStyle w:val="ListLabel460"/>
                            <w:rFonts w:eastAsia="MS Mincho" w:cs="Times New Roman"/>
                            <w:color w:val="FFFFFF"/>
                            <w:sz w:val="16"/>
                            <w:szCs w:val="16"/>
                            <w:lang w:eastAsia="cs-CZ"/>
                          </w:rPr>
                          <w:t>uohs.gov.cz</w:t>
                        </w:r>
                      </w:hyperlink>
                      <w:bookmarkEnd w:id="9"/>
                      <w:bookmarkEnd w:id="11"/>
                      <w:bookmarkEnd w:id="12"/>
                    </w:p>
                  </w:txbxContent>
                </v:textbox>
                <w10:wrap type="none"/>
              </v:rect>
            </w:pict>
          </mc:Fallback>
        </mc:AlternateContent>
      </w:r>
      <w:r>
        <w:br w:type="page"/>
      </w:r>
    </w:p>
    <w:p>
      <w:pPr>
        <w:pStyle w:val="Normal"/>
        <w:spacing w:before="0" w:after="120"/>
        <w:rPr/>
      </w:pPr>
      <w:r>
        <w:rPr/>
      </w:r>
    </w:p>
    <w:p>
      <w:pPr>
        <w:pStyle w:val="Normal"/>
        <w:spacing w:lineRule="auto" w:line="259" w:before="0" w:after="160"/>
        <w:ind w:left="0" w:right="0"/>
        <w:jc w:val="left"/>
        <w:rPr/>
      </w:pPr>
      <w:r>
        <mc:AlternateContent>
          <mc:Choice Requires="wps">
            <w:drawing>
              <wp:anchor behindDoc="0" distT="45720" distB="45720" distL="0" distR="114300" simplePos="0" locked="0" layoutInCell="0" allowOverlap="1" relativeHeight="6" wp14:anchorId="00BE25B1">
                <wp:simplePos x="0" y="0"/>
                <wp:positionH relativeFrom="margin">
                  <wp:align>left</wp:align>
                </wp:positionH>
                <wp:positionV relativeFrom="paragraph">
                  <wp:posOffset>4515485</wp:posOffset>
                </wp:positionV>
                <wp:extent cx="3649980" cy="4364990"/>
                <wp:effectExtent l="0" t="0" r="0" b="0"/>
                <wp:wrapSquare wrapText="bothSides"/>
                <wp:docPr id="5" name="Textové pole 2"/>
                <a:graphic xmlns:a="http://schemas.openxmlformats.org/drawingml/2006/main">
                  <a:graphicData uri="http://schemas.microsoft.com/office/word/2010/wordprocessingShape">
                    <wps:wsp>
                      <wps:cNvSpPr/>
                      <wps:spPr>
                        <a:xfrm>
                          <a:off x="0" y="0"/>
                          <a:ext cx="3650040" cy="4365000"/>
                        </a:xfrm>
                        <a:prstGeom prst="rect">
                          <a:avLst/>
                        </a:prstGeom>
                        <a:noFill/>
                        <a:ln w="9525">
                          <a:noFill/>
                        </a:ln>
                      </wps:spPr>
                      <wps:style>
                        <a:lnRef idx="0"/>
                        <a:fillRef idx="0"/>
                        <a:effectRef idx="0"/>
                        <a:fontRef idx="minor"/>
                      </wps:style>
                      <wps:txbx>
                        <w:txbxContent>
                          <w:p>
                            <w:pPr>
                              <w:pStyle w:val="FrameContents"/>
                              <w:spacing w:before="0" w:after="200"/>
                              <w:ind w:left="0" w:right="0"/>
                              <w:jc w:val="left"/>
                              <w:rPr>
                                <w:rFonts w:cs="Calibri" w:cstheme="minorHAnsi"/>
                                <w:b/>
                                <w:bCs/>
                                <w:color w:val="D70C0F"/>
                                <w:szCs w:val="20"/>
                              </w:rPr>
                            </w:pPr>
                            <w:r>
                              <w:rPr>
                                <w:rFonts w:cs="Calibri" w:cstheme="minorHAnsi"/>
                                <w:b/>
                                <w:bCs/>
                                <w:color w:val="D70C0F"/>
                                <w:szCs w:val="20"/>
                              </w:rPr>
                              <w:t>Úřad pro ochranu hospodářské soutěže</w:t>
                            </w:r>
                          </w:p>
                          <w:p>
                            <w:pPr>
                              <w:pStyle w:val="FrameContents"/>
                              <w:spacing w:before="0" w:after="0"/>
                              <w:ind w:left="0" w:right="0"/>
                              <w:jc w:val="left"/>
                              <w:rPr>
                                <w:rFonts w:cs="Calibri" w:cstheme="minorHAnsi"/>
                                <w:b/>
                                <w:color w:val="00469B"/>
                                <w:szCs w:val="20"/>
                              </w:rPr>
                            </w:pPr>
                            <w:r>
                              <w:rPr>
                                <w:rFonts w:cs="Calibri" w:cstheme="minorHAnsi"/>
                                <w:b/>
                                <w:bCs/>
                                <w:color w:val="00469B"/>
                                <w:szCs w:val="20"/>
                              </w:rPr>
                              <w:t>Sekce hospodářské soutěže</w:t>
                            </w:r>
                          </w:p>
                          <w:p>
                            <w:pPr>
                              <w:pStyle w:val="FrameContents"/>
                              <w:ind w:left="0" w:right="284"/>
                              <w:rPr/>
                            </w:pPr>
                            <w:r>
                              <w:rPr>
                                <w:rFonts w:cs="Calibri" w:cstheme="minorHAnsi"/>
                                <w:color w:themeColor="text1" w:val="000000"/>
                                <w:szCs w:val="20"/>
                              </w:rPr>
                              <w:t>V Brně</w:t>
                            </w:r>
                          </w:p>
                          <w:p>
                            <w:pPr>
                              <w:pStyle w:val="FrameContents"/>
                              <w:spacing w:before="0" w:after="0"/>
                              <w:ind w:left="0" w:right="0"/>
                              <w:jc w:val="left"/>
                              <w:rPr>
                                <w:rFonts w:cs="Calibri" w:cstheme="minorHAnsi"/>
                                <w:color w:themeColor="text1" w:val="000000"/>
                                <w:szCs w:val="20"/>
                              </w:rPr>
                            </w:pPr>
                            <w:r>
                              <w:rPr>
                                <w:rFonts w:cs="Calibri" w:cstheme="minorHAnsi"/>
                                <w:color w:themeColor="text1" w:val="000000"/>
                                <w:szCs w:val="20"/>
                              </w:rPr>
                              <w:t>Dne XX. X. 2027</w:t>
                            </w:r>
                          </w:p>
                          <w:p>
                            <w:pPr>
                              <w:pStyle w:val="FrameContents"/>
                              <w:spacing w:before="0" w:after="200"/>
                              <w:ind w:left="0" w:right="0"/>
                              <w:jc w:val="left"/>
                              <w:rPr>
                                <w:rFonts w:cs="Calibri" w:cstheme="minorHAnsi"/>
                                <w:color w:themeColor="text1" w:val="000000"/>
                                <w:szCs w:val="20"/>
                              </w:rPr>
                            </w:pPr>
                            <w:r>
                              <w:rPr>
                                <w:rFonts w:cs="Calibri" w:cstheme="minorHAnsi"/>
                                <w:color w:themeColor="text1" w:val="000000"/>
                                <w:szCs w:val="20"/>
                              </w:rPr>
                              <w:t>Čj.: ÚOHS-XXXXX/2027/XXX</w:t>
                            </w:r>
                          </w:p>
                          <w:p>
                            <w:pPr>
                              <w:pStyle w:val="FrameContents"/>
                              <w:spacing w:before="0" w:after="200"/>
                              <w:ind w:left="0" w:right="0"/>
                              <w:jc w:val="left"/>
                              <w:rPr>
                                <w:rFonts w:cs="Calibri" w:cstheme="minorHAnsi"/>
                                <w:color w:themeColor="text1" w:val="000000"/>
                                <w:szCs w:val="20"/>
                              </w:rPr>
                            </w:pPr>
                            <w:r>
                              <w:rPr>
                                <w:rFonts w:cs="Calibri" w:cstheme="minorHAnsi"/>
                                <w:color w:themeColor="text1" w:val="000000"/>
                                <w:szCs w:val="20"/>
                              </w:rPr>
                              <w:t>Klíčová slova:</w:t>
                              <w:br/>
                              <w:t>mobilní služby, tržní struktura, ceny, hospodářská soutěž</w:t>
                            </w:r>
                          </w:p>
                          <w:p>
                            <w:pPr>
                              <w:pStyle w:val="FrameContents"/>
                              <w:spacing w:before="0" w:after="200"/>
                              <w:ind w:left="0" w:right="0"/>
                              <w:jc w:val="left"/>
                              <w:rPr>
                                <w:rFonts w:cs="Calibri" w:cstheme="minorHAnsi"/>
                                <w:color w:themeColor="text1" w:val="000000"/>
                                <w:szCs w:val="20"/>
                              </w:rPr>
                            </w:pPr>
                            <w:r>
                              <w:rPr>
                                <w:rFonts w:cs="Calibri" w:cstheme="minorHAnsi"/>
                                <w:color w:themeColor="text1" w:val="000000"/>
                                <w:szCs w:val="20"/>
                              </w:rPr>
                              <w:t>NACE kód:</w:t>
                              <w:br/>
                              <w:t>CZ NACE 6190</w:t>
                            </w:r>
                          </w:p>
                          <w:p>
                            <w:pPr>
                              <w:pStyle w:val="FrameContents"/>
                              <w:spacing w:before="0" w:after="200"/>
                              <w:ind w:left="0" w:right="0"/>
                              <w:jc w:val="left"/>
                              <w:rPr>
                                <w:rFonts w:cs="Calibri" w:cstheme="minorHAnsi"/>
                                <w:color w:themeColor="text1" w:val="000000"/>
                                <w:szCs w:val="20"/>
                              </w:rPr>
                            </w:pPr>
                            <w:r>
                              <w:rPr>
                                <w:rFonts w:cs="Calibri" w:cstheme="minorHAnsi"/>
                                <w:color w:themeColor="text1" w:val="000000"/>
                                <w:szCs w:val="20"/>
                              </w:rPr>
                              <w:t>JEL klasifikace:</w:t>
                              <w:br/>
                              <w:t>L11, L1, L22, L41, L96</w:t>
                            </w:r>
                          </w:p>
                          <w:p>
                            <w:pPr>
                              <w:pStyle w:val="FrameContents"/>
                              <w:spacing w:before="0" w:after="200"/>
                              <w:ind w:left="0" w:right="0"/>
                              <w:jc w:val="left"/>
                              <w:rPr>
                                <w:rFonts w:cs="Calibri" w:cstheme="minorHAnsi"/>
                                <w:color w:themeColor="text1" w:val="000000"/>
                                <w:szCs w:val="20"/>
                              </w:rPr>
                            </w:pPr>
                            <w:r>
                              <w:rPr>
                                <w:rFonts w:cs="Calibri" w:cstheme="minorHAnsi"/>
                                <w:color w:themeColor="text1" w:val="000000"/>
                                <w:szCs w:val="20"/>
                              </w:rPr>
                              <w:t xml:space="preserve">Počet zpracovaných souborů; </w:t>
                            </w:r>
                            <w:r>
                              <w:rPr>
                                <w:rFonts w:cs="Calibri" w:cstheme="minorHAnsi"/>
                                <w:i/>
                                <w:iCs/>
                                <w:color w:themeColor="text1" w:val="000000"/>
                                <w:szCs w:val="20"/>
                              </w:rPr>
                              <w:t>lines of code</w:t>
                            </w:r>
                            <w:r>
                              <w:rPr>
                                <w:rFonts w:cs="Calibri" w:cstheme="minorHAnsi"/>
                                <w:color w:themeColor="text1" w:val="000000"/>
                                <w:szCs w:val="20"/>
                              </w:rPr>
                              <w:t xml:space="preserve">; </w:t>
                            </w:r>
                            <w:r>
                              <w:rPr>
                                <w:rFonts w:cs="Calibri" w:cstheme="minorHAnsi"/>
                                <w:i/>
                                <w:iCs/>
                                <w:color w:themeColor="text1" w:val="000000"/>
                                <w:szCs w:val="20"/>
                              </w:rPr>
                              <w:t>render time</w:t>
                            </w:r>
                            <w:r>
                              <w:rPr>
                                <w:rFonts w:cs="Calibri" w:cstheme="minorHAnsi"/>
                                <w:color w:themeColor="text1" w:val="000000"/>
                                <w:szCs w:val="20"/>
                              </w:rPr>
                              <w:t>:</w:t>
                              <w:br/>
                              <w:t>XXX, XXX, XXX</w:t>
                            </w:r>
                          </w:p>
                          <w:p>
                            <w:pPr>
                              <w:pStyle w:val="FrameContents"/>
                              <w:spacing w:before="0" w:after="200"/>
                              <w:ind w:left="0" w:right="0"/>
                              <w:jc w:val="left"/>
                              <w:rPr>
                                <w:rFonts w:cs="Calibri" w:cstheme="minorHAnsi"/>
                                <w:color w:themeColor="text1" w:val="000000"/>
                                <w:szCs w:val="20"/>
                              </w:rPr>
                            </w:pPr>
                            <w:r>
                              <w:rPr>
                                <w:rFonts w:cs="Calibri" w:cstheme="minorHAnsi"/>
                                <w:color w:themeColor="text1" w:val="000000"/>
                                <w:szCs w:val="20"/>
                              </w:rPr>
                              <w:t>Citace:</w:t>
                              <w:br/>
                              <w:t xml:space="preserve">Sekce hospodářské soutěže. </w:t>
                            </w:r>
                            <w:r>
                              <w:rPr>
                                <w:rFonts w:cs="Calibri" w:cstheme="minorHAnsi"/>
                                <w:i/>
                                <w:iCs/>
                                <w:color w:themeColor="text1" w:val="000000"/>
                                <w:szCs w:val="20"/>
                              </w:rPr>
                              <w:t xml:space="preserve">Závěrečná zpráva XX/20XX: mobilní telekomunikační služby poskytované domácnostem </w:t>
                            </w:r>
                            <w:r>
                              <w:rPr>
                                <w:rFonts w:cs="Calibri" w:cstheme="minorHAnsi"/>
                                <w:color w:themeColor="text1" w:val="000000"/>
                                <w:szCs w:val="20"/>
                              </w:rPr>
                              <w:t>[online]. Brno: Úřad pro ochranu hospodářské soutěže, 20XX. Dostupné z: XXX.</w:t>
                            </w:r>
                          </w:p>
                          <w:p>
                            <w:pPr>
                              <w:pStyle w:val="FrameContents"/>
                              <w:spacing w:before="200" w:after="0"/>
                              <w:ind w:left="0" w:right="0"/>
                              <w:jc w:val="left"/>
                              <w:rPr>
                                <w:rFonts w:cs="Calibri" w:cstheme="minorHAnsi"/>
                                <w:b/>
                                <w:bCs/>
                                <w:color w:val="D70C0F"/>
                                <w:szCs w:val="20"/>
                              </w:rPr>
                            </w:pPr>
                            <w:r>
                              <w:rPr>
                                <w:rFonts w:cs="Calibri" w:cstheme="minorHAnsi"/>
                                <w:b/>
                                <w:bCs/>
                                <w:color w:val="D70C0F"/>
                                <w:szCs w:val="20"/>
                              </w:rPr>
                              <w:t>[[^OT]]</w:t>
                            </w:r>
                            <w:r>
                              <w:rPr>
                                <w:rFonts w:cs="Calibri" w:cstheme="minorHAnsi"/>
                                <w:b/>
                                <w:bCs/>
                                <w:color w:val="D70C0F"/>
                                <w:szCs w:val="20"/>
                              </w:rPr>
                              <w:t>Obsahuje</w:t>
                            </w:r>
                            <w:r>
                              <w:rPr>
                                <w:rFonts w:cs="Calibri" w:cstheme="minorHAnsi"/>
                                <w:b/>
                                <w:bCs/>
                                <w:color w:val="D70C0F"/>
                                <w:szCs w:val="20"/>
                              </w:rPr>
                              <w:t>[[/OT]][[#OT]]neobsahuje[[/OT]]</w:t>
                            </w:r>
                            <w:r>
                              <w:rPr>
                                <w:rFonts w:cs="Calibri" w:cstheme="minorHAnsi"/>
                                <w:b/>
                                <w:bCs/>
                                <w:color w:val="D70C0F"/>
                                <w:szCs w:val="20"/>
                              </w:rPr>
                              <w:t xml:space="preserve"> obchodní tajemství</w:t>
                            </w:r>
                          </w:p>
                        </w:txbxContent>
                      </wps:txbx>
                      <wps:bodyPr anchor="b">
                        <a:noAutofit/>
                      </wps:bodyPr>
                    </wps:wsp>
                  </a:graphicData>
                </a:graphic>
              </wp:anchor>
            </w:drawing>
          </mc:Choice>
          <mc:Fallback>
            <w:pict>
              <v:rect id="shape_0" ID="Textové pole 2" path="m0,0l-2147483645,0l-2147483645,-2147483646l0,-2147483646xe" stroked="f" o:allowincell="f" style="position:absolute;margin-left:0pt;margin-top:355.55pt;width:287.35pt;height:343.65pt;mso-wrap-style:square;v-text-anchor:bottom;mso-position-horizontal:left;mso-position-horizontal-relative:margin" wp14:anchorId="00BE25B1">
                <v:fill o:detectmouseclick="t" on="false"/>
                <v:stroke color="#3465a4" weight="9360" joinstyle="round" endcap="flat"/>
                <v:textbox>
                  <w:txbxContent>
                    <w:p>
                      <w:pPr>
                        <w:pStyle w:val="FrameContents"/>
                        <w:spacing w:before="0" w:after="200"/>
                        <w:ind w:left="0" w:right="0"/>
                        <w:jc w:val="left"/>
                        <w:rPr>
                          <w:rFonts w:cs="Calibri" w:cstheme="minorHAnsi"/>
                          <w:b/>
                          <w:bCs/>
                          <w:color w:val="D70C0F"/>
                          <w:szCs w:val="20"/>
                        </w:rPr>
                      </w:pPr>
                      <w:r>
                        <w:rPr>
                          <w:rFonts w:cs="Calibri" w:cstheme="minorHAnsi"/>
                          <w:b/>
                          <w:bCs/>
                          <w:color w:val="D70C0F"/>
                          <w:szCs w:val="20"/>
                        </w:rPr>
                        <w:t>Úřad pro ochranu hospodářské soutěže</w:t>
                      </w:r>
                    </w:p>
                    <w:p>
                      <w:pPr>
                        <w:pStyle w:val="FrameContents"/>
                        <w:spacing w:before="0" w:after="0"/>
                        <w:ind w:left="0" w:right="0"/>
                        <w:jc w:val="left"/>
                        <w:rPr>
                          <w:rFonts w:cs="Calibri" w:cstheme="minorHAnsi"/>
                          <w:b/>
                          <w:color w:val="00469B"/>
                          <w:szCs w:val="20"/>
                        </w:rPr>
                      </w:pPr>
                      <w:r>
                        <w:rPr>
                          <w:rFonts w:cs="Calibri" w:cstheme="minorHAnsi"/>
                          <w:b/>
                          <w:bCs/>
                          <w:color w:val="00469B"/>
                          <w:szCs w:val="20"/>
                        </w:rPr>
                        <w:t>Sekce hospodářské soutěže</w:t>
                      </w:r>
                    </w:p>
                    <w:p>
                      <w:pPr>
                        <w:pStyle w:val="FrameContents"/>
                        <w:ind w:left="0" w:right="284"/>
                        <w:rPr/>
                      </w:pPr>
                      <w:r>
                        <w:rPr>
                          <w:rFonts w:cs="Calibri" w:cstheme="minorHAnsi"/>
                          <w:color w:themeColor="text1" w:val="000000"/>
                          <w:szCs w:val="20"/>
                        </w:rPr>
                        <w:t>V Brně</w:t>
                      </w:r>
                    </w:p>
                    <w:p>
                      <w:pPr>
                        <w:pStyle w:val="FrameContents"/>
                        <w:spacing w:before="0" w:after="0"/>
                        <w:ind w:left="0" w:right="0"/>
                        <w:jc w:val="left"/>
                        <w:rPr>
                          <w:rFonts w:cs="Calibri" w:cstheme="minorHAnsi"/>
                          <w:color w:themeColor="text1" w:val="000000"/>
                          <w:szCs w:val="20"/>
                        </w:rPr>
                      </w:pPr>
                      <w:r>
                        <w:rPr>
                          <w:rFonts w:cs="Calibri" w:cstheme="minorHAnsi"/>
                          <w:color w:themeColor="text1" w:val="000000"/>
                          <w:szCs w:val="20"/>
                        </w:rPr>
                        <w:t>Dne XX. X. 2027</w:t>
                      </w:r>
                    </w:p>
                    <w:p>
                      <w:pPr>
                        <w:pStyle w:val="FrameContents"/>
                        <w:spacing w:before="0" w:after="200"/>
                        <w:ind w:left="0" w:right="0"/>
                        <w:jc w:val="left"/>
                        <w:rPr>
                          <w:rFonts w:cs="Calibri" w:cstheme="minorHAnsi"/>
                          <w:color w:themeColor="text1" w:val="000000"/>
                          <w:szCs w:val="20"/>
                        </w:rPr>
                      </w:pPr>
                      <w:r>
                        <w:rPr>
                          <w:rFonts w:cs="Calibri" w:cstheme="minorHAnsi"/>
                          <w:color w:themeColor="text1" w:val="000000"/>
                          <w:szCs w:val="20"/>
                        </w:rPr>
                        <w:t>Čj.: ÚOHS-XXXXX/2027/XXX</w:t>
                      </w:r>
                    </w:p>
                    <w:p>
                      <w:pPr>
                        <w:pStyle w:val="FrameContents"/>
                        <w:spacing w:before="0" w:after="200"/>
                        <w:ind w:left="0" w:right="0"/>
                        <w:jc w:val="left"/>
                        <w:rPr>
                          <w:rFonts w:cs="Calibri" w:cstheme="minorHAnsi"/>
                          <w:color w:themeColor="text1" w:val="000000"/>
                          <w:szCs w:val="20"/>
                        </w:rPr>
                      </w:pPr>
                      <w:r>
                        <w:rPr>
                          <w:rFonts w:cs="Calibri" w:cstheme="minorHAnsi"/>
                          <w:color w:themeColor="text1" w:val="000000"/>
                          <w:szCs w:val="20"/>
                        </w:rPr>
                        <w:t>Klíčová slova:</w:t>
                        <w:br/>
                        <w:t>mobilní služby, tržní struktura, ceny, hospodářská soutěž</w:t>
                      </w:r>
                    </w:p>
                    <w:p>
                      <w:pPr>
                        <w:pStyle w:val="FrameContents"/>
                        <w:spacing w:before="0" w:after="200"/>
                        <w:ind w:left="0" w:right="0"/>
                        <w:jc w:val="left"/>
                        <w:rPr>
                          <w:rFonts w:cs="Calibri" w:cstheme="minorHAnsi"/>
                          <w:color w:themeColor="text1" w:val="000000"/>
                          <w:szCs w:val="20"/>
                        </w:rPr>
                      </w:pPr>
                      <w:r>
                        <w:rPr>
                          <w:rFonts w:cs="Calibri" w:cstheme="minorHAnsi"/>
                          <w:color w:themeColor="text1" w:val="000000"/>
                          <w:szCs w:val="20"/>
                        </w:rPr>
                        <w:t>NACE kód:</w:t>
                        <w:br/>
                        <w:t>CZ NACE 6190</w:t>
                      </w:r>
                    </w:p>
                    <w:p>
                      <w:pPr>
                        <w:pStyle w:val="FrameContents"/>
                        <w:spacing w:before="0" w:after="200"/>
                        <w:ind w:left="0" w:right="0"/>
                        <w:jc w:val="left"/>
                        <w:rPr>
                          <w:rFonts w:cs="Calibri" w:cstheme="minorHAnsi"/>
                          <w:color w:themeColor="text1" w:val="000000"/>
                          <w:szCs w:val="20"/>
                        </w:rPr>
                      </w:pPr>
                      <w:r>
                        <w:rPr>
                          <w:rFonts w:cs="Calibri" w:cstheme="minorHAnsi"/>
                          <w:color w:themeColor="text1" w:val="000000"/>
                          <w:szCs w:val="20"/>
                        </w:rPr>
                        <w:t>JEL klasifikace:</w:t>
                        <w:br/>
                        <w:t>L11, L1, L22, L41, L96</w:t>
                      </w:r>
                    </w:p>
                    <w:p>
                      <w:pPr>
                        <w:pStyle w:val="FrameContents"/>
                        <w:spacing w:before="0" w:after="200"/>
                        <w:ind w:left="0" w:right="0"/>
                        <w:jc w:val="left"/>
                        <w:rPr>
                          <w:rFonts w:cs="Calibri" w:cstheme="minorHAnsi"/>
                          <w:color w:themeColor="text1" w:val="000000"/>
                          <w:szCs w:val="20"/>
                        </w:rPr>
                      </w:pPr>
                      <w:r>
                        <w:rPr>
                          <w:rFonts w:cs="Calibri" w:cstheme="minorHAnsi"/>
                          <w:color w:themeColor="text1" w:val="000000"/>
                          <w:szCs w:val="20"/>
                        </w:rPr>
                        <w:t xml:space="preserve">Počet zpracovaných souborů; </w:t>
                      </w:r>
                      <w:r>
                        <w:rPr>
                          <w:rFonts w:cs="Calibri" w:cstheme="minorHAnsi"/>
                          <w:i/>
                          <w:iCs/>
                          <w:color w:themeColor="text1" w:val="000000"/>
                          <w:szCs w:val="20"/>
                        </w:rPr>
                        <w:t>lines of code</w:t>
                      </w:r>
                      <w:r>
                        <w:rPr>
                          <w:rFonts w:cs="Calibri" w:cstheme="minorHAnsi"/>
                          <w:color w:themeColor="text1" w:val="000000"/>
                          <w:szCs w:val="20"/>
                        </w:rPr>
                        <w:t xml:space="preserve">; </w:t>
                      </w:r>
                      <w:r>
                        <w:rPr>
                          <w:rFonts w:cs="Calibri" w:cstheme="minorHAnsi"/>
                          <w:i/>
                          <w:iCs/>
                          <w:color w:themeColor="text1" w:val="000000"/>
                          <w:szCs w:val="20"/>
                        </w:rPr>
                        <w:t>render time</w:t>
                      </w:r>
                      <w:r>
                        <w:rPr>
                          <w:rFonts w:cs="Calibri" w:cstheme="minorHAnsi"/>
                          <w:color w:themeColor="text1" w:val="000000"/>
                          <w:szCs w:val="20"/>
                        </w:rPr>
                        <w:t>:</w:t>
                        <w:br/>
                        <w:t>XXX, XXX, XXX</w:t>
                      </w:r>
                    </w:p>
                    <w:p>
                      <w:pPr>
                        <w:pStyle w:val="FrameContents"/>
                        <w:spacing w:before="0" w:after="200"/>
                        <w:ind w:left="0" w:right="0"/>
                        <w:jc w:val="left"/>
                        <w:rPr>
                          <w:rFonts w:cs="Calibri" w:cstheme="minorHAnsi"/>
                          <w:color w:themeColor="text1" w:val="000000"/>
                          <w:szCs w:val="20"/>
                        </w:rPr>
                      </w:pPr>
                      <w:r>
                        <w:rPr>
                          <w:rFonts w:cs="Calibri" w:cstheme="minorHAnsi"/>
                          <w:color w:themeColor="text1" w:val="000000"/>
                          <w:szCs w:val="20"/>
                        </w:rPr>
                        <w:t>Citace:</w:t>
                        <w:br/>
                        <w:t xml:space="preserve">Sekce hospodářské soutěže. </w:t>
                      </w:r>
                      <w:r>
                        <w:rPr>
                          <w:rFonts w:cs="Calibri" w:cstheme="minorHAnsi"/>
                          <w:i/>
                          <w:iCs/>
                          <w:color w:themeColor="text1" w:val="000000"/>
                          <w:szCs w:val="20"/>
                        </w:rPr>
                        <w:t xml:space="preserve">Závěrečná zpráva XX/20XX: mobilní telekomunikační služby poskytované domácnostem </w:t>
                      </w:r>
                      <w:r>
                        <w:rPr>
                          <w:rFonts w:cs="Calibri" w:cstheme="minorHAnsi"/>
                          <w:color w:themeColor="text1" w:val="000000"/>
                          <w:szCs w:val="20"/>
                        </w:rPr>
                        <w:t>[online]. Brno: Úřad pro ochranu hospodářské soutěže, 20XX. Dostupné z: XXX.</w:t>
                      </w:r>
                    </w:p>
                    <w:p>
                      <w:pPr>
                        <w:pStyle w:val="FrameContents"/>
                        <w:spacing w:before="200" w:after="0"/>
                        <w:ind w:left="0" w:right="0"/>
                        <w:jc w:val="left"/>
                        <w:rPr>
                          <w:rFonts w:cs="Calibri" w:cstheme="minorHAnsi"/>
                          <w:b/>
                          <w:bCs/>
                          <w:color w:val="D70C0F"/>
                          <w:szCs w:val="20"/>
                        </w:rPr>
                      </w:pPr>
                      <w:r>
                        <w:rPr>
                          <w:rFonts w:cs="Calibri" w:cstheme="minorHAnsi"/>
                          <w:b/>
                          <w:bCs/>
                          <w:color w:val="D70C0F"/>
                          <w:szCs w:val="20"/>
                        </w:rPr>
                        <w:t>[[^OT]]</w:t>
                      </w:r>
                      <w:r>
                        <w:rPr>
                          <w:rFonts w:cs="Calibri" w:cstheme="minorHAnsi"/>
                          <w:b/>
                          <w:bCs/>
                          <w:color w:val="D70C0F"/>
                          <w:szCs w:val="20"/>
                        </w:rPr>
                        <w:t>Obsahuje</w:t>
                      </w:r>
                      <w:r>
                        <w:rPr>
                          <w:rFonts w:cs="Calibri" w:cstheme="minorHAnsi"/>
                          <w:b/>
                          <w:bCs/>
                          <w:color w:val="D70C0F"/>
                          <w:szCs w:val="20"/>
                        </w:rPr>
                        <w:t>[[/OT]][[#OT]]neobsahuje[[/OT]]</w:t>
                      </w:r>
                      <w:r>
                        <w:rPr>
                          <w:rFonts w:cs="Calibri" w:cstheme="minorHAnsi"/>
                          <w:b/>
                          <w:bCs/>
                          <w:color w:val="D70C0F"/>
                          <w:szCs w:val="20"/>
                        </w:rPr>
                        <w:t xml:space="preserve"> obchodní tajemství</w:t>
                      </w:r>
                    </w:p>
                  </w:txbxContent>
                </v:textbox>
                <w10:wrap type="square"/>
              </v:rect>
            </w:pict>
          </mc:Fallback>
        </mc:AlternateContent>
      </w:r>
      <w:r>
        <w:rPr/>
        <w:t>[[cislo1]]</w:t>
      </w:r>
    </w:p>
    <w:p>
      <w:pPr>
        <w:pStyle w:val="Normal"/>
        <w:spacing w:lineRule="auto" w:line="259" w:before="0" w:after="160"/>
        <w:ind w:left="0" w:right="0"/>
        <w:jc w:val="left"/>
        <w:rPr/>
      </w:pPr>
      <w:r>
        <w:rPr/>
        <w:t xml:space="preserve">[[cislo2  </w:t>
      </w:r>
      <w:r>
        <w:rPr/>
        <w:t>{</w:t>
      </w:r>
      <w:r>
        <w:rPr>
          <w:rFonts w:ascii="Fira Code;Cascadia Code;JetBrains Mono;Menlo;Monaco;Courier New;monospace;Droid Sans Mono;monospace;monospace" w:hAnsi="Fira Code;Cascadia Code;JetBrains Mono;Menlo;Monaco;Courier New;monospace;Droid Sans Mono;monospace;monospace"/>
          <w:b w:val="false"/>
          <w:color w:val="9CDCFE"/>
          <w:sz w:val="20"/>
          <w:shd w:fill="000000" w:val="clear"/>
        </w:rPr>
        <w:t>"number"</w:t>
      </w:r>
      <w:r>
        <w:rPr>
          <w:rFonts w:ascii="Fira Code;Cascadia Code;JetBrains Mono;Menlo;Monaco;Courier New;monospace;Droid Sans Mono;monospace;monospace" w:hAnsi="Fira Code;Cascadia Code;JetBrains Mono;Menlo;Monaco;Courier New;monospace;Droid Sans Mono;monospace;monospace"/>
          <w:b w:val="false"/>
          <w:color w:val="FFFF00"/>
          <w:sz w:val="20"/>
          <w:shd w:fill="000000" w:val="clear"/>
        </w:rPr>
        <w:t>:</w:t>
      </w:r>
      <w:r>
        <w:rPr>
          <w:rFonts w:ascii="Fira Code;Cascadia Code;JetBrains Mono;Menlo;Monaco;Courier New;monospace;Droid Sans Mono;monospace;monospace" w:hAnsi="Fira Code;Cascadia Code;JetBrains Mono;Menlo;Monaco;Courier New;monospace;Droid Sans Mono;monospace;monospace"/>
          <w:b w:val="false"/>
          <w:color w:val="FFFFFF"/>
          <w:sz w:val="20"/>
          <w:shd w:fill="000000" w:val="clear"/>
        </w:rPr>
        <w:t xml:space="preserve"> </w:t>
      </w:r>
      <w:r>
        <w:rPr>
          <w:rFonts w:ascii="Fira Code;Cascadia Code;JetBrains Mono;Menlo;Monaco;Courier New;monospace;Droid Sans Mono;monospace;monospace" w:hAnsi="Fira Code;Cascadia Code;JetBrains Mono;Menlo;Monaco;Courier New;monospace;Droid Sans Mono;monospace;monospace"/>
          <w:b w:val="false"/>
          <w:color w:val="FFFF00"/>
          <w:sz w:val="20"/>
          <w:shd w:fill="000000" w:val="clear"/>
        </w:rPr>
        <w:t>{</w:t>
      </w:r>
    </w:p>
    <w:p>
      <w:pPr>
        <w:pStyle w:val="Normal"/>
        <w:spacing w:lineRule="atLeast" w:line="270" w:before="120" w:after="0"/>
        <w:ind w:hanging="0" w:left="0" w:right="0"/>
        <w:rPr>
          <w:rFonts w:ascii="Fira Code;Cascadia Code;JetBrains Mono;Menlo;Monaco;Courier New;monospace;Droid Sans Mono;monospace;monospace" w:hAnsi="Fira Code;Cascadia Code;JetBrains Mono;Menlo;Monaco;Courier New;monospace;Droid Sans Mono;monospace;monospace"/>
          <w:b w:val="false"/>
          <w:color w:val="FFFFFF"/>
          <w:sz w:val="20"/>
          <w:shd w:fill="000000" w:val="clear"/>
        </w:rPr>
      </w:pPr>
      <w:r>
        <w:rPr>
          <w:rFonts w:ascii="Fira Code;Cascadia Code;JetBrains Mono;Menlo;Monaco;Courier New;monospace;Droid Sans Mono;monospace;monospace" w:hAnsi="Fira Code;Cascadia Code;JetBrains Mono;Menlo;Monaco;Courier New;monospace;Droid Sans Mono;monospace;monospace"/>
          <w:b w:val="false"/>
          <w:color w:val="9CDCFE"/>
          <w:sz w:val="20"/>
          <w:shd w:fill="000000" w:val="clear"/>
        </w:rPr>
        <w:t>"minDecimals"</w:t>
      </w:r>
      <w:r>
        <w:rPr>
          <w:rFonts w:ascii="Fira Code;Cascadia Code;JetBrains Mono;Menlo;Monaco;Courier New;monospace;Droid Sans Mono;monospace;monospace" w:hAnsi="Fira Code;Cascadia Code;JetBrains Mono;Menlo;Monaco;Courier New;monospace;Droid Sans Mono;monospace;monospace"/>
          <w:b w:val="false"/>
          <w:color w:val="FFFF00"/>
          <w:sz w:val="20"/>
          <w:shd w:fill="000000" w:val="clear"/>
        </w:rPr>
        <w:t>:</w:t>
      </w:r>
      <w:r>
        <w:rPr>
          <w:rFonts w:ascii="Fira Code;Cascadia Code;JetBrains Mono;Menlo;Monaco;Courier New;monospace;Droid Sans Mono;monospace;monospace" w:hAnsi="Fira Code;Cascadia Code;JetBrains Mono;Menlo;Monaco;Courier New;monospace;Droid Sans Mono;monospace;monospace"/>
          <w:b w:val="false"/>
          <w:color w:val="FFFFFF"/>
          <w:sz w:val="20"/>
          <w:shd w:fill="000000" w:val="clear"/>
        </w:rPr>
        <w:t xml:space="preserve"> </w:t>
      </w:r>
      <w:r>
        <w:rPr>
          <w:rFonts w:ascii="Fira Code;Cascadia Code;JetBrains Mono;Menlo;Monaco;Courier New;monospace;Droid Sans Mono;monospace;monospace" w:hAnsi="Fira Code;Cascadia Code;JetBrains Mono;Menlo;Monaco;Courier New;monospace;Droid Sans Mono;monospace;monospace"/>
          <w:b w:val="false"/>
          <w:color w:val="FFFFFF"/>
          <w:sz w:val="20"/>
          <w:shd w:fill="000000" w:val="clear"/>
        </w:rPr>
        <w:t>3</w:t>
      </w:r>
      <w:r>
        <w:rPr>
          <w:rFonts w:ascii="Fira Code;Cascadia Code;JetBrains Mono;Menlo;Monaco;Courier New;monospace;Droid Sans Mono;monospace;monospace" w:hAnsi="Fira Code;Cascadia Code;JetBrains Mono;Menlo;Monaco;Courier New;monospace;Droid Sans Mono;monospace;monospace"/>
          <w:b w:val="false"/>
          <w:color w:val="FFFF00"/>
          <w:sz w:val="20"/>
          <w:shd w:fill="000000" w:val="clear"/>
        </w:rPr>
        <w:t>,</w:t>
      </w:r>
    </w:p>
    <w:p>
      <w:pPr>
        <w:pStyle w:val="Normal"/>
        <w:spacing w:lineRule="atLeast" w:line="270" w:before="120" w:after="0"/>
        <w:ind w:hanging="0" w:left="0" w:right="0"/>
        <w:rPr>
          <w:rFonts w:ascii="Fira Code;Cascadia Code;JetBrains Mono;Menlo;Monaco;Courier New;monospace;Droid Sans Mono;monospace;monospace" w:hAnsi="Fira Code;Cascadia Code;JetBrains Mono;Menlo;Monaco;Courier New;monospace;Droid Sans Mono;monospace;monospace"/>
          <w:b w:val="false"/>
          <w:color w:val="FFFFFF"/>
          <w:sz w:val="20"/>
          <w:shd w:fill="000000" w:val="clear"/>
        </w:rPr>
      </w:pPr>
      <w:r>
        <w:rPr>
          <w:rFonts w:ascii="Fira Code;Cascadia Code;JetBrains Mono;Menlo;Monaco;Courier New;monospace;Droid Sans Mono;monospace;monospace" w:hAnsi="Fira Code;Cascadia Code;JetBrains Mono;Menlo;Monaco;Courier New;monospace;Droid Sans Mono;monospace;monospace"/>
          <w:b w:val="false"/>
          <w:color w:val="9CDCFE"/>
          <w:sz w:val="20"/>
          <w:shd w:fill="000000" w:val="clear"/>
        </w:rPr>
        <w:t>"maxDecimals"</w:t>
      </w:r>
      <w:r>
        <w:rPr>
          <w:rFonts w:ascii="Fira Code;Cascadia Code;JetBrains Mono;Menlo;Monaco;Courier New;monospace;Droid Sans Mono;monospace;monospace" w:hAnsi="Fira Code;Cascadia Code;JetBrains Mono;Menlo;Monaco;Courier New;monospace;Droid Sans Mono;monospace;monospace"/>
          <w:b w:val="false"/>
          <w:color w:val="FFFF00"/>
          <w:sz w:val="20"/>
          <w:shd w:fill="000000" w:val="clear"/>
        </w:rPr>
        <w:t>:</w:t>
      </w:r>
      <w:r>
        <w:rPr>
          <w:rFonts w:ascii="Fira Code;Cascadia Code;JetBrains Mono;Menlo;Monaco;Courier New;monospace;Droid Sans Mono;monospace;monospace" w:hAnsi="Fira Code;Cascadia Code;JetBrains Mono;Menlo;Monaco;Courier New;monospace;Droid Sans Mono;monospace;monospace"/>
          <w:b w:val="false"/>
          <w:color w:val="FFFFFF"/>
          <w:sz w:val="20"/>
          <w:shd w:fill="000000" w:val="clear"/>
        </w:rPr>
        <w:t xml:space="preserve"> </w:t>
      </w:r>
      <w:r>
        <w:rPr>
          <w:rFonts w:ascii="Fira Code;Cascadia Code;JetBrains Mono;Menlo;Monaco;Courier New;monospace;Droid Sans Mono;monospace;monospace" w:hAnsi="Fira Code;Cascadia Code;JetBrains Mono;Menlo;Monaco;Courier New;monospace;Droid Sans Mono;monospace;monospace"/>
          <w:b w:val="false"/>
          <w:color w:val="FFFFFF"/>
          <w:sz w:val="20"/>
          <w:shd w:fill="000000" w:val="clear"/>
        </w:rPr>
        <w:t>3</w:t>
      </w:r>
      <w:r>
        <w:rPr>
          <w:rFonts w:ascii="Fira Code;Cascadia Code;JetBrains Mono;Menlo;Monaco;Courier New;monospace;Droid Sans Mono;monospace;monospace" w:hAnsi="Fira Code;Cascadia Code;JetBrains Mono;Menlo;Monaco;Courier New;monospace;Droid Sans Mono;monospace;monospace"/>
          <w:b w:val="false"/>
          <w:color w:val="FFFF00"/>
          <w:sz w:val="20"/>
          <w:shd w:fill="000000" w:val="clear"/>
        </w:rPr>
        <w:t>,</w:t>
      </w:r>
    </w:p>
    <w:p>
      <w:pPr>
        <w:pStyle w:val="Normal"/>
        <w:spacing w:lineRule="atLeast" w:line="270" w:before="120" w:after="0"/>
        <w:ind w:hanging="0" w:left="0" w:right="0"/>
        <w:rPr>
          <w:rFonts w:ascii="Fira Code;Cascadia Code;JetBrains Mono;Menlo;Monaco;Courier New;monospace;Droid Sans Mono;monospace;monospace" w:hAnsi="Fira Code;Cascadia Code;JetBrains Mono;Menlo;Monaco;Courier New;monospace;Droid Sans Mono;monospace;monospace"/>
          <w:b w:val="false"/>
          <w:color w:val="FFFFFF"/>
          <w:sz w:val="20"/>
          <w:shd w:fill="000000" w:val="clear"/>
        </w:rPr>
      </w:pPr>
      <w:r>
        <w:rPr>
          <w:rFonts w:ascii="Fira Code;Cascadia Code;JetBrains Mono;Menlo;Monaco;Courier New;monospace;Droid Sans Mono;monospace;monospace" w:hAnsi="Fira Code;Cascadia Code;JetBrains Mono;Menlo;Monaco;Courier New;monospace;Droid Sans Mono;monospace;monospace"/>
          <w:b w:val="false"/>
          <w:color w:val="9CDCFE"/>
          <w:sz w:val="20"/>
          <w:shd w:fill="000000" w:val="clear"/>
        </w:rPr>
        <w:t>"decimalSeparator"</w:t>
      </w:r>
      <w:r>
        <w:rPr>
          <w:rFonts w:ascii="Fira Code;Cascadia Code;JetBrains Mono;Menlo;Monaco;Courier New;monospace;Droid Sans Mono;monospace;monospace" w:hAnsi="Fira Code;Cascadia Code;JetBrains Mono;Menlo;Monaco;Courier New;monospace;Droid Sans Mono;monospace;monospace"/>
          <w:b w:val="false"/>
          <w:color w:val="FFFF00"/>
          <w:sz w:val="20"/>
          <w:shd w:fill="000000" w:val="clear"/>
        </w:rPr>
        <w:t>:</w:t>
      </w:r>
      <w:r>
        <w:rPr>
          <w:rFonts w:ascii="Fira Code;Cascadia Code;JetBrains Mono;Menlo;Monaco;Courier New;monospace;Droid Sans Mono;monospace;monospace" w:hAnsi="Fira Code;Cascadia Code;JetBrains Mono;Menlo;Monaco;Courier New;monospace;Droid Sans Mono;monospace;monospace"/>
          <w:b w:val="false"/>
          <w:color w:val="FFFFFF"/>
          <w:sz w:val="20"/>
          <w:shd w:fill="000000" w:val="clear"/>
        </w:rPr>
        <w:t xml:space="preserve"> </w:t>
      </w:r>
      <w:r>
        <w:rPr>
          <w:rFonts w:ascii="Fira Code;Cascadia Code;JetBrains Mono;Menlo;Monaco;Courier New;monospace;Droid Sans Mono;monospace;monospace" w:hAnsi="Fira Code;Cascadia Code;JetBrains Mono;Menlo;Monaco;Courier New;monospace;Droid Sans Mono;monospace;monospace"/>
          <w:b w:val="false"/>
          <w:color w:val="CE9178"/>
          <w:sz w:val="20"/>
          <w:shd w:fill="000000" w:val="clear"/>
        </w:rPr>
        <w:t>"."</w:t>
      </w:r>
      <w:r>
        <w:rPr>
          <w:rFonts w:ascii="Fira Code;Cascadia Code;JetBrains Mono;Menlo;Monaco;Courier New;monospace;Droid Sans Mono;monospace;monospace" w:hAnsi="Fira Code;Cascadia Code;JetBrains Mono;Menlo;Monaco;Courier New;monospace;Droid Sans Mono;monospace;monospace"/>
          <w:b w:val="false"/>
          <w:color w:val="FFFF00"/>
          <w:sz w:val="20"/>
          <w:shd w:fill="000000" w:val="clear"/>
        </w:rPr>
        <w:t>,</w:t>
      </w:r>
    </w:p>
    <w:p>
      <w:pPr>
        <w:pStyle w:val="Normal"/>
        <w:spacing w:lineRule="atLeast" w:line="270" w:before="120" w:after="0"/>
        <w:ind w:hanging="0" w:left="0" w:right="0"/>
        <w:rPr>
          <w:rFonts w:ascii="Fira Code;Cascadia Code;JetBrains Mono;Menlo;Monaco;Courier New;monospace;Droid Sans Mono;monospace;monospace" w:hAnsi="Fira Code;Cascadia Code;JetBrains Mono;Menlo;Monaco;Courier New;monospace;Droid Sans Mono;monospace;monospace"/>
          <w:b w:val="false"/>
          <w:color w:val="FFFFFF"/>
          <w:sz w:val="20"/>
          <w:shd w:fill="000000" w:val="clear"/>
        </w:rPr>
      </w:pPr>
      <w:r>
        <w:rPr>
          <w:rFonts w:ascii="Fira Code;Cascadia Code;JetBrains Mono;Menlo;Monaco;Courier New;monospace;Droid Sans Mono;monospace;monospace" w:hAnsi="Fira Code;Cascadia Code;JetBrains Mono;Menlo;Monaco;Courier New;monospace;Droid Sans Mono;monospace;monospace"/>
          <w:b w:val="false"/>
          <w:color w:val="9CDCFE"/>
          <w:sz w:val="20"/>
          <w:shd w:fill="000000" w:val="clear"/>
        </w:rPr>
        <w:t>"thousandSeparator"</w:t>
      </w:r>
      <w:r>
        <w:rPr>
          <w:rFonts w:ascii="Fira Code;Cascadia Code;JetBrains Mono;Menlo;Monaco;Courier New;monospace;Droid Sans Mono;monospace;monospace" w:hAnsi="Fira Code;Cascadia Code;JetBrains Mono;Menlo;Monaco;Courier New;monospace;Droid Sans Mono;monospace;monospace"/>
          <w:b w:val="false"/>
          <w:color w:val="FFFF00"/>
          <w:sz w:val="20"/>
          <w:shd w:fill="000000" w:val="clear"/>
        </w:rPr>
        <w:t>:</w:t>
      </w:r>
      <w:r>
        <w:rPr>
          <w:rFonts w:ascii="Fira Code;Cascadia Code;JetBrains Mono;Menlo;Monaco;Courier New;monospace;Droid Sans Mono;monospace;monospace" w:hAnsi="Fira Code;Cascadia Code;JetBrains Mono;Menlo;Monaco;Courier New;monospace;Droid Sans Mono;monospace;monospace"/>
          <w:b w:val="false"/>
          <w:color w:val="FFFFFF"/>
          <w:sz w:val="20"/>
          <w:shd w:fill="000000" w:val="clear"/>
        </w:rPr>
        <w:t xml:space="preserve"> </w:t>
      </w:r>
      <w:r>
        <w:rPr>
          <w:rFonts w:ascii="Fira Code;Cascadia Code;JetBrains Mono;Menlo;Monaco;Courier New;monospace;Droid Sans Mono;monospace;monospace" w:hAnsi="Fira Code;Cascadia Code;JetBrains Mono;Menlo;Monaco;Courier New;monospace;Droid Sans Mono;monospace;monospace"/>
          <w:b w:val="false"/>
          <w:color w:val="CE9178"/>
          <w:sz w:val="20"/>
          <w:shd w:fill="000000" w:val="clear"/>
        </w:rPr>
        <w:t>" "</w:t>
      </w:r>
      <w:r>
        <w:rPr>
          <w:rFonts w:ascii="Fira Code;Cascadia Code;JetBrains Mono;Menlo;Monaco;Courier New;monospace;Droid Sans Mono;monospace;monospace" w:hAnsi="Fira Code;Cascadia Code;JetBrains Mono;Menlo;Monaco;Courier New;monospace;Droid Sans Mono;monospace;monospace"/>
          <w:b w:val="false"/>
          <w:color w:val="FFFF00"/>
          <w:sz w:val="20"/>
          <w:shd w:fill="000000" w:val="clear"/>
        </w:rPr>
        <w:t>,</w:t>
      </w:r>
    </w:p>
    <w:p>
      <w:pPr>
        <w:pStyle w:val="Normal"/>
        <w:spacing w:lineRule="atLeast" w:line="270" w:before="120" w:after="0"/>
        <w:ind w:hanging="0" w:left="0" w:right="0"/>
        <w:rPr>
          <w:rFonts w:ascii="Fira Code;Cascadia Code;JetBrains Mono;Menlo;Monaco;Courier New;monospace;Droid Sans Mono;monospace;monospace" w:hAnsi="Fira Code;Cascadia Code;JetBrains Mono;Menlo;Monaco;Courier New;monospace;Droid Sans Mono;monospace;monospace"/>
          <w:b w:val="false"/>
          <w:color w:val="FFFFFF"/>
          <w:sz w:val="20"/>
          <w:shd w:fill="000000" w:val="clear"/>
        </w:rPr>
      </w:pPr>
      <w:r>
        <w:rPr>
          <w:rFonts w:ascii="Fira Code;Cascadia Code;JetBrains Mono;Menlo;Monaco;Courier New;monospace;Droid Sans Mono;monospace;monospace" w:hAnsi="Fira Code;Cascadia Code;JetBrains Mono;Menlo;Monaco;Courier New;monospace;Droid Sans Mono;monospace;monospace"/>
          <w:b w:val="false"/>
          <w:color w:val="9CDCFE"/>
          <w:sz w:val="20"/>
          <w:shd w:fill="000000" w:val="clear"/>
        </w:rPr>
        <w:t>"nullText"</w:t>
      </w:r>
      <w:r>
        <w:rPr>
          <w:rFonts w:ascii="Fira Code;Cascadia Code;JetBrains Mono;Menlo;Monaco;Courier New;monospace;Droid Sans Mono;monospace;monospace" w:hAnsi="Fira Code;Cascadia Code;JetBrains Mono;Menlo;Monaco;Courier New;monospace;Droid Sans Mono;monospace;monospace"/>
          <w:b w:val="false"/>
          <w:color w:val="FFFF00"/>
          <w:sz w:val="20"/>
          <w:shd w:fill="000000" w:val="clear"/>
        </w:rPr>
        <w:t>:</w:t>
      </w:r>
      <w:r>
        <w:rPr>
          <w:rFonts w:ascii="Fira Code;Cascadia Code;JetBrains Mono;Menlo;Monaco;Courier New;monospace;Droid Sans Mono;monospace;monospace" w:hAnsi="Fira Code;Cascadia Code;JetBrains Mono;Menlo;Monaco;Courier New;monospace;Droid Sans Mono;monospace;monospace"/>
          <w:b w:val="false"/>
          <w:color w:val="FFFFFF"/>
          <w:sz w:val="20"/>
          <w:shd w:fill="000000" w:val="clear"/>
        </w:rPr>
        <w:t xml:space="preserve"> </w:t>
      </w:r>
      <w:r>
        <w:rPr>
          <w:rFonts w:ascii="Fira Code;Cascadia Code;JetBrains Mono;Menlo;Monaco;Courier New;monospace;Droid Sans Mono;monospace;monospace" w:hAnsi="Fira Code;Cascadia Code;JetBrains Mono;Menlo;Monaco;Courier New;monospace;Droid Sans Mono;monospace;monospace"/>
          <w:b w:val="false"/>
          <w:color w:val="CE9178"/>
          <w:sz w:val="20"/>
          <w:shd w:fill="000000" w:val="clear"/>
        </w:rPr>
        <w:t>"n/a"</w:t>
      </w:r>
    </w:p>
    <w:p>
      <w:pPr>
        <w:pStyle w:val="Normal"/>
        <w:spacing w:lineRule="atLeast" w:line="270" w:before="120" w:after="0"/>
        <w:ind w:hanging="0" w:left="0" w:right="0"/>
        <w:rPr>
          <w:rFonts w:ascii="Fira Code;Cascadia Code;JetBrains Mono;Menlo;Monaco;Courier New;monospace;Droid Sans Mono;monospace;monospace" w:hAnsi="Fira Code;Cascadia Code;JetBrains Mono;Menlo;Monaco;Courier New;monospace;Droid Sans Mono;monospace;monospace"/>
          <w:b w:val="false"/>
          <w:color w:val="FFFF00"/>
          <w:sz w:val="20"/>
          <w:shd w:fill="000000" w:val="clear"/>
        </w:rPr>
      </w:pPr>
      <w:r>
        <w:rPr>
          <w:rFonts w:ascii="Fira Code;Cascadia Code;JetBrains Mono;Menlo;Monaco;Courier New;monospace;Droid Sans Mono;monospace;monospace" w:hAnsi="Fira Code;Cascadia Code;JetBrains Mono;Menlo;Monaco;Courier New;monospace;Droid Sans Mono;monospace;monospace"/>
          <w:b w:val="false"/>
          <w:color w:val="FFFF00"/>
          <w:sz w:val="20"/>
          <w:shd w:fill="000000" w:val="clear"/>
        </w:rPr>
        <w:t>}</w:t>
      </w:r>
      <w:r>
        <w:rPr>
          <w:rFonts w:ascii="Fira Code;Cascadia Code;JetBrains Mono;Menlo;Monaco;Courier New;monospace;Droid Sans Mono;monospace;monospace" w:hAnsi="Fira Code;Cascadia Code;JetBrains Mono;Menlo;Monaco;Courier New;monospace;Droid Sans Mono;monospace;monospace"/>
          <w:b w:val="false"/>
          <w:color w:val="FFFF00"/>
          <w:sz w:val="20"/>
          <w:shd w:fill="000000" w:val="clear"/>
        </w:rPr>
        <w:t>}</w:t>
      </w:r>
    </w:p>
    <w:p>
      <w:pPr>
        <w:pStyle w:val="Normal"/>
        <w:spacing w:lineRule="auto" w:line="259" w:before="0" w:after="160"/>
        <w:ind w:left="0" w:right="0"/>
        <w:jc w:val="left"/>
        <w:rPr/>
      </w:pPr>
      <w:r>
        <w:rPr/>
        <w:t>]]</w:t>
      </w:r>
    </w:p>
    <w:p>
      <w:pPr>
        <w:pStyle w:val="Normal"/>
        <w:spacing w:lineRule="auto" w:line="259" w:before="0" w:after="160"/>
        <w:ind w:left="0" w:right="0"/>
        <w:jc w:val="left"/>
        <w:rPr/>
      </w:pPr>
      <w:r>
        <w:rPr/>
        <w:t xml:space="preserve">[[cislo3 </w:t>
      </w:r>
      <w:r>
        <w:rPr/>
        <w:t>use=coef4</w:t>
      </w:r>
      <w:r>
        <w:rPr/>
        <w:t>]]</w:t>
      </w:r>
    </w:p>
    <w:p>
      <w:pPr>
        <w:pStyle w:val="Normal"/>
        <w:spacing w:lineRule="auto" w:line="259" w:before="0" w:after="160"/>
        <w:ind w:left="0" w:right="0"/>
        <w:jc w:val="left"/>
        <w:rPr/>
      </w:pPr>
      <w:r>
        <w:rPr/>
        <w:t>[[^OT]] tajny text s obchodnim tajemstvim[[/OT]]</w:t>
      </w:r>
    </w:p>
    <w:p>
      <w:pPr>
        <w:pStyle w:val="Normal"/>
        <w:spacing w:lineRule="auto" w:line="259" w:before="0" w:after="160"/>
        <w:ind w:left="0" w:right="0"/>
        <w:jc w:val="left"/>
        <w:rPr/>
      </w:pPr>
      <w:r>
        <w:rPr/>
        <w:t>[[#OT]][[censorText1]][[/OT]]</w:t>
      </w:r>
    </w:p>
    <w:p>
      <w:pPr>
        <w:pStyle w:val="Tabulkatext"/>
        <w:widowControl/>
        <w:suppressAutoHyphens w:val="true"/>
        <w:rPr>
          <w:kern w:val="0"/>
          <w:lang w:val="cs-CZ" w:bidi="ar-SA"/>
        </w:rPr>
      </w:pPr>
      <w:r>
        <w:rPr>
          <w:kern w:val="0"/>
          <w:lang w:val="cs-CZ" w:eastAsia="en-US" w:bidi="ar-SA"/>
        </w:rPr>
        <w:t>[[renderedAt]]</w:t>
      </w:r>
    </w:p>
    <w:p>
      <w:pPr>
        <w:pStyle w:val="Tabulkatext"/>
        <w:widowControl/>
        <w:suppressAutoHyphens w:val="true"/>
        <w:rPr>
          <w:kern w:val="0"/>
          <w:lang w:val="cs-CZ" w:bidi="ar-SA"/>
        </w:rPr>
      </w:pPr>
      <w:r>
        <w:rPr/>
      </w:r>
    </w:p>
    <w:p>
      <w:pPr>
        <w:pStyle w:val="Tabulkatext"/>
        <w:widowControl/>
        <w:suppressAutoHyphens w:val="true"/>
        <w:rPr>
          <w:kern w:val="0"/>
          <w:lang w:val="cs-CZ" w:bidi="ar-SA"/>
        </w:rPr>
      </w:pPr>
      <w:r>
        <w:rPr>
          <w:kern w:val="0"/>
          <w:lang w:val="cs-CZ" w:eastAsia="en-US" w:bidi="ar-SA"/>
        </w:rPr>
        <w:t>[[renderedAt use=czDateTime]]</w:t>
      </w:r>
    </w:p>
    <w:p>
      <w:pPr>
        <w:pStyle w:val="Tabulkatext"/>
        <w:widowControl/>
        <w:suppressAutoHyphens w:val="true"/>
        <w:rPr>
          <w:kern w:val="0"/>
          <w:lang w:val="cs-CZ" w:bidi="ar-SA"/>
        </w:rPr>
      </w:pPr>
      <w:r>
        <w:rPr/>
      </w:r>
      <w:r>
        <w:br w:type="page"/>
      </w:r>
    </w:p>
    <w:p>
      <w:pPr>
        <w:pStyle w:val="Textprost"/>
        <w:spacing w:before="0" w:after="160"/>
        <w:rPr/>
      </w:pPr>
      <w:r>
        <w:rPr/>
      </w:r>
    </w:p>
    <w:p>
      <w:pPr>
        <w:pStyle w:val="Heading1"/>
        <w:numPr>
          <w:ilvl w:val="0"/>
          <w:numId w:val="0"/>
        </w:numPr>
        <w:ind w:hanging="0" w:left="114" w:right="284"/>
        <w:rPr>
          <w:lang w:val="en-GB"/>
        </w:rPr>
      </w:pPr>
      <w:bookmarkStart w:id="13" w:name="_Toc229057776"/>
      <w:r>
        <w:rPr/>
        <w:t>Obsah /</w:t>
        <w:br/>
      </w:r>
      <w:r>
        <w:rPr>
          <w:i/>
          <w:iCs/>
          <w:sz w:val="36"/>
          <w:szCs w:val="36"/>
          <w:lang w:val="en-GB"/>
        </w:rPr>
        <w:t>Content</w:t>
      </w:r>
      <w:bookmarkEnd w:id="13"/>
    </w:p>
    <w:sdt>
      <w:sdtPr>
        <w:docPartObj>
          <w:docPartGallery w:val="Table of Contents"/>
          <w:docPartUnique w:val="true"/>
        </w:docPartObj>
      </w:sdtPr>
      <w:sdtContent>
        <w:p>
          <w:pPr>
            <w:pStyle w:val="TOC1"/>
            <w:tabs>
              <w:tab w:val="clear" w:pos="708"/>
              <w:tab w:val="right" w:pos="9061" w:leader="dot"/>
            </w:tabs>
            <w:rPr>
              <w:rFonts w:ascii="Calibri" w:hAnsi="Calibri" w:eastAsia="" w:asciiTheme="minorHAnsi" w:eastAsiaTheme="minorEastAsia" w:hAnsiTheme="minorHAnsi"/>
              <w:b w:val="false"/>
              <w:bCs w:val="false"/>
              <w:kern w:val="2"/>
              <w:sz w:val="24"/>
              <w:szCs w:val="24"/>
              <w:lang w:eastAsia="cs-CZ"/>
              <w14:ligatures w14:val="standardContextual"/>
            </w:rPr>
          </w:pPr>
          <w:r>
            <w:fldChar w:fldCharType="begin"/>
          </w:r>
          <w:r>
            <w:rPr>
              <w:webHidden/>
              <w:rStyle w:val="IndexLink"/>
              <w:vanish w:val="false"/>
            </w:rPr>
            <w:instrText xml:space="preserve"> TOC \z \o "1-3" \u \h</w:instrText>
          </w:r>
          <w:r>
            <w:rPr>
              <w:webHidden/>
              <w:rStyle w:val="IndexLink"/>
              <w:vanish w:val="false"/>
            </w:rPr>
            <w:fldChar w:fldCharType="separate"/>
          </w:r>
          <w:hyperlink w:anchor="_Toc229057776">
            <w:r>
              <w:rPr>
                <w:webHidden/>
                <w:rStyle w:val="IndexLink"/>
                <w:vanish w:val="false"/>
              </w:rPr>
              <w:t xml:space="preserve">Obsah / </w:t>
            </w:r>
            <w:r>
              <w:rPr>
                <w:rStyle w:val="IndexLink"/>
                <w:i/>
                <w:iCs/>
                <w:lang w:val="en-GB"/>
              </w:rPr>
              <w:t>Content</w:t>
            </w:r>
            <w:r>
              <w:rPr>
                <w:webHidden/>
              </w:rPr>
              <w:fldChar w:fldCharType="begin"/>
            </w:r>
            <w:r>
              <w:rPr>
                <w:webHidden/>
              </w:rPr>
              <w:instrText xml:space="preserve">PAGEREF _Toc229057776 \h</w:instrText>
            </w:r>
            <w:r>
              <w:rPr>
                <w:webHidden/>
              </w:rPr>
              <w:fldChar w:fldCharType="separate"/>
            </w:r>
            <w:r>
              <w:rPr>
                <w:rStyle w:val="IndexLink"/>
                <w:vanish w:val="false"/>
              </w:rPr>
              <w:tab/>
              <w:t>ii</w:t>
            </w:r>
            <w:r>
              <w:rPr>
                <w:webHidden/>
              </w:rPr>
              <w:fldChar w:fldCharType="end"/>
            </w:r>
          </w:hyperlink>
        </w:p>
        <w:p>
          <w:pPr>
            <w:pStyle w:val="TOC1"/>
            <w:tabs>
              <w:tab w:val="clear" w:pos="708"/>
              <w:tab w:val="right" w:pos="9061" w:leader="dot"/>
            </w:tabs>
            <w:rPr>
              <w:rFonts w:ascii="Calibri" w:hAnsi="Calibri" w:eastAsia="" w:asciiTheme="minorHAnsi" w:eastAsiaTheme="minorEastAsia" w:hAnsiTheme="minorHAnsi"/>
              <w:b w:val="false"/>
              <w:bCs w:val="false"/>
              <w:kern w:val="2"/>
              <w:sz w:val="24"/>
              <w:szCs w:val="24"/>
              <w:lang w:eastAsia="cs-CZ"/>
              <w14:ligatures w14:val="standardContextual"/>
            </w:rPr>
          </w:pPr>
          <w:hyperlink w:anchor="_Toc229057777">
            <w:r>
              <w:rPr>
                <w:webHidden/>
                <w:rStyle w:val="IndexLink"/>
                <w:vanish w:val="false"/>
              </w:rPr>
              <w:t xml:space="preserve">Seznam použitých zkratek / </w:t>
            </w:r>
            <w:r>
              <w:rPr>
                <w:rStyle w:val="IndexLink"/>
                <w:i/>
                <w:iCs/>
              </w:rPr>
              <w:t>List of Acronyms and Abbreviations</w:t>
            </w:r>
            <w:r>
              <w:rPr>
                <w:webHidden/>
              </w:rPr>
              <w:fldChar w:fldCharType="begin"/>
            </w:r>
            <w:r>
              <w:rPr>
                <w:webHidden/>
              </w:rPr>
              <w:instrText xml:space="preserve">PAGEREF _Toc229057777 \h</w:instrText>
            </w:r>
            <w:r>
              <w:rPr>
                <w:webHidden/>
              </w:rPr>
              <w:fldChar w:fldCharType="separate"/>
            </w:r>
            <w:r>
              <w:rPr>
                <w:rStyle w:val="IndexLink"/>
                <w:vanish w:val="false"/>
              </w:rPr>
              <w:tab/>
              <w:t>vii</w:t>
            </w:r>
            <w:r>
              <w:rPr>
                <w:webHidden/>
              </w:rPr>
              <w:fldChar w:fldCharType="end"/>
            </w:r>
          </w:hyperlink>
        </w:p>
        <w:p>
          <w:pPr>
            <w:pStyle w:val="TOC1"/>
            <w:tabs>
              <w:tab w:val="clear" w:pos="708"/>
              <w:tab w:val="right" w:pos="9061" w:leader="dot"/>
            </w:tabs>
            <w:rPr>
              <w:rFonts w:ascii="Calibri" w:hAnsi="Calibri" w:eastAsia="" w:asciiTheme="minorHAnsi" w:eastAsiaTheme="minorEastAsia" w:hAnsiTheme="minorHAnsi"/>
              <w:b w:val="false"/>
              <w:bCs w:val="false"/>
              <w:kern w:val="2"/>
              <w:sz w:val="24"/>
              <w:szCs w:val="24"/>
              <w:lang w:eastAsia="cs-CZ"/>
              <w14:ligatures w14:val="standardContextual"/>
            </w:rPr>
          </w:pPr>
          <w:hyperlink w:anchor="_Toc229057778">
            <w:r>
              <w:rPr>
                <w:webHidden/>
                <w:rStyle w:val="IndexLink"/>
                <w:vanish w:val="false"/>
              </w:rPr>
              <w:t xml:space="preserve">Úvodní slovo předsedy Úřadu / </w:t>
            </w:r>
            <w:r>
              <w:rPr>
                <w:rStyle w:val="IndexLink"/>
                <w:i/>
                <w:iCs/>
              </w:rPr>
              <w:t>Foreword by the Chairman of the Office</w:t>
            </w:r>
            <w:r>
              <w:rPr>
                <w:webHidden/>
              </w:rPr>
              <w:fldChar w:fldCharType="begin"/>
            </w:r>
            <w:r>
              <w:rPr>
                <w:webHidden/>
              </w:rPr>
              <w:instrText xml:space="preserve">PAGEREF _Toc229057778 \h</w:instrText>
            </w:r>
            <w:r>
              <w:rPr>
                <w:webHidden/>
              </w:rPr>
              <w:fldChar w:fldCharType="separate"/>
            </w:r>
            <w:r>
              <w:rPr>
                <w:rStyle w:val="IndexLink"/>
                <w:vanish w:val="false"/>
              </w:rPr>
              <w:tab/>
              <w:t>viii</w:t>
            </w:r>
            <w:r>
              <w:rPr>
                <w:webHidden/>
              </w:rPr>
              <w:fldChar w:fldCharType="end"/>
            </w:r>
          </w:hyperlink>
        </w:p>
        <w:p>
          <w:pPr>
            <w:pStyle w:val="TOC1"/>
            <w:tabs>
              <w:tab w:val="clear" w:pos="708"/>
              <w:tab w:val="right" w:pos="9061" w:leader="dot"/>
            </w:tabs>
            <w:rPr>
              <w:rFonts w:ascii="Calibri" w:hAnsi="Calibri" w:eastAsia="" w:asciiTheme="minorHAnsi" w:eastAsiaTheme="minorEastAsia" w:hAnsiTheme="minorHAnsi"/>
              <w:b w:val="false"/>
              <w:bCs w:val="false"/>
              <w:kern w:val="2"/>
              <w:sz w:val="24"/>
              <w:szCs w:val="24"/>
              <w:lang w:eastAsia="cs-CZ"/>
              <w14:ligatures w14:val="standardContextual"/>
            </w:rPr>
          </w:pPr>
          <w:hyperlink w:anchor="_Toc229057779">
            <w:r>
              <w:rPr>
                <w:webHidden/>
                <w:rStyle w:val="IndexLink"/>
                <w:vanish w:val="false"/>
              </w:rPr>
              <w:t xml:space="preserve">Akademická předmluva / </w:t>
            </w:r>
            <w:r>
              <w:rPr>
                <w:rStyle w:val="IndexLink"/>
                <w:i/>
                <w:iCs/>
              </w:rPr>
              <w:t>Academic Foreword</w:t>
            </w:r>
            <w:r>
              <w:rPr>
                <w:webHidden/>
              </w:rPr>
              <w:fldChar w:fldCharType="begin"/>
            </w:r>
            <w:r>
              <w:rPr>
                <w:webHidden/>
              </w:rPr>
              <w:instrText xml:space="preserve">PAGEREF _Toc229057779 \h</w:instrText>
            </w:r>
            <w:r>
              <w:rPr>
                <w:webHidden/>
              </w:rPr>
              <w:fldChar w:fldCharType="separate"/>
            </w:r>
            <w:r>
              <w:rPr>
                <w:rStyle w:val="IndexLink"/>
                <w:vanish w:val="false"/>
              </w:rPr>
              <w:tab/>
              <w:t>ix</w:t>
            </w:r>
            <w:r>
              <w:rPr>
                <w:webHidden/>
              </w:rPr>
              <w:fldChar w:fldCharType="end"/>
            </w:r>
          </w:hyperlink>
        </w:p>
        <w:p>
          <w:pPr>
            <w:pStyle w:val="TOC1"/>
            <w:tabs>
              <w:tab w:val="clear" w:pos="708"/>
              <w:tab w:val="right" w:pos="9061" w:leader="dot"/>
            </w:tabs>
            <w:rPr>
              <w:rFonts w:ascii="Calibri" w:hAnsi="Calibri" w:eastAsia="" w:asciiTheme="minorHAnsi" w:eastAsiaTheme="minorEastAsia" w:hAnsiTheme="minorHAnsi"/>
              <w:b w:val="false"/>
              <w:bCs w:val="false"/>
              <w:kern w:val="2"/>
              <w:sz w:val="24"/>
              <w:szCs w:val="24"/>
              <w:lang w:eastAsia="cs-CZ"/>
              <w14:ligatures w14:val="standardContextual"/>
            </w:rPr>
          </w:pPr>
          <w:hyperlink w:anchor="_Toc229057780">
            <w:r>
              <w:rPr>
                <w:webHidden/>
              </w:rPr>
              <w:fldChar w:fldCharType="begin"/>
            </w:r>
            <w:r>
              <w:rPr>
                <w:webHidden/>
              </w:rPr>
              <w:instrText xml:space="preserve">PAGEREF _Toc229057780 \h</w:instrText>
            </w:r>
            <w:r>
              <w:rPr>
                <w:webHidden/>
              </w:rPr>
              <w:fldChar w:fldCharType="separate"/>
            </w:r>
            <w:r>
              <w:rPr>
                <w:webHidden/>
                <w:rStyle w:val="IndexLink"/>
                <w:vanish w:val="false"/>
              </w:rPr>
              <w:t>Manažerské shrnutí</w:t>
              <w:tab/>
              <w:t>x</w:t>
            </w:r>
            <w:r>
              <w:rPr>
                <w:webHidden/>
              </w:rPr>
              <w:fldChar w:fldCharType="end"/>
            </w:r>
          </w:hyperlink>
        </w:p>
        <w:p>
          <w:pPr>
            <w:pStyle w:val="TOC2"/>
            <w:tabs>
              <w:tab w:val="clear" w:pos="708"/>
              <w:tab w:val="right" w:pos="9061" w:leader="dot"/>
            </w:tabs>
            <w:rPr>
              <w:rFonts w:ascii="Calibri" w:hAnsi="Calibri" w:eastAsia="" w:asciiTheme="minorHAnsi" w:eastAsiaTheme="minorEastAsia" w:hAnsiTheme="minorHAnsi"/>
              <w:i w:val="false"/>
              <w:i w:val="false"/>
              <w:iCs w:val="false"/>
              <w:kern w:val="2"/>
              <w:sz w:val="24"/>
              <w:szCs w:val="24"/>
              <w:lang w:eastAsia="cs-CZ"/>
              <w14:ligatures w14:val="standardContextual"/>
            </w:rPr>
          </w:pPr>
          <w:hyperlink w:anchor="_Toc229057781">
            <w:r>
              <w:rPr>
                <w:webHidden/>
              </w:rPr>
              <w:fldChar w:fldCharType="begin"/>
            </w:r>
            <w:r>
              <w:rPr>
                <w:webHidden/>
              </w:rPr>
              <w:instrText xml:space="preserve">PAGEREF _Toc229057781 \h</w:instrText>
            </w:r>
            <w:r>
              <w:rPr>
                <w:webHidden/>
              </w:rPr>
              <w:fldChar w:fldCharType="separate"/>
            </w:r>
            <w:r>
              <w:rPr>
                <w:webHidden/>
                <w:rStyle w:val="IndexLink"/>
                <w:vanish w:val="false"/>
              </w:rPr>
              <w:t>Průběh šetření</w:t>
              <w:tab/>
              <w:t>x</w:t>
            </w:r>
            <w:r>
              <w:rPr>
                <w:webHidden/>
              </w:rPr>
              <w:fldChar w:fldCharType="end"/>
            </w:r>
          </w:hyperlink>
        </w:p>
        <w:p>
          <w:pPr>
            <w:pStyle w:val="TOC2"/>
            <w:tabs>
              <w:tab w:val="clear" w:pos="708"/>
              <w:tab w:val="right" w:pos="9061" w:leader="dot"/>
            </w:tabs>
            <w:rPr>
              <w:rFonts w:ascii="Calibri" w:hAnsi="Calibri" w:eastAsia="" w:asciiTheme="minorHAnsi" w:eastAsiaTheme="minorEastAsia" w:hAnsiTheme="minorHAnsi"/>
              <w:i w:val="false"/>
              <w:i w:val="false"/>
              <w:iCs w:val="false"/>
              <w:kern w:val="2"/>
              <w:sz w:val="24"/>
              <w:szCs w:val="24"/>
              <w:lang w:eastAsia="cs-CZ"/>
              <w14:ligatures w14:val="standardContextual"/>
            </w:rPr>
          </w:pPr>
          <w:hyperlink w:anchor="_Toc229057782">
            <w:r>
              <w:rPr>
                <w:webHidden/>
              </w:rPr>
              <w:fldChar w:fldCharType="begin"/>
            </w:r>
            <w:r>
              <w:rPr>
                <w:webHidden/>
              </w:rPr>
              <w:instrText xml:space="preserve">PAGEREF _Toc229057782 \h</w:instrText>
            </w:r>
            <w:r>
              <w:rPr>
                <w:webHidden/>
              </w:rPr>
              <w:fldChar w:fldCharType="separate"/>
            </w:r>
            <w:r>
              <w:rPr>
                <w:webHidden/>
                <w:rStyle w:val="IndexLink"/>
                <w:vanish w:val="false"/>
              </w:rPr>
              <w:t>Metodika</w:t>
              <w:tab/>
              <w:t>x</w:t>
            </w:r>
            <w:r>
              <w:rPr>
                <w:webHidden/>
              </w:rPr>
              <w:fldChar w:fldCharType="end"/>
            </w:r>
          </w:hyperlink>
        </w:p>
        <w:p>
          <w:pPr>
            <w:pStyle w:val="TOC2"/>
            <w:tabs>
              <w:tab w:val="clear" w:pos="708"/>
              <w:tab w:val="right" w:pos="9061" w:leader="dot"/>
            </w:tabs>
            <w:rPr>
              <w:rFonts w:ascii="Calibri" w:hAnsi="Calibri" w:eastAsia="" w:asciiTheme="minorHAnsi" w:eastAsiaTheme="minorEastAsia" w:hAnsiTheme="minorHAnsi"/>
              <w:i w:val="false"/>
              <w:i w:val="false"/>
              <w:iCs w:val="false"/>
              <w:kern w:val="2"/>
              <w:sz w:val="24"/>
              <w:szCs w:val="24"/>
              <w:lang w:eastAsia="cs-CZ"/>
              <w14:ligatures w14:val="standardContextual"/>
            </w:rPr>
          </w:pPr>
          <w:hyperlink w:anchor="_Toc229057783">
            <w:r>
              <w:rPr>
                <w:webHidden/>
              </w:rPr>
              <w:fldChar w:fldCharType="begin"/>
            </w:r>
            <w:r>
              <w:rPr>
                <w:webHidden/>
              </w:rPr>
              <w:instrText xml:space="preserve">PAGEREF _Toc229057783 \h</w:instrText>
            </w:r>
            <w:r>
              <w:rPr>
                <w:webHidden/>
              </w:rPr>
              <w:fldChar w:fldCharType="separate"/>
            </w:r>
            <w:r>
              <w:rPr>
                <w:webHidden/>
                <w:rStyle w:val="IndexLink"/>
                <w:vanish w:val="false"/>
              </w:rPr>
              <w:t>Zjištění a závěry</w:t>
              <w:tab/>
              <w:t>x</w:t>
            </w:r>
            <w:r>
              <w:rPr>
                <w:webHidden/>
              </w:rPr>
              <w:fldChar w:fldCharType="end"/>
            </w:r>
          </w:hyperlink>
        </w:p>
        <w:p>
          <w:pPr>
            <w:pStyle w:val="TOC2"/>
            <w:tabs>
              <w:tab w:val="clear" w:pos="708"/>
              <w:tab w:val="right" w:pos="9061" w:leader="dot"/>
            </w:tabs>
            <w:rPr>
              <w:rFonts w:ascii="Calibri" w:hAnsi="Calibri" w:eastAsia="" w:asciiTheme="minorHAnsi" w:eastAsiaTheme="minorEastAsia" w:hAnsiTheme="minorHAnsi"/>
              <w:i w:val="false"/>
              <w:i w:val="false"/>
              <w:iCs w:val="false"/>
              <w:kern w:val="2"/>
              <w:sz w:val="24"/>
              <w:szCs w:val="24"/>
              <w:lang w:eastAsia="cs-CZ"/>
              <w14:ligatures w14:val="standardContextual"/>
            </w:rPr>
          </w:pPr>
          <w:hyperlink w:anchor="_Toc229057784">
            <w:r>
              <w:rPr>
                <w:webHidden/>
              </w:rPr>
              <w:fldChar w:fldCharType="begin"/>
            </w:r>
            <w:r>
              <w:rPr>
                <w:webHidden/>
              </w:rPr>
              <w:instrText xml:space="preserve">PAGEREF _Toc229057784 \h</w:instrText>
            </w:r>
            <w:r>
              <w:rPr>
                <w:webHidden/>
              </w:rPr>
              <w:fldChar w:fldCharType="separate"/>
            </w:r>
            <w:r>
              <w:rPr>
                <w:webHidden/>
                <w:rStyle w:val="IndexLink"/>
                <w:vanish w:val="false"/>
              </w:rPr>
              <w:t>Doporučení Úřadu</w:t>
              <w:tab/>
              <w:t>x</w:t>
            </w:r>
            <w:r>
              <w:rPr>
                <w:webHidden/>
              </w:rPr>
              <w:fldChar w:fldCharType="end"/>
            </w:r>
          </w:hyperlink>
        </w:p>
        <w:p>
          <w:pPr>
            <w:pStyle w:val="TOC1"/>
            <w:tabs>
              <w:tab w:val="clear" w:pos="708"/>
              <w:tab w:val="left" w:pos="400" w:leader="none"/>
              <w:tab w:val="right" w:pos="9061" w:leader="dot"/>
            </w:tabs>
            <w:rPr>
              <w:rFonts w:ascii="Calibri" w:hAnsi="Calibri" w:eastAsia="" w:asciiTheme="minorHAnsi" w:eastAsiaTheme="minorEastAsia" w:hAnsiTheme="minorHAnsi"/>
              <w:b w:val="false"/>
              <w:bCs w:val="false"/>
              <w:kern w:val="2"/>
              <w:sz w:val="24"/>
              <w:szCs w:val="24"/>
              <w:lang w:eastAsia="cs-CZ"/>
              <w14:ligatures w14:val="standardContextual"/>
            </w:rPr>
          </w:pPr>
          <w:hyperlink w:anchor="_Toc229057785">
            <w:r>
              <w:rPr>
                <w:webHidden/>
                <w:rStyle w:val="IndexLink"/>
                <w:vanish w:val="false"/>
              </w:rPr>
              <w:t>1</w:t>
            </w:r>
            <w:r>
              <w:rPr>
                <w:rStyle w:val="IndexLink"/>
                <w:rFonts w:eastAsia="" w:ascii="Calibri" w:hAnsi="Calibri" w:asciiTheme="minorHAnsi" w:eastAsiaTheme="minorEastAsia" w:hAnsiTheme="minorHAnsi"/>
                <w:b w:val="false"/>
                <w:bCs w:val="false"/>
                <w:kern w:val="2"/>
                <w:sz w:val="24"/>
                <w:szCs w:val="24"/>
                <w:lang w:eastAsia="cs-CZ"/>
                <w14:ligatures w14:val="standardContextual"/>
              </w:rPr>
              <w:tab/>
            </w:r>
            <w:r>
              <w:rPr>
                <w:rStyle w:val="IndexLink"/>
              </w:rPr>
              <w:t xml:space="preserve">Úvod / </w:t>
            </w:r>
            <w:r>
              <w:rPr>
                <w:rStyle w:val="IndexLink"/>
                <w:i/>
                <w:iCs/>
              </w:rPr>
              <w:t>Introduction</w:t>
            </w:r>
            <w:r>
              <w:rPr>
                <w:webHidden/>
              </w:rPr>
              <w:fldChar w:fldCharType="begin"/>
            </w:r>
            <w:r>
              <w:rPr>
                <w:webHidden/>
              </w:rPr>
              <w:instrText xml:space="preserve">PAGEREF _Toc229057785 \h</w:instrText>
            </w:r>
            <w:r>
              <w:rPr>
                <w:webHidden/>
              </w:rPr>
              <w:fldChar w:fldCharType="separate"/>
            </w:r>
            <w:r>
              <w:rPr>
                <w:rStyle w:val="IndexLink"/>
                <w:vanish w:val="false"/>
              </w:rPr>
              <w:tab/>
              <w:t>1</w:t>
            </w:r>
            <w:r>
              <w:rPr>
                <w:webHidden/>
              </w:rPr>
              <w:fldChar w:fldCharType="end"/>
            </w:r>
          </w:hyperlink>
        </w:p>
        <w:p>
          <w:pPr>
            <w:pStyle w:val="TOC1"/>
            <w:tabs>
              <w:tab w:val="clear" w:pos="708"/>
              <w:tab w:val="left" w:pos="400" w:leader="none"/>
              <w:tab w:val="right" w:pos="9061" w:leader="dot"/>
            </w:tabs>
            <w:rPr>
              <w:rFonts w:ascii="Calibri" w:hAnsi="Calibri" w:eastAsia="" w:asciiTheme="minorHAnsi" w:eastAsiaTheme="minorEastAsia" w:hAnsiTheme="minorHAnsi"/>
              <w:b w:val="false"/>
              <w:bCs w:val="false"/>
              <w:kern w:val="2"/>
              <w:sz w:val="24"/>
              <w:szCs w:val="24"/>
              <w:lang w:eastAsia="cs-CZ"/>
              <w14:ligatures w14:val="standardContextual"/>
            </w:rPr>
          </w:pPr>
          <w:hyperlink w:anchor="_Toc229057786">
            <w:r>
              <w:rPr>
                <w:webHidden/>
                <w:rStyle w:val="IndexLink"/>
                <w:vanish w:val="false"/>
              </w:rPr>
              <w:t>2</w:t>
            </w:r>
            <w:r>
              <w:rPr>
                <w:rStyle w:val="IndexLink"/>
                <w:rFonts w:eastAsia="" w:ascii="Calibri" w:hAnsi="Calibri" w:asciiTheme="minorHAnsi" w:eastAsiaTheme="minorEastAsia" w:hAnsiTheme="minorHAnsi"/>
                <w:b w:val="false"/>
                <w:bCs w:val="false"/>
                <w:kern w:val="2"/>
                <w:sz w:val="24"/>
                <w:szCs w:val="24"/>
                <w:lang w:eastAsia="cs-CZ"/>
                <w14:ligatures w14:val="standardContextual"/>
              </w:rPr>
              <w:tab/>
            </w:r>
            <w:r>
              <w:rPr>
                <w:rStyle w:val="IndexLink"/>
              </w:rPr>
              <w:t xml:space="preserve">Východiska sektorového šetření / </w:t>
            </w:r>
            <w:r>
              <w:rPr>
                <w:rStyle w:val="IndexLink"/>
                <w:i/>
                <w:iCs/>
              </w:rPr>
              <w:t>Grounds for the Sector Inquiry</w:t>
            </w:r>
            <w:r>
              <w:rPr>
                <w:webHidden/>
              </w:rPr>
              <w:fldChar w:fldCharType="begin"/>
            </w:r>
            <w:r>
              <w:rPr>
                <w:webHidden/>
              </w:rPr>
              <w:instrText xml:space="preserve">PAGEREF _Toc229057786 \h</w:instrText>
            </w:r>
            <w:r>
              <w:rPr>
                <w:webHidden/>
              </w:rPr>
              <w:fldChar w:fldCharType="separate"/>
            </w:r>
            <w:r>
              <w:rPr>
                <w:rStyle w:val="IndexLink"/>
                <w:vanish w:val="false"/>
              </w:rPr>
              <w:tab/>
              <w:t>2</w:t>
            </w:r>
            <w:r>
              <w:rPr>
                <w:webHidden/>
              </w:rPr>
              <w:fldChar w:fldCharType="end"/>
            </w:r>
          </w:hyperlink>
        </w:p>
        <w:p>
          <w:pPr>
            <w:pStyle w:val="TOC2"/>
            <w:tabs>
              <w:tab w:val="clear" w:pos="708"/>
              <w:tab w:val="left" w:pos="800" w:leader="none"/>
              <w:tab w:val="right" w:pos="9061" w:leader="dot"/>
            </w:tabs>
            <w:rPr>
              <w:rFonts w:ascii="Calibri" w:hAnsi="Calibri" w:eastAsia="" w:asciiTheme="minorHAnsi" w:eastAsiaTheme="minorEastAsia" w:hAnsiTheme="minorHAnsi"/>
              <w:i w:val="false"/>
              <w:i w:val="false"/>
              <w:iCs w:val="false"/>
              <w:kern w:val="2"/>
              <w:sz w:val="24"/>
              <w:szCs w:val="24"/>
              <w:lang w:eastAsia="cs-CZ"/>
              <w14:ligatures w14:val="standardContextual"/>
            </w:rPr>
          </w:pPr>
          <w:hyperlink w:anchor="_Toc229057787">
            <w:r>
              <w:rPr>
                <w:webHidden/>
                <w:rStyle w:val="IndexLink"/>
                <w:vanish w:val="false"/>
              </w:rPr>
              <w:t>2.1</w:t>
            </w:r>
            <w:r>
              <w:rPr>
                <w:rStyle w:val="IndexLink"/>
                <w:rFonts w:eastAsia="" w:ascii="Calibri" w:hAnsi="Calibri" w:asciiTheme="minorHAnsi" w:eastAsiaTheme="minorEastAsia" w:hAnsiTheme="minorHAnsi"/>
                <w:i w:val="false"/>
                <w:iCs w:val="false"/>
                <w:kern w:val="2"/>
                <w:sz w:val="24"/>
                <w:szCs w:val="24"/>
                <w:lang w:eastAsia="cs-CZ"/>
                <w14:ligatures w14:val="standardContextual"/>
              </w:rPr>
              <w:tab/>
            </w:r>
            <w:r>
              <w:rPr>
                <w:rStyle w:val="IndexLink"/>
              </w:rPr>
              <w:t xml:space="preserve">Náznaky možného narušení hospodářské soutěže / </w:t>
            </w:r>
            <w:r>
              <w:rPr>
                <w:rStyle w:val="IndexLink"/>
                <w:lang w:val="en-GB"/>
              </w:rPr>
              <w:t>Indications of a Possible Distortion of Competition</w:t>
            </w:r>
            <w:r>
              <w:rPr>
                <w:webHidden/>
              </w:rPr>
              <w:fldChar w:fldCharType="begin"/>
            </w:r>
            <w:r>
              <w:rPr>
                <w:webHidden/>
              </w:rPr>
              <w:instrText xml:space="preserve">PAGEREF _Toc229057787 \h</w:instrText>
            </w:r>
            <w:r>
              <w:rPr>
                <w:webHidden/>
              </w:rPr>
              <w:fldChar w:fldCharType="separate"/>
            </w:r>
            <w:r>
              <w:rPr>
                <w:rStyle w:val="IndexLink"/>
                <w:vanish w:val="false"/>
              </w:rPr>
              <w:tab/>
              <w:t>3</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788">
            <w:r>
              <w:rPr>
                <w:webHidden/>
                <w:rStyle w:val="IndexLink"/>
                <w:vanish w:val="false"/>
              </w:rPr>
              <w:t>2.1.1</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 xml:space="preserve">Společná analýza dílčích aspektů fungování hospodářské soutěže s ČTÚ / </w:t>
            </w:r>
            <w:r>
              <w:rPr>
                <w:rStyle w:val="IndexLink"/>
                <w:i/>
                <w:iCs/>
                <w:lang w:val="en-GB"/>
              </w:rPr>
              <w:t>Joint Analysis of Specific Aspects of the Functioning of Competition with the CTU</w:t>
            </w:r>
            <w:r>
              <w:rPr>
                <w:webHidden/>
              </w:rPr>
              <w:fldChar w:fldCharType="begin"/>
            </w:r>
            <w:r>
              <w:rPr>
                <w:webHidden/>
              </w:rPr>
              <w:instrText xml:space="preserve">PAGEREF _Toc229057788 \h</w:instrText>
            </w:r>
            <w:r>
              <w:rPr>
                <w:webHidden/>
              </w:rPr>
              <w:fldChar w:fldCharType="separate"/>
            </w:r>
            <w:r>
              <w:rPr>
                <w:rStyle w:val="IndexLink"/>
                <w:vanish w:val="false"/>
              </w:rPr>
              <w:tab/>
              <w:t>4</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789">
            <w:r>
              <w:rPr>
                <w:webHidden/>
                <w:rStyle w:val="IndexLink"/>
                <w:vanish w:val="false"/>
              </w:rPr>
              <w:t>2.1.2</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 xml:space="preserve">Vysoká koncentrace / </w:t>
            </w:r>
            <w:r>
              <w:rPr>
                <w:rStyle w:val="IndexLink"/>
                <w:i/>
                <w:iCs/>
              </w:rPr>
              <w:t>High Concentration</w:t>
            </w:r>
            <w:r>
              <w:rPr>
                <w:webHidden/>
              </w:rPr>
              <w:fldChar w:fldCharType="begin"/>
            </w:r>
            <w:r>
              <w:rPr>
                <w:webHidden/>
              </w:rPr>
              <w:instrText xml:space="preserve">PAGEREF _Toc229057789 \h</w:instrText>
            </w:r>
            <w:r>
              <w:rPr>
                <w:webHidden/>
              </w:rPr>
              <w:fldChar w:fldCharType="separate"/>
            </w:r>
            <w:r>
              <w:rPr>
                <w:rStyle w:val="IndexLink"/>
                <w:vanish w:val="false"/>
              </w:rPr>
              <w:tab/>
              <w:t>5</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790">
            <w:r>
              <w:rPr>
                <w:webHidden/>
                <w:rStyle w:val="IndexLink"/>
                <w:vanish w:val="false"/>
              </w:rPr>
              <w:t>2.1.3</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 xml:space="preserve">Relativní cenový vývoj ve srovnání s EU / </w:t>
            </w:r>
            <w:r>
              <w:rPr>
                <w:rStyle w:val="IndexLink"/>
                <w:i/>
                <w:iCs/>
                <w:lang w:val="en-GB"/>
              </w:rPr>
              <w:t>Relative Price Trends in Comparison with the EU</w:t>
            </w:r>
            <w:r>
              <w:rPr>
                <w:webHidden/>
              </w:rPr>
              <w:fldChar w:fldCharType="begin"/>
            </w:r>
            <w:r>
              <w:rPr>
                <w:webHidden/>
              </w:rPr>
              <w:instrText xml:space="preserve">PAGEREF _Toc229057790 \h</w:instrText>
            </w:r>
            <w:r>
              <w:rPr>
                <w:webHidden/>
              </w:rPr>
              <w:fldChar w:fldCharType="separate"/>
            </w:r>
            <w:r>
              <w:rPr>
                <w:rStyle w:val="IndexLink"/>
                <w:vanish w:val="false"/>
              </w:rPr>
              <w:tab/>
              <w:t>7</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791">
            <w:r>
              <w:rPr>
                <w:webHidden/>
                <w:rStyle w:val="IndexLink"/>
                <w:vanish w:val="false"/>
              </w:rPr>
              <w:t>2.1.4</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 xml:space="preserve">Asymetrický vývoj ARPU v segmentu domácností po roce 2017 / </w:t>
            </w:r>
            <w:r>
              <w:rPr>
                <w:rStyle w:val="IndexLink"/>
                <w:i/>
                <w:iCs/>
                <w:lang w:val="en-GB"/>
              </w:rPr>
              <w:t>Asymmetric Development of ARPU in the Household Segment after 2017</w:t>
            </w:r>
            <w:r>
              <w:rPr>
                <w:webHidden/>
              </w:rPr>
              <w:fldChar w:fldCharType="begin"/>
            </w:r>
            <w:r>
              <w:rPr>
                <w:webHidden/>
              </w:rPr>
              <w:instrText xml:space="preserve">PAGEREF _Toc229057791 \h</w:instrText>
            </w:r>
            <w:r>
              <w:rPr>
                <w:webHidden/>
              </w:rPr>
              <w:fldChar w:fldCharType="separate"/>
            </w:r>
            <w:r>
              <w:rPr>
                <w:rStyle w:val="IndexLink"/>
                <w:vanish w:val="false"/>
              </w:rPr>
              <w:tab/>
              <w:t>8</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792">
            <w:r>
              <w:rPr>
                <w:webHidden/>
                <w:rStyle w:val="IndexLink"/>
                <w:vanish w:val="false"/>
              </w:rPr>
              <w:t>2.1.5</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 xml:space="preserve">Významný rozdíl mezi ARPU a ceníkovými cenami / </w:t>
            </w:r>
            <w:r>
              <w:rPr>
                <w:rStyle w:val="IndexLink"/>
                <w:i/>
                <w:iCs/>
                <w:lang w:val="en-GB"/>
              </w:rPr>
              <w:t>Significant Difference Between ARPU and List Prices</w:t>
            </w:r>
            <w:r>
              <w:rPr>
                <w:webHidden/>
              </w:rPr>
              <w:fldChar w:fldCharType="begin"/>
            </w:r>
            <w:r>
              <w:rPr>
                <w:webHidden/>
              </w:rPr>
              <w:instrText xml:space="preserve">PAGEREF _Toc229057792 \h</w:instrText>
            </w:r>
            <w:r>
              <w:rPr>
                <w:webHidden/>
              </w:rPr>
              <w:fldChar w:fldCharType="separate"/>
            </w:r>
            <w:r>
              <w:rPr>
                <w:rStyle w:val="IndexLink"/>
                <w:vanish w:val="false"/>
              </w:rPr>
              <w:tab/>
              <w:t>9</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793">
            <w:r>
              <w:rPr>
                <w:webHidden/>
                <w:rStyle w:val="IndexLink"/>
                <w:vanish w:val="false"/>
              </w:rPr>
              <w:t>2.1.6</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 xml:space="preserve">Rozsah retenčních a neveřejných nabídek / </w:t>
            </w:r>
            <w:r>
              <w:rPr>
                <w:rStyle w:val="IndexLink"/>
                <w:i/>
                <w:iCs/>
                <w:lang w:val="en-GB"/>
              </w:rPr>
              <w:t>Scope of Retention and Non</w:t>
            </w:r>
            <w:r>
              <w:rPr>
                <w:rStyle w:val="IndexLink"/>
                <w:rFonts w:cs="Cambria Math" w:ascii="Cambria Math" w:hAnsi="Cambria Math"/>
                <w:i/>
                <w:iCs/>
                <w:lang w:val="en-GB"/>
              </w:rPr>
              <w:noBreakHyphen/>
            </w:r>
            <w:r>
              <w:rPr>
                <w:rStyle w:val="IndexLink"/>
                <w:i/>
                <w:iCs/>
                <w:lang w:val="en-GB"/>
              </w:rPr>
              <w:t>Public Offers</w:t>
            </w:r>
            <w:r>
              <w:rPr>
                <w:webHidden/>
              </w:rPr>
              <w:fldChar w:fldCharType="begin"/>
            </w:r>
            <w:r>
              <w:rPr>
                <w:webHidden/>
              </w:rPr>
              <w:instrText xml:space="preserve">PAGEREF _Toc229057793 \h</w:instrText>
            </w:r>
            <w:r>
              <w:rPr>
                <w:webHidden/>
              </w:rPr>
              <w:fldChar w:fldCharType="separate"/>
            </w:r>
            <w:r>
              <w:rPr>
                <w:rStyle w:val="IndexLink"/>
                <w:vanish w:val="false"/>
              </w:rPr>
              <w:tab/>
              <w:tab/>
              <w:t>10</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794">
            <w:r>
              <w:rPr>
                <w:webHidden/>
                <w:rStyle w:val="IndexLink"/>
                <w:vanish w:val="false"/>
              </w:rPr>
              <w:t>2.1.7</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 xml:space="preserve">Zahraniční sektorová šetření a odborná literatura / </w:t>
            </w:r>
            <w:r>
              <w:rPr>
                <w:rStyle w:val="IndexLink"/>
                <w:i/>
                <w:iCs/>
                <w:lang w:val="en-GB"/>
              </w:rPr>
              <w:t>Foreign Sector Inquiries and Academic Literature</w:t>
            </w:r>
            <w:r>
              <w:rPr>
                <w:webHidden/>
              </w:rPr>
              <w:fldChar w:fldCharType="begin"/>
            </w:r>
            <w:r>
              <w:rPr>
                <w:webHidden/>
              </w:rPr>
              <w:instrText xml:space="preserve">PAGEREF _Toc229057794 \h</w:instrText>
            </w:r>
            <w:r>
              <w:rPr>
                <w:webHidden/>
              </w:rPr>
              <w:fldChar w:fldCharType="separate"/>
            </w:r>
            <w:r>
              <w:rPr>
                <w:rStyle w:val="IndexLink"/>
                <w:vanish w:val="false"/>
              </w:rPr>
              <w:tab/>
              <w:t>10</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795">
            <w:r>
              <w:rPr>
                <w:webHidden/>
                <w:rStyle w:val="IndexLink"/>
                <w:vanish w:val="false"/>
              </w:rPr>
              <w:t>2.1.8</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 xml:space="preserve">Informace z dalších veřejných zdrojů a médií / </w:t>
            </w:r>
            <w:r>
              <w:rPr>
                <w:rStyle w:val="IndexLink"/>
                <w:i/>
                <w:iCs/>
                <w:lang w:val="en-GB"/>
              </w:rPr>
              <w:t>Information from Additional Public Sources and Media Outlets</w:t>
            </w:r>
            <w:r>
              <w:rPr>
                <w:webHidden/>
              </w:rPr>
              <w:fldChar w:fldCharType="begin"/>
            </w:r>
            <w:r>
              <w:rPr>
                <w:webHidden/>
              </w:rPr>
              <w:instrText xml:space="preserve">PAGEREF _Toc229057795 \h</w:instrText>
            </w:r>
            <w:r>
              <w:rPr>
                <w:webHidden/>
              </w:rPr>
              <w:fldChar w:fldCharType="separate"/>
            </w:r>
            <w:r>
              <w:rPr>
                <w:rStyle w:val="IndexLink"/>
                <w:vanish w:val="false"/>
              </w:rPr>
              <w:tab/>
              <w:t>13</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796">
            <w:r>
              <w:rPr>
                <w:webHidden/>
                <w:rStyle w:val="IndexLink"/>
                <w:vanish w:val="false"/>
              </w:rPr>
              <w:t>2.1.9</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 xml:space="preserve">Souvislosti sektorového šetření / </w:t>
            </w:r>
            <w:r>
              <w:rPr>
                <w:rStyle w:val="IndexLink"/>
                <w:i/>
                <w:iCs/>
                <w:lang w:val="en-GB"/>
              </w:rPr>
              <w:t>Context of This Sector Inquiry</w:t>
            </w:r>
            <w:r>
              <w:rPr>
                <w:webHidden/>
              </w:rPr>
              <w:fldChar w:fldCharType="begin"/>
            </w:r>
            <w:r>
              <w:rPr>
                <w:webHidden/>
              </w:rPr>
              <w:instrText xml:space="preserve">PAGEREF _Toc229057796 \h</w:instrText>
            </w:r>
            <w:r>
              <w:rPr>
                <w:webHidden/>
              </w:rPr>
              <w:fldChar w:fldCharType="separate"/>
            </w:r>
            <w:r>
              <w:rPr>
                <w:rStyle w:val="IndexLink"/>
                <w:vanish w:val="false"/>
              </w:rPr>
              <w:tab/>
              <w:t>13</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797">
            <w:r>
              <w:rPr>
                <w:webHidden/>
                <w:rStyle w:val="IndexLink"/>
                <w:vanish w:val="false"/>
              </w:rPr>
              <w:t>2.1.10</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 xml:space="preserve">Shrnutí náznaků možného narušení fungování hospodářské soutěže / </w:t>
            </w:r>
            <w:r>
              <w:rPr>
                <w:rStyle w:val="IndexLink"/>
                <w:i/>
                <w:iCs/>
                <w:lang w:val="en-GB"/>
              </w:rPr>
              <w:t>Summary of the Indications of a Possible Distortion of Competition</w:t>
            </w:r>
            <w:r>
              <w:rPr>
                <w:webHidden/>
              </w:rPr>
              <w:fldChar w:fldCharType="begin"/>
            </w:r>
            <w:r>
              <w:rPr>
                <w:webHidden/>
              </w:rPr>
              <w:instrText xml:space="preserve">PAGEREF _Toc229057797 \h</w:instrText>
            </w:r>
            <w:r>
              <w:rPr>
                <w:webHidden/>
              </w:rPr>
              <w:fldChar w:fldCharType="separate"/>
            </w:r>
            <w:r>
              <w:rPr>
                <w:rStyle w:val="IndexLink"/>
                <w:vanish w:val="false"/>
              </w:rPr>
              <w:tab/>
              <w:t>14</w:t>
            </w:r>
            <w:r>
              <w:rPr>
                <w:webHidden/>
              </w:rPr>
              <w:fldChar w:fldCharType="end"/>
            </w:r>
          </w:hyperlink>
        </w:p>
        <w:p>
          <w:pPr>
            <w:pStyle w:val="TOC2"/>
            <w:tabs>
              <w:tab w:val="clear" w:pos="708"/>
              <w:tab w:val="left" w:pos="800" w:leader="none"/>
              <w:tab w:val="right" w:pos="9061" w:leader="dot"/>
            </w:tabs>
            <w:rPr>
              <w:rFonts w:ascii="Calibri" w:hAnsi="Calibri" w:eastAsia="" w:asciiTheme="minorHAnsi" w:eastAsiaTheme="minorEastAsia" w:hAnsiTheme="minorHAnsi"/>
              <w:i w:val="false"/>
              <w:i w:val="false"/>
              <w:iCs w:val="false"/>
              <w:kern w:val="2"/>
              <w:sz w:val="24"/>
              <w:szCs w:val="24"/>
              <w:lang w:eastAsia="cs-CZ"/>
              <w14:ligatures w14:val="standardContextual"/>
            </w:rPr>
          </w:pPr>
          <w:hyperlink w:anchor="_Toc229057798">
            <w:r>
              <w:rPr>
                <w:webHidden/>
                <w:rStyle w:val="IndexLink"/>
                <w:vanish w:val="false"/>
              </w:rPr>
              <w:t>2.2</w:t>
            </w:r>
            <w:r>
              <w:rPr>
                <w:rStyle w:val="IndexLink"/>
                <w:rFonts w:eastAsia="" w:ascii="Calibri" w:hAnsi="Calibri" w:asciiTheme="minorHAnsi" w:eastAsiaTheme="minorEastAsia" w:hAnsiTheme="minorHAnsi"/>
                <w:i w:val="false"/>
                <w:iCs w:val="false"/>
                <w:kern w:val="2"/>
                <w:sz w:val="24"/>
                <w:szCs w:val="24"/>
                <w:lang w:eastAsia="cs-CZ"/>
                <w14:ligatures w14:val="standardContextual"/>
              </w:rPr>
              <w:tab/>
            </w:r>
            <w:r>
              <w:rPr>
                <w:rStyle w:val="IndexLink"/>
              </w:rPr>
              <w:t xml:space="preserve">Teoretická východiska sektorového šetření / </w:t>
            </w:r>
            <w:r>
              <w:rPr>
                <w:rStyle w:val="IndexLink"/>
                <w:lang w:val="en-GB"/>
              </w:rPr>
              <w:t>Theoretical Framework of the Sector Inquiry</w:t>
            </w:r>
            <w:r>
              <w:rPr>
                <w:webHidden/>
              </w:rPr>
              <w:fldChar w:fldCharType="begin"/>
            </w:r>
            <w:r>
              <w:rPr>
                <w:webHidden/>
              </w:rPr>
              <w:instrText xml:space="preserve">PAGEREF _Toc229057798 \h</w:instrText>
            </w:r>
            <w:r>
              <w:rPr>
                <w:webHidden/>
              </w:rPr>
              <w:fldChar w:fldCharType="separate"/>
            </w:r>
            <w:r>
              <w:rPr>
                <w:rStyle w:val="IndexLink"/>
                <w:vanish w:val="false"/>
              </w:rPr>
              <w:tab/>
              <w:t>17</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799">
            <w:r>
              <w:rPr>
                <w:webHidden/>
                <w:rStyle w:val="IndexLink"/>
                <w:vanish w:val="false"/>
              </w:rPr>
              <w:t>2.2.1</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Ekonomická východiska</w:t>
            </w:r>
            <w:r>
              <w:rPr>
                <w:webHidden/>
              </w:rPr>
              <w:fldChar w:fldCharType="begin"/>
            </w:r>
            <w:r>
              <w:rPr>
                <w:webHidden/>
              </w:rPr>
              <w:instrText xml:space="preserve">PAGEREF _Toc229057799 \h</w:instrText>
            </w:r>
            <w:r>
              <w:rPr>
                <w:webHidden/>
              </w:rPr>
              <w:fldChar w:fldCharType="separate"/>
            </w:r>
            <w:r>
              <w:rPr>
                <w:rStyle w:val="IndexLink"/>
                <w:vanish w:val="false"/>
              </w:rPr>
              <w:tab/>
              <w:t>17</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800">
            <w:r>
              <w:rPr>
                <w:webHidden/>
                <w:rStyle w:val="IndexLink"/>
                <w:vanish w:val="false"/>
              </w:rPr>
              <w:t>2.2.2</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Právní východiska</w:t>
            </w:r>
            <w:r>
              <w:rPr>
                <w:webHidden/>
              </w:rPr>
              <w:fldChar w:fldCharType="begin"/>
            </w:r>
            <w:r>
              <w:rPr>
                <w:webHidden/>
              </w:rPr>
              <w:instrText xml:space="preserve">PAGEREF _Toc229057800 \h</w:instrText>
            </w:r>
            <w:r>
              <w:rPr>
                <w:webHidden/>
              </w:rPr>
              <w:fldChar w:fldCharType="separate"/>
            </w:r>
            <w:r>
              <w:rPr>
                <w:rStyle w:val="IndexLink"/>
                <w:vanish w:val="false"/>
              </w:rPr>
              <w:tab/>
              <w:t>23</w:t>
            </w:r>
            <w:r>
              <w:rPr>
                <w:webHidden/>
              </w:rPr>
              <w:fldChar w:fldCharType="end"/>
            </w:r>
          </w:hyperlink>
        </w:p>
        <w:p>
          <w:pPr>
            <w:pStyle w:val="TOC2"/>
            <w:tabs>
              <w:tab w:val="clear" w:pos="708"/>
              <w:tab w:val="left" w:pos="800" w:leader="none"/>
              <w:tab w:val="right" w:pos="9061" w:leader="dot"/>
            </w:tabs>
            <w:rPr>
              <w:rFonts w:ascii="Calibri" w:hAnsi="Calibri" w:eastAsia="" w:asciiTheme="minorHAnsi" w:eastAsiaTheme="minorEastAsia" w:hAnsiTheme="minorHAnsi"/>
              <w:i w:val="false"/>
              <w:i w:val="false"/>
              <w:iCs w:val="false"/>
              <w:kern w:val="2"/>
              <w:sz w:val="24"/>
              <w:szCs w:val="24"/>
              <w:lang w:eastAsia="cs-CZ"/>
              <w14:ligatures w14:val="standardContextual"/>
            </w:rPr>
          </w:pPr>
          <w:hyperlink w:anchor="_Toc229057801">
            <w:r>
              <w:rPr>
                <w:webHidden/>
                <w:rStyle w:val="IndexLink"/>
                <w:vanish w:val="false"/>
              </w:rPr>
              <w:t>2.3</w:t>
            </w:r>
            <w:r>
              <w:rPr>
                <w:rStyle w:val="IndexLink"/>
                <w:rFonts w:eastAsia="" w:ascii="Calibri" w:hAnsi="Calibri" w:asciiTheme="minorHAnsi" w:eastAsiaTheme="minorEastAsia" w:hAnsiTheme="minorHAnsi"/>
                <w:i w:val="false"/>
                <w:iCs w:val="false"/>
                <w:kern w:val="2"/>
                <w:sz w:val="24"/>
                <w:szCs w:val="24"/>
                <w:lang w:eastAsia="cs-CZ"/>
                <w14:ligatures w14:val="standardContextual"/>
              </w:rPr>
              <w:tab/>
            </w:r>
            <w:r>
              <w:rPr>
                <w:rStyle w:val="IndexLink"/>
              </w:rPr>
              <w:t xml:space="preserve">Stanovení rámce sektorového šetření / </w:t>
            </w:r>
            <w:r>
              <w:rPr>
                <w:rStyle w:val="IndexLink"/>
                <w:lang w:val="en-GB"/>
              </w:rPr>
              <w:t>Determination of the Framework for the Sector Inquiry</w:t>
            </w:r>
            <w:r>
              <w:rPr>
                <w:webHidden/>
              </w:rPr>
              <w:fldChar w:fldCharType="begin"/>
            </w:r>
            <w:r>
              <w:rPr>
                <w:webHidden/>
              </w:rPr>
              <w:instrText xml:space="preserve">PAGEREF _Toc229057801 \h</w:instrText>
            </w:r>
            <w:r>
              <w:rPr>
                <w:webHidden/>
              </w:rPr>
              <w:fldChar w:fldCharType="separate"/>
            </w:r>
            <w:r>
              <w:rPr>
                <w:rStyle w:val="IndexLink"/>
                <w:vanish w:val="false"/>
              </w:rPr>
              <w:tab/>
              <w:t>27</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802">
            <w:r>
              <w:rPr>
                <w:webHidden/>
                <w:rStyle w:val="IndexLink"/>
                <w:vanish w:val="false"/>
              </w:rPr>
              <w:t>2.3.1</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 xml:space="preserve">Datově analytický rámec / </w:t>
            </w:r>
            <w:r>
              <w:rPr>
                <w:rStyle w:val="IndexLink"/>
                <w:i/>
                <w:iCs/>
              </w:rPr>
              <w:t>Data-Analytical Framework</w:t>
            </w:r>
            <w:r>
              <w:rPr>
                <w:webHidden/>
              </w:rPr>
              <w:fldChar w:fldCharType="begin"/>
            </w:r>
            <w:r>
              <w:rPr>
                <w:webHidden/>
              </w:rPr>
              <w:instrText xml:space="preserve">PAGEREF _Toc229057802 \h</w:instrText>
            </w:r>
            <w:r>
              <w:rPr>
                <w:webHidden/>
              </w:rPr>
              <w:fldChar w:fldCharType="separate"/>
            </w:r>
            <w:r>
              <w:rPr>
                <w:rStyle w:val="IndexLink"/>
                <w:vanish w:val="false"/>
              </w:rPr>
              <w:tab/>
              <w:t>27</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803">
            <w:r>
              <w:rPr>
                <w:webHidden/>
                <w:rStyle w:val="IndexLink"/>
                <w:vanish w:val="false"/>
              </w:rPr>
              <w:t>2.3.2</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 xml:space="preserve">Časový rámec / </w:t>
            </w:r>
            <w:r>
              <w:rPr>
                <w:rStyle w:val="IndexLink"/>
                <w:i/>
                <w:iCs/>
              </w:rPr>
              <w:t>Time Frame</w:t>
            </w:r>
            <w:r>
              <w:rPr>
                <w:webHidden/>
              </w:rPr>
              <w:fldChar w:fldCharType="begin"/>
            </w:r>
            <w:r>
              <w:rPr>
                <w:webHidden/>
              </w:rPr>
              <w:instrText xml:space="preserve">PAGEREF _Toc229057803 \h</w:instrText>
            </w:r>
            <w:r>
              <w:rPr>
                <w:webHidden/>
              </w:rPr>
              <w:fldChar w:fldCharType="separate"/>
            </w:r>
            <w:r>
              <w:rPr>
                <w:rStyle w:val="IndexLink"/>
                <w:vanish w:val="false"/>
              </w:rPr>
              <w:tab/>
              <w:t>30</w:t>
            </w:r>
            <w:r>
              <w:rPr>
                <w:webHidden/>
              </w:rPr>
              <w:fldChar w:fldCharType="end"/>
            </w:r>
          </w:hyperlink>
        </w:p>
        <w:p>
          <w:pPr>
            <w:pStyle w:val="TOC2"/>
            <w:tabs>
              <w:tab w:val="clear" w:pos="708"/>
              <w:tab w:val="left" w:pos="800" w:leader="none"/>
              <w:tab w:val="right" w:pos="9061" w:leader="dot"/>
            </w:tabs>
            <w:rPr>
              <w:rFonts w:ascii="Calibri" w:hAnsi="Calibri" w:eastAsia="" w:asciiTheme="minorHAnsi" w:eastAsiaTheme="minorEastAsia" w:hAnsiTheme="minorHAnsi"/>
              <w:i w:val="false"/>
              <w:i w:val="false"/>
              <w:iCs w:val="false"/>
              <w:kern w:val="2"/>
              <w:sz w:val="24"/>
              <w:szCs w:val="24"/>
              <w:lang w:eastAsia="cs-CZ"/>
              <w14:ligatures w14:val="standardContextual"/>
            </w:rPr>
          </w:pPr>
          <w:hyperlink w:anchor="_Toc229057804">
            <w:r>
              <w:rPr>
                <w:webHidden/>
                <w:rStyle w:val="IndexLink"/>
                <w:vanish w:val="false"/>
              </w:rPr>
              <w:t>2.4</w:t>
            </w:r>
            <w:r>
              <w:rPr>
                <w:rStyle w:val="IndexLink"/>
                <w:rFonts w:eastAsia="" w:ascii="Calibri" w:hAnsi="Calibri" w:asciiTheme="minorHAnsi" w:eastAsiaTheme="minorEastAsia" w:hAnsiTheme="minorHAnsi"/>
                <w:i w:val="false"/>
                <w:iCs w:val="false"/>
                <w:kern w:val="2"/>
                <w:sz w:val="24"/>
                <w:szCs w:val="24"/>
                <w:lang w:eastAsia="cs-CZ"/>
                <w14:ligatures w14:val="standardContextual"/>
              </w:rPr>
              <w:tab/>
            </w:r>
            <w:r>
              <w:rPr>
                <w:rStyle w:val="IndexLink"/>
              </w:rPr>
              <w:t xml:space="preserve">Shrnutí šetřených podezření / </w:t>
            </w:r>
            <w:r>
              <w:rPr>
                <w:rStyle w:val="IndexLink"/>
                <w:lang w:val="en-GB"/>
              </w:rPr>
              <w:t>Summary of the Suspicions Under Investigation</w:t>
            </w:r>
            <w:r>
              <w:rPr>
                <w:webHidden/>
              </w:rPr>
              <w:fldChar w:fldCharType="begin"/>
            </w:r>
            <w:r>
              <w:rPr>
                <w:webHidden/>
              </w:rPr>
              <w:instrText xml:space="preserve">PAGEREF _Toc229057804 \h</w:instrText>
            </w:r>
            <w:r>
              <w:rPr>
                <w:webHidden/>
              </w:rPr>
              <w:fldChar w:fldCharType="separate"/>
            </w:r>
            <w:r>
              <w:rPr>
                <w:rStyle w:val="IndexLink"/>
                <w:vanish w:val="false"/>
              </w:rPr>
              <w:tab/>
              <w:t>31</w:t>
            </w:r>
            <w:r>
              <w:rPr>
                <w:webHidden/>
              </w:rPr>
              <w:fldChar w:fldCharType="end"/>
            </w:r>
          </w:hyperlink>
        </w:p>
        <w:p>
          <w:pPr>
            <w:pStyle w:val="TOC1"/>
            <w:tabs>
              <w:tab w:val="clear" w:pos="708"/>
              <w:tab w:val="left" w:pos="400" w:leader="none"/>
              <w:tab w:val="right" w:pos="9061" w:leader="dot"/>
            </w:tabs>
            <w:rPr>
              <w:rFonts w:ascii="Calibri" w:hAnsi="Calibri" w:eastAsia="" w:asciiTheme="minorHAnsi" w:eastAsiaTheme="minorEastAsia" w:hAnsiTheme="minorHAnsi"/>
              <w:b w:val="false"/>
              <w:bCs w:val="false"/>
              <w:kern w:val="2"/>
              <w:sz w:val="24"/>
              <w:szCs w:val="24"/>
              <w:lang w:eastAsia="cs-CZ"/>
              <w14:ligatures w14:val="standardContextual"/>
            </w:rPr>
          </w:pPr>
          <w:hyperlink w:anchor="_Toc229057805">
            <w:r>
              <w:rPr>
                <w:webHidden/>
                <w:rStyle w:val="IndexLink"/>
                <w:vanish w:val="false"/>
              </w:rPr>
              <w:t>3</w:t>
            </w:r>
            <w:r>
              <w:rPr>
                <w:rStyle w:val="IndexLink"/>
                <w:rFonts w:eastAsia="" w:ascii="Calibri" w:hAnsi="Calibri" w:asciiTheme="minorHAnsi" w:eastAsiaTheme="minorEastAsia" w:hAnsiTheme="minorHAnsi"/>
                <w:b w:val="false"/>
                <w:bCs w:val="false"/>
                <w:kern w:val="2"/>
                <w:sz w:val="24"/>
                <w:szCs w:val="24"/>
                <w:lang w:eastAsia="cs-CZ"/>
                <w14:ligatures w14:val="standardContextual"/>
              </w:rPr>
              <w:tab/>
            </w:r>
            <w:r>
              <w:rPr>
                <w:rStyle w:val="IndexLink"/>
              </w:rPr>
              <w:t xml:space="preserve">Postup Úřadu a metodika šetření / </w:t>
            </w:r>
            <w:r>
              <w:rPr>
                <w:rStyle w:val="IndexLink"/>
                <w:i/>
                <w:iCs/>
              </w:rPr>
              <w:t>The Office’s Procedure and the Methodology of the Inquiry</w:t>
            </w:r>
            <w:r>
              <w:rPr>
                <w:webHidden/>
              </w:rPr>
              <w:fldChar w:fldCharType="begin"/>
            </w:r>
            <w:r>
              <w:rPr>
                <w:webHidden/>
              </w:rPr>
              <w:instrText xml:space="preserve">PAGEREF _Toc229057805 \h</w:instrText>
            </w:r>
            <w:r>
              <w:rPr>
                <w:webHidden/>
              </w:rPr>
              <w:fldChar w:fldCharType="separate"/>
            </w:r>
            <w:r>
              <w:rPr>
                <w:rStyle w:val="IndexLink"/>
                <w:vanish w:val="false"/>
              </w:rPr>
              <w:tab/>
              <w:t>33</w:t>
            </w:r>
            <w:r>
              <w:rPr>
                <w:webHidden/>
              </w:rPr>
              <w:fldChar w:fldCharType="end"/>
            </w:r>
          </w:hyperlink>
        </w:p>
        <w:p>
          <w:pPr>
            <w:pStyle w:val="TOC2"/>
            <w:tabs>
              <w:tab w:val="clear" w:pos="708"/>
              <w:tab w:val="left" w:pos="800" w:leader="none"/>
              <w:tab w:val="right" w:pos="9061" w:leader="dot"/>
            </w:tabs>
            <w:rPr>
              <w:rFonts w:ascii="Calibri" w:hAnsi="Calibri" w:eastAsia="" w:asciiTheme="minorHAnsi" w:eastAsiaTheme="minorEastAsia" w:hAnsiTheme="minorHAnsi"/>
              <w:i w:val="false"/>
              <w:i w:val="false"/>
              <w:iCs w:val="false"/>
              <w:kern w:val="2"/>
              <w:sz w:val="24"/>
              <w:szCs w:val="24"/>
              <w:lang w:eastAsia="cs-CZ"/>
              <w14:ligatures w14:val="standardContextual"/>
            </w:rPr>
          </w:pPr>
          <w:hyperlink w:anchor="_Toc229057806">
            <w:r>
              <w:rPr>
                <w:webHidden/>
                <w:rStyle w:val="IndexLink"/>
                <w:vanish w:val="false"/>
              </w:rPr>
              <w:t>3.1</w:t>
            </w:r>
            <w:r>
              <w:rPr>
                <w:rStyle w:val="IndexLink"/>
                <w:rFonts w:eastAsia="" w:ascii="Calibri" w:hAnsi="Calibri" w:asciiTheme="minorHAnsi" w:eastAsiaTheme="minorEastAsia" w:hAnsiTheme="minorHAnsi"/>
                <w:i w:val="false"/>
                <w:iCs w:val="false"/>
                <w:kern w:val="2"/>
                <w:sz w:val="24"/>
                <w:szCs w:val="24"/>
                <w:lang w:eastAsia="cs-CZ"/>
                <w14:ligatures w14:val="standardContextual"/>
              </w:rPr>
              <w:tab/>
            </w:r>
            <w:r>
              <w:rPr>
                <w:rStyle w:val="IndexLink"/>
              </w:rPr>
              <w:t>Postup Úřadu při sektorovém šetření / Procedure of the Office in the Sector Inquiry</w:t>
            </w:r>
            <w:r>
              <w:rPr>
                <w:webHidden/>
              </w:rPr>
              <w:fldChar w:fldCharType="begin"/>
            </w:r>
            <w:r>
              <w:rPr>
                <w:webHidden/>
              </w:rPr>
              <w:instrText xml:space="preserve">PAGEREF _Toc229057806 \h</w:instrText>
            </w:r>
            <w:r>
              <w:rPr>
                <w:webHidden/>
              </w:rPr>
              <w:fldChar w:fldCharType="separate"/>
            </w:r>
            <w:r>
              <w:rPr>
                <w:rStyle w:val="IndexLink"/>
                <w:vanish w:val="false"/>
              </w:rPr>
              <w:tab/>
              <w:t>33</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807">
            <w:r>
              <w:rPr>
                <w:webHidden/>
                <w:rStyle w:val="IndexLink"/>
                <w:vanish w:val="false"/>
              </w:rPr>
              <w:t>3.1.1</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 xml:space="preserve">Vyžádání podkladů a informací od full mobilních operátorů / </w:t>
            </w:r>
            <w:r>
              <w:rPr>
                <w:rStyle w:val="IndexLink"/>
                <w:lang w:val="en-GB"/>
              </w:rPr>
              <w:t>Request for documents and information from full mobile network operators</w:t>
            </w:r>
            <w:r>
              <w:rPr>
                <w:webHidden/>
              </w:rPr>
              <w:fldChar w:fldCharType="begin"/>
            </w:r>
            <w:r>
              <w:rPr>
                <w:webHidden/>
              </w:rPr>
              <w:instrText xml:space="preserve">PAGEREF _Toc229057807 \h</w:instrText>
            </w:r>
            <w:r>
              <w:rPr>
                <w:webHidden/>
              </w:rPr>
              <w:fldChar w:fldCharType="separate"/>
            </w:r>
            <w:r>
              <w:rPr>
                <w:rStyle w:val="IndexLink"/>
                <w:vanish w:val="false"/>
              </w:rPr>
              <w:tab/>
              <w:t>33</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808">
            <w:r>
              <w:rPr>
                <w:webHidden/>
                <w:rStyle w:val="IndexLink"/>
                <w:vanish w:val="false"/>
              </w:rPr>
              <w:t>3.1.2</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 xml:space="preserve">Přezkum sektorového šetření Krajským soudem v Brně / </w:t>
            </w:r>
            <w:r>
              <w:rPr>
                <w:rStyle w:val="IndexLink"/>
                <w:lang w:val="en-GB"/>
              </w:rPr>
              <w:t>Judicial review of the sector inquiry by the Regional Court in Brno</w:t>
            </w:r>
            <w:r>
              <w:rPr>
                <w:webHidden/>
              </w:rPr>
              <w:fldChar w:fldCharType="begin"/>
            </w:r>
            <w:r>
              <w:rPr>
                <w:webHidden/>
              </w:rPr>
              <w:instrText xml:space="preserve">PAGEREF _Toc229057808 \h</w:instrText>
            </w:r>
            <w:r>
              <w:rPr>
                <w:webHidden/>
              </w:rPr>
              <w:fldChar w:fldCharType="separate"/>
            </w:r>
            <w:r>
              <w:rPr>
                <w:rStyle w:val="IndexLink"/>
                <w:vanish w:val="false"/>
              </w:rPr>
              <w:tab/>
              <w:t>34</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809">
            <w:r>
              <w:rPr>
                <w:webHidden/>
                <w:rStyle w:val="IndexLink"/>
                <w:vanish w:val="false"/>
                <w:highlight w:val="yellow"/>
              </w:rPr>
              <w:t>3.1.3</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highlight w:val="yellow"/>
              </w:rPr>
              <w:t>Fáze po vydání rozsudku Krajského soudu v Brně</w:t>
            </w:r>
            <w:r>
              <w:rPr>
                <w:webHidden/>
              </w:rPr>
              <w:fldChar w:fldCharType="begin"/>
            </w:r>
            <w:r>
              <w:rPr>
                <w:webHidden/>
              </w:rPr>
              <w:instrText xml:space="preserve">PAGEREF _Toc229057809 \h</w:instrText>
            </w:r>
            <w:r>
              <w:rPr>
                <w:webHidden/>
              </w:rPr>
              <w:fldChar w:fldCharType="separate"/>
            </w:r>
            <w:r>
              <w:rPr>
                <w:rStyle w:val="IndexLink"/>
                <w:vanish w:val="false"/>
              </w:rPr>
              <w:tab/>
              <w:t>35</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810">
            <w:r>
              <w:rPr>
                <w:webHidden/>
                <w:rStyle w:val="IndexLink"/>
                <w:vanish w:val="false"/>
              </w:rPr>
              <w:t>3.1.4</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Přezkum sektorového šetření Nejvyšším správním soudem</w:t>
            </w:r>
            <w:r>
              <w:rPr>
                <w:webHidden/>
              </w:rPr>
              <w:fldChar w:fldCharType="begin"/>
            </w:r>
            <w:r>
              <w:rPr>
                <w:webHidden/>
              </w:rPr>
              <w:instrText xml:space="preserve">PAGEREF _Toc229057810 \h</w:instrText>
            </w:r>
            <w:r>
              <w:rPr>
                <w:webHidden/>
              </w:rPr>
              <w:fldChar w:fldCharType="separate"/>
            </w:r>
            <w:r>
              <w:rPr>
                <w:rStyle w:val="IndexLink"/>
                <w:vanish w:val="false"/>
              </w:rPr>
              <w:tab/>
              <w:t>35</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811">
            <w:r>
              <w:rPr>
                <w:webHidden/>
                <w:rStyle w:val="IndexLink"/>
                <w:vanish w:val="false"/>
              </w:rPr>
              <w:t>3.1.5</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Oslovení virtuálních mobilních operátorů</w:t>
            </w:r>
            <w:r>
              <w:rPr>
                <w:webHidden/>
              </w:rPr>
              <w:fldChar w:fldCharType="begin"/>
            </w:r>
            <w:r>
              <w:rPr>
                <w:webHidden/>
              </w:rPr>
              <w:instrText xml:space="preserve">PAGEREF _Toc229057811 \h</w:instrText>
            </w:r>
            <w:r>
              <w:rPr>
                <w:webHidden/>
              </w:rPr>
              <w:fldChar w:fldCharType="separate"/>
            </w:r>
            <w:r>
              <w:rPr>
                <w:rStyle w:val="IndexLink"/>
                <w:vanish w:val="false"/>
              </w:rPr>
              <w:tab/>
              <w:t>35</w:t>
            </w:r>
            <w:r>
              <w:rPr>
                <w:webHidden/>
              </w:rPr>
              <w:fldChar w:fldCharType="end"/>
            </w:r>
          </w:hyperlink>
        </w:p>
        <w:p>
          <w:pPr>
            <w:pStyle w:val="TOC2"/>
            <w:tabs>
              <w:tab w:val="clear" w:pos="708"/>
              <w:tab w:val="left" w:pos="800" w:leader="none"/>
              <w:tab w:val="right" w:pos="9061" w:leader="dot"/>
            </w:tabs>
            <w:rPr>
              <w:rFonts w:ascii="Calibri" w:hAnsi="Calibri" w:eastAsia="" w:asciiTheme="minorHAnsi" w:eastAsiaTheme="minorEastAsia" w:hAnsiTheme="minorHAnsi"/>
              <w:i w:val="false"/>
              <w:i w:val="false"/>
              <w:iCs w:val="false"/>
              <w:kern w:val="2"/>
              <w:sz w:val="24"/>
              <w:szCs w:val="24"/>
              <w:lang w:eastAsia="cs-CZ"/>
              <w14:ligatures w14:val="standardContextual"/>
            </w:rPr>
          </w:pPr>
          <w:hyperlink w:anchor="_Toc229057812">
            <w:r>
              <w:rPr>
                <w:webHidden/>
                <w:rStyle w:val="IndexLink"/>
                <w:vanish w:val="false"/>
              </w:rPr>
              <w:t>3.2</w:t>
            </w:r>
            <w:r>
              <w:rPr>
                <w:rStyle w:val="IndexLink"/>
                <w:rFonts w:eastAsia="" w:ascii="Calibri" w:hAnsi="Calibri" w:asciiTheme="minorHAnsi" w:eastAsiaTheme="minorEastAsia" w:hAnsiTheme="minorHAnsi"/>
                <w:i w:val="false"/>
                <w:iCs w:val="false"/>
                <w:kern w:val="2"/>
                <w:sz w:val="24"/>
                <w:szCs w:val="24"/>
                <w:lang w:eastAsia="cs-CZ"/>
                <w14:ligatures w14:val="standardContextual"/>
              </w:rPr>
              <w:tab/>
            </w:r>
            <w:r>
              <w:rPr>
                <w:rStyle w:val="IndexLink"/>
              </w:rPr>
              <w:t>Data</w:t>
            </w:r>
            <w:r>
              <w:rPr>
                <w:webHidden/>
              </w:rPr>
              <w:fldChar w:fldCharType="begin"/>
            </w:r>
            <w:r>
              <w:rPr>
                <w:webHidden/>
              </w:rPr>
              <w:instrText xml:space="preserve">PAGEREF _Toc229057812 \h</w:instrText>
            </w:r>
            <w:r>
              <w:rPr>
                <w:webHidden/>
              </w:rPr>
              <w:fldChar w:fldCharType="separate"/>
            </w:r>
            <w:r>
              <w:rPr>
                <w:rStyle w:val="IndexLink"/>
                <w:vanish w:val="false"/>
              </w:rPr>
              <w:tab/>
              <w:t>36</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813">
            <w:r>
              <w:rPr>
                <w:webHidden/>
                <w:rStyle w:val="IndexLink"/>
                <w:vanish w:val="false"/>
              </w:rPr>
              <w:t>3.2.1</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Data ČTÚ</w:t>
            </w:r>
            <w:r>
              <w:rPr>
                <w:webHidden/>
              </w:rPr>
              <w:fldChar w:fldCharType="begin"/>
            </w:r>
            <w:r>
              <w:rPr>
                <w:webHidden/>
              </w:rPr>
              <w:instrText xml:space="preserve">PAGEREF _Toc229057813 \h</w:instrText>
            </w:r>
            <w:r>
              <w:rPr>
                <w:webHidden/>
              </w:rPr>
              <w:fldChar w:fldCharType="separate"/>
            </w:r>
            <w:r>
              <w:rPr>
                <w:rStyle w:val="IndexLink"/>
                <w:vanish w:val="false"/>
              </w:rPr>
              <w:tab/>
              <w:t>36</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814">
            <w:r>
              <w:rPr>
                <w:webHidden/>
                <w:rStyle w:val="IndexLink"/>
                <w:vanish w:val="false"/>
              </w:rPr>
              <w:t>3.2.2</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Data Eurostatu</w:t>
            </w:r>
            <w:r>
              <w:rPr>
                <w:webHidden/>
              </w:rPr>
              <w:fldChar w:fldCharType="begin"/>
            </w:r>
            <w:r>
              <w:rPr>
                <w:webHidden/>
              </w:rPr>
              <w:instrText xml:space="preserve">PAGEREF _Toc229057814 \h</w:instrText>
            </w:r>
            <w:r>
              <w:rPr>
                <w:webHidden/>
              </w:rPr>
              <w:fldChar w:fldCharType="separate"/>
            </w:r>
            <w:r>
              <w:rPr>
                <w:rStyle w:val="IndexLink"/>
                <w:vanish w:val="false"/>
              </w:rPr>
              <w:tab/>
              <w:t>36</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815">
            <w:r>
              <w:rPr>
                <w:webHidden/>
                <w:rStyle w:val="IndexLink"/>
                <w:vanish w:val="false"/>
              </w:rPr>
              <w:t>3.2.3</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Data BERECu</w:t>
            </w:r>
            <w:r>
              <w:rPr>
                <w:webHidden/>
              </w:rPr>
              <w:fldChar w:fldCharType="begin"/>
            </w:r>
            <w:r>
              <w:rPr>
                <w:webHidden/>
              </w:rPr>
              <w:instrText xml:space="preserve">PAGEREF _Toc229057815 \h</w:instrText>
            </w:r>
            <w:r>
              <w:rPr>
                <w:webHidden/>
              </w:rPr>
              <w:fldChar w:fldCharType="separate"/>
            </w:r>
            <w:r>
              <w:rPr>
                <w:rStyle w:val="IndexLink"/>
                <w:vanish w:val="false"/>
              </w:rPr>
              <w:tab/>
              <w:t>37</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816">
            <w:r>
              <w:rPr>
                <w:webHidden/>
                <w:rStyle w:val="IndexLink"/>
                <w:vanish w:val="false"/>
              </w:rPr>
              <w:t>3.2.4</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 xml:space="preserve">Data ceníkových cen mobilních tarifů v EU / </w:t>
            </w:r>
            <w:r>
              <w:rPr>
                <w:rStyle w:val="IndexLink"/>
                <w:i/>
                <w:iCs/>
                <w:lang w:val="en-GB"/>
              </w:rPr>
              <w:t>Data on mobile tariff list prices in the EU</w:t>
            </w:r>
            <w:r>
              <w:rPr>
                <w:webHidden/>
              </w:rPr>
              <w:fldChar w:fldCharType="begin"/>
            </w:r>
            <w:r>
              <w:rPr>
                <w:webHidden/>
              </w:rPr>
              <w:instrText xml:space="preserve">PAGEREF _Toc229057816 \h</w:instrText>
            </w:r>
            <w:r>
              <w:rPr>
                <w:webHidden/>
              </w:rPr>
              <w:fldChar w:fldCharType="separate"/>
            </w:r>
            <w:r>
              <w:rPr>
                <w:rStyle w:val="IndexLink"/>
                <w:vanish w:val="false"/>
              </w:rPr>
              <w:tab/>
              <w:t>37</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817">
            <w:r>
              <w:rPr>
                <w:webHidden/>
                <w:rStyle w:val="IndexLink"/>
                <w:vanish w:val="false"/>
              </w:rPr>
              <w:t>3.2.5</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Vyžádané podklady a informace od mobilních operátorů</w:t>
            </w:r>
            <w:r>
              <w:rPr>
                <w:webHidden/>
              </w:rPr>
              <w:fldChar w:fldCharType="begin"/>
            </w:r>
            <w:r>
              <w:rPr>
                <w:webHidden/>
              </w:rPr>
              <w:instrText xml:space="preserve">PAGEREF _Toc229057817 \h</w:instrText>
            </w:r>
            <w:r>
              <w:rPr>
                <w:webHidden/>
              </w:rPr>
              <w:fldChar w:fldCharType="separate"/>
            </w:r>
            <w:r>
              <w:rPr>
                <w:rStyle w:val="IndexLink"/>
                <w:vanish w:val="false"/>
              </w:rPr>
              <w:tab/>
              <w:t>38</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818">
            <w:r>
              <w:rPr>
                <w:webHidden/>
                <w:rStyle w:val="IndexLink"/>
                <w:vanish w:val="false"/>
              </w:rPr>
              <w:t>3.2.6</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Vyžádané podklady a informace od virtuálních mobilních operátorů</w:t>
            </w:r>
            <w:r>
              <w:rPr>
                <w:webHidden/>
              </w:rPr>
              <w:fldChar w:fldCharType="begin"/>
            </w:r>
            <w:r>
              <w:rPr>
                <w:webHidden/>
              </w:rPr>
              <w:instrText xml:space="preserve">PAGEREF _Toc229057818 \h</w:instrText>
            </w:r>
            <w:r>
              <w:rPr>
                <w:webHidden/>
              </w:rPr>
              <w:fldChar w:fldCharType="separate"/>
            </w:r>
            <w:r>
              <w:rPr>
                <w:rStyle w:val="IndexLink"/>
                <w:vanish w:val="false"/>
              </w:rPr>
              <w:tab/>
              <w:t>38</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819">
            <w:r>
              <w:rPr>
                <w:webHidden/>
                <w:rStyle w:val="IndexLink"/>
                <w:vanish w:val="false"/>
              </w:rPr>
              <w:t>3.2.7</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Transakční údaje</w:t>
            </w:r>
            <w:r>
              <w:rPr>
                <w:webHidden/>
              </w:rPr>
              <w:fldChar w:fldCharType="begin"/>
            </w:r>
            <w:r>
              <w:rPr>
                <w:webHidden/>
              </w:rPr>
              <w:instrText xml:space="preserve">PAGEREF _Toc229057819 \h</w:instrText>
            </w:r>
            <w:r>
              <w:rPr>
                <w:webHidden/>
              </w:rPr>
              <w:fldChar w:fldCharType="separate"/>
            </w:r>
            <w:r>
              <w:rPr>
                <w:rStyle w:val="IndexLink"/>
                <w:vanish w:val="false"/>
              </w:rPr>
              <w:tab/>
              <w:t>38</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820">
            <w:r>
              <w:rPr>
                <w:webHidden/>
                <w:rStyle w:val="IndexLink"/>
                <w:vanish w:val="false"/>
              </w:rPr>
              <w:t>3.2.8</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Účetní a finanční údaje</w:t>
            </w:r>
            <w:r>
              <w:rPr>
                <w:webHidden/>
              </w:rPr>
              <w:fldChar w:fldCharType="begin"/>
            </w:r>
            <w:r>
              <w:rPr>
                <w:webHidden/>
              </w:rPr>
              <w:instrText xml:space="preserve">PAGEREF _Toc229057820 \h</w:instrText>
            </w:r>
            <w:r>
              <w:rPr>
                <w:webHidden/>
              </w:rPr>
              <w:fldChar w:fldCharType="separate"/>
            </w:r>
            <w:r>
              <w:rPr>
                <w:rStyle w:val="IndexLink"/>
                <w:vanish w:val="false"/>
              </w:rPr>
              <w:tab/>
              <w:t>38</w:t>
            </w:r>
            <w:r>
              <w:rPr>
                <w:webHidden/>
              </w:rPr>
              <w:fldChar w:fldCharType="end"/>
            </w:r>
          </w:hyperlink>
        </w:p>
        <w:p>
          <w:pPr>
            <w:pStyle w:val="TOC2"/>
            <w:tabs>
              <w:tab w:val="clear" w:pos="708"/>
              <w:tab w:val="left" w:pos="800" w:leader="none"/>
              <w:tab w:val="right" w:pos="9061" w:leader="dot"/>
            </w:tabs>
            <w:rPr>
              <w:rFonts w:ascii="Calibri" w:hAnsi="Calibri" w:eastAsia="" w:asciiTheme="minorHAnsi" w:eastAsiaTheme="minorEastAsia" w:hAnsiTheme="minorHAnsi"/>
              <w:i w:val="false"/>
              <w:i w:val="false"/>
              <w:iCs w:val="false"/>
              <w:kern w:val="2"/>
              <w:sz w:val="24"/>
              <w:szCs w:val="24"/>
              <w:lang w:eastAsia="cs-CZ"/>
              <w14:ligatures w14:val="standardContextual"/>
            </w:rPr>
          </w:pPr>
          <w:hyperlink w:anchor="_Toc229057821">
            <w:r>
              <w:rPr>
                <w:webHidden/>
                <w:rStyle w:val="IndexLink"/>
                <w:vanish w:val="false"/>
              </w:rPr>
              <w:t>3.3</w:t>
            </w:r>
            <w:r>
              <w:rPr>
                <w:rStyle w:val="IndexLink"/>
                <w:rFonts w:eastAsia="" w:ascii="Calibri" w:hAnsi="Calibri" w:asciiTheme="minorHAnsi" w:eastAsiaTheme="minorEastAsia" w:hAnsiTheme="minorHAnsi"/>
                <w:i w:val="false"/>
                <w:iCs w:val="false"/>
                <w:kern w:val="2"/>
                <w:sz w:val="24"/>
                <w:szCs w:val="24"/>
                <w:lang w:eastAsia="cs-CZ"/>
                <w14:ligatures w14:val="standardContextual"/>
              </w:rPr>
              <w:tab/>
            </w:r>
            <w:r>
              <w:rPr>
                <w:rStyle w:val="IndexLink"/>
              </w:rPr>
              <w:t>Metodika šetření</w:t>
            </w:r>
            <w:r>
              <w:rPr>
                <w:webHidden/>
              </w:rPr>
              <w:fldChar w:fldCharType="begin"/>
            </w:r>
            <w:r>
              <w:rPr>
                <w:webHidden/>
              </w:rPr>
              <w:instrText xml:space="preserve">PAGEREF _Toc229057821 \h</w:instrText>
            </w:r>
            <w:r>
              <w:rPr>
                <w:webHidden/>
              </w:rPr>
              <w:fldChar w:fldCharType="separate"/>
            </w:r>
            <w:r>
              <w:rPr>
                <w:rStyle w:val="IndexLink"/>
                <w:vanish w:val="false"/>
              </w:rPr>
              <w:tab/>
              <w:t>38</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822">
            <w:r>
              <w:rPr>
                <w:webHidden/>
                <w:rStyle w:val="IndexLink"/>
                <w:vanish w:val="false"/>
              </w:rPr>
              <w:t>3.3.1</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První analýza… atd.</w:t>
            </w:r>
            <w:r>
              <w:rPr>
                <w:webHidden/>
              </w:rPr>
              <w:fldChar w:fldCharType="begin"/>
            </w:r>
            <w:r>
              <w:rPr>
                <w:webHidden/>
              </w:rPr>
              <w:instrText xml:space="preserve">PAGEREF _Toc229057822 \h</w:instrText>
            </w:r>
            <w:r>
              <w:rPr>
                <w:webHidden/>
              </w:rPr>
              <w:fldChar w:fldCharType="separate"/>
            </w:r>
            <w:r>
              <w:rPr>
                <w:rStyle w:val="IndexLink"/>
                <w:vanish w:val="false"/>
              </w:rPr>
              <w:tab/>
              <w:t>39</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823">
            <w:r>
              <w:rPr>
                <w:webHidden/>
                <w:rStyle w:val="IndexLink"/>
                <w:vanish w:val="false"/>
              </w:rPr>
              <w:t>3.3.2</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Modelování hedonického rozkladu ceníkových cen tarifních mobilních služeb v Evropě</w:t>
            </w:r>
            <w:r>
              <w:rPr>
                <w:webHidden/>
              </w:rPr>
              <w:fldChar w:fldCharType="begin"/>
            </w:r>
            <w:r>
              <w:rPr>
                <w:webHidden/>
              </w:rPr>
              <w:instrText xml:space="preserve">PAGEREF _Toc229057823 \h</w:instrText>
            </w:r>
            <w:r>
              <w:rPr>
                <w:webHidden/>
              </w:rPr>
              <w:fldChar w:fldCharType="separate"/>
            </w:r>
            <w:r>
              <w:rPr>
                <w:rStyle w:val="IndexLink"/>
                <w:vanish w:val="false"/>
              </w:rPr>
              <w:tab/>
              <w:t>39</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824">
            <w:r>
              <w:rPr>
                <w:webHidden/>
                <w:rStyle w:val="IndexLink"/>
                <w:vanish w:val="false"/>
              </w:rPr>
              <w:t>3.3.3</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Modelování relativních ceníkových cen služeb pevného připojení k internetu v Evropě</w:t>
            </w:r>
            <w:r>
              <w:rPr>
                <w:webHidden/>
              </w:rPr>
              <w:fldChar w:fldCharType="begin"/>
            </w:r>
            <w:r>
              <w:rPr>
                <w:webHidden/>
              </w:rPr>
              <w:instrText xml:space="preserve">PAGEREF _Toc229057824 \h</w:instrText>
            </w:r>
            <w:r>
              <w:rPr>
                <w:webHidden/>
              </w:rPr>
              <w:fldChar w:fldCharType="separate"/>
            </w:r>
            <w:r>
              <w:rPr>
                <w:rStyle w:val="IndexLink"/>
                <w:vanish w:val="false"/>
              </w:rPr>
              <w:tab/>
              <w:t>41</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825">
            <w:r>
              <w:rPr>
                <w:webHidden/>
                <w:rStyle w:val="IndexLink"/>
                <w:vanish w:val="false"/>
              </w:rPr>
              <w:t>3.3.4</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Modelování relativní cenové mezery a informační asymetrie v EU</w:t>
            </w:r>
            <w:r>
              <w:rPr>
                <w:webHidden/>
              </w:rPr>
              <w:fldChar w:fldCharType="begin"/>
            </w:r>
            <w:r>
              <w:rPr>
                <w:webHidden/>
              </w:rPr>
              <w:instrText xml:space="preserve">PAGEREF _Toc229057825 \h</w:instrText>
            </w:r>
            <w:r>
              <w:rPr>
                <w:webHidden/>
              </w:rPr>
              <w:fldChar w:fldCharType="separate"/>
            </w:r>
            <w:r>
              <w:rPr>
                <w:rStyle w:val="IndexLink"/>
                <w:vanish w:val="false"/>
              </w:rPr>
              <w:tab/>
              <w:t>41</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826">
            <w:r>
              <w:rPr>
                <w:webHidden/>
                <w:rStyle w:val="IndexLink"/>
                <w:vanish w:val="false"/>
              </w:rPr>
              <w:t>3.3.5</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Modelování elasticit</w:t>
            </w:r>
            <w:r>
              <w:rPr>
                <w:webHidden/>
              </w:rPr>
              <w:fldChar w:fldCharType="begin"/>
            </w:r>
            <w:r>
              <w:rPr>
                <w:webHidden/>
              </w:rPr>
              <w:instrText xml:space="preserve">PAGEREF _Toc229057826 \h</w:instrText>
            </w:r>
            <w:r>
              <w:rPr>
                <w:webHidden/>
              </w:rPr>
              <w:fldChar w:fldCharType="separate"/>
            </w:r>
            <w:r>
              <w:rPr>
                <w:rStyle w:val="IndexLink"/>
                <w:vanish w:val="false"/>
              </w:rPr>
              <w:tab/>
              <w:t>41</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827">
            <w:r>
              <w:rPr>
                <w:webHidden/>
                <w:rStyle w:val="IndexLink"/>
                <w:vanish w:val="false"/>
              </w:rPr>
              <w:t>3.3.6</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Modelování poptávek</w:t>
            </w:r>
            <w:r>
              <w:rPr>
                <w:webHidden/>
              </w:rPr>
              <w:fldChar w:fldCharType="begin"/>
            </w:r>
            <w:r>
              <w:rPr>
                <w:webHidden/>
              </w:rPr>
              <w:instrText xml:space="preserve">PAGEREF _Toc229057827 \h</w:instrText>
            </w:r>
            <w:r>
              <w:rPr>
                <w:webHidden/>
              </w:rPr>
              <w:fldChar w:fldCharType="separate"/>
            </w:r>
            <w:r>
              <w:rPr>
                <w:rStyle w:val="IndexLink"/>
                <w:vanish w:val="false"/>
              </w:rPr>
              <w:tab/>
              <w:t>41</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828">
            <w:r>
              <w:rPr>
                <w:webHidden/>
                <w:rStyle w:val="IndexLink"/>
                <w:vanish w:val="false"/>
              </w:rPr>
              <w:t>3.3.7</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Modelování mezního příjmu na základě skutečných cen</w:t>
            </w:r>
            <w:r>
              <w:rPr>
                <w:webHidden/>
              </w:rPr>
              <w:fldChar w:fldCharType="begin"/>
            </w:r>
            <w:r>
              <w:rPr>
                <w:webHidden/>
              </w:rPr>
              <w:instrText xml:space="preserve">PAGEREF _Toc229057828 \h</w:instrText>
            </w:r>
            <w:r>
              <w:rPr>
                <w:webHidden/>
              </w:rPr>
              <w:fldChar w:fldCharType="separate"/>
            </w:r>
            <w:r>
              <w:rPr>
                <w:rStyle w:val="IndexLink"/>
                <w:vanish w:val="false"/>
              </w:rPr>
              <w:tab/>
              <w:t>41</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829">
            <w:r>
              <w:rPr>
                <w:webHidden/>
                <w:rStyle w:val="IndexLink"/>
                <w:vanish w:val="false"/>
              </w:rPr>
              <w:t>3.3.8</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Odhad a modelování rozsahu cenové diskriminace</w:t>
            </w:r>
            <w:r>
              <w:rPr>
                <w:webHidden/>
              </w:rPr>
              <w:fldChar w:fldCharType="begin"/>
            </w:r>
            <w:r>
              <w:rPr>
                <w:webHidden/>
              </w:rPr>
              <w:instrText xml:space="preserve">PAGEREF _Toc229057829 \h</w:instrText>
            </w:r>
            <w:r>
              <w:rPr>
                <w:webHidden/>
              </w:rPr>
              <w:fldChar w:fldCharType="separate"/>
            </w:r>
            <w:r>
              <w:rPr>
                <w:rStyle w:val="IndexLink"/>
                <w:vanish w:val="false"/>
              </w:rPr>
              <w:tab/>
              <w:t>41</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830">
            <w:r>
              <w:rPr>
                <w:webHidden/>
                <w:rStyle w:val="IndexLink"/>
                <w:vanish w:val="false"/>
              </w:rPr>
              <w:t>3.3.9</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Výpočet odčerpaného přebytku spotřebitelů</w:t>
            </w:r>
            <w:r>
              <w:rPr>
                <w:webHidden/>
              </w:rPr>
              <w:fldChar w:fldCharType="begin"/>
            </w:r>
            <w:r>
              <w:rPr>
                <w:webHidden/>
              </w:rPr>
              <w:instrText xml:space="preserve">PAGEREF _Toc229057830 \h</w:instrText>
            </w:r>
            <w:r>
              <w:rPr>
                <w:webHidden/>
              </w:rPr>
              <w:fldChar w:fldCharType="separate"/>
            </w:r>
            <w:r>
              <w:rPr>
                <w:rStyle w:val="IndexLink"/>
                <w:vanish w:val="false"/>
              </w:rPr>
              <w:tab/>
              <w:t>41</w:t>
            </w:r>
            <w:r>
              <w:rPr>
                <w:webHidden/>
              </w:rPr>
              <w:fldChar w:fldCharType="end"/>
            </w:r>
          </w:hyperlink>
        </w:p>
        <w:p>
          <w:pPr>
            <w:pStyle w:val="TOC3"/>
            <w:tabs>
              <w:tab w:val="clear" w:pos="708"/>
              <w:tab w:val="left" w:pos="14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831">
            <w:r>
              <w:rPr>
                <w:webHidden/>
                <w:rStyle w:val="IndexLink"/>
                <w:vanish w:val="false"/>
              </w:rPr>
              <w:t>3.3.10</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 xml:space="preserve">Odhad </w:t>
            </w:r>
            <w:r>
              <w:rPr>
                <w:rStyle w:val="IndexLink"/>
                <w:i/>
                <w:iCs/>
              </w:rPr>
              <w:t>lock-in</w:t>
            </w:r>
            <w:r>
              <w:rPr>
                <w:rStyle w:val="IndexLink"/>
              </w:rPr>
              <w:t xml:space="preserve"> efektů</w:t>
            </w:r>
            <w:r>
              <w:rPr>
                <w:webHidden/>
              </w:rPr>
              <w:fldChar w:fldCharType="begin"/>
            </w:r>
            <w:r>
              <w:rPr>
                <w:webHidden/>
              </w:rPr>
              <w:instrText xml:space="preserve">PAGEREF _Toc229057831 \h</w:instrText>
            </w:r>
            <w:r>
              <w:rPr>
                <w:webHidden/>
              </w:rPr>
              <w:fldChar w:fldCharType="separate"/>
            </w:r>
            <w:r>
              <w:rPr>
                <w:rStyle w:val="IndexLink"/>
                <w:vanish w:val="false"/>
              </w:rPr>
              <w:tab/>
              <w:t>42</w:t>
            </w:r>
            <w:r>
              <w:rPr>
                <w:webHidden/>
              </w:rPr>
              <w:fldChar w:fldCharType="end"/>
            </w:r>
          </w:hyperlink>
        </w:p>
        <w:p>
          <w:pPr>
            <w:pStyle w:val="TOC1"/>
            <w:tabs>
              <w:tab w:val="clear" w:pos="708"/>
              <w:tab w:val="left" w:pos="400" w:leader="none"/>
              <w:tab w:val="right" w:pos="9061" w:leader="dot"/>
            </w:tabs>
            <w:rPr>
              <w:rFonts w:ascii="Calibri" w:hAnsi="Calibri" w:eastAsia="" w:asciiTheme="minorHAnsi" w:eastAsiaTheme="minorEastAsia" w:hAnsiTheme="minorHAnsi"/>
              <w:b w:val="false"/>
              <w:bCs w:val="false"/>
              <w:kern w:val="2"/>
              <w:sz w:val="24"/>
              <w:szCs w:val="24"/>
              <w:lang w:eastAsia="cs-CZ"/>
              <w14:ligatures w14:val="standardContextual"/>
            </w:rPr>
          </w:pPr>
          <w:hyperlink w:anchor="_Toc229057832">
            <w:r>
              <w:rPr>
                <w:webHidden/>
                <w:rStyle w:val="IndexLink"/>
                <w:vanish w:val="false"/>
              </w:rPr>
              <w:t>4</w:t>
            </w:r>
            <w:r>
              <w:rPr>
                <w:rStyle w:val="IndexLink"/>
                <w:rFonts w:eastAsia="" w:ascii="Calibri" w:hAnsi="Calibri" w:asciiTheme="minorHAnsi" w:eastAsiaTheme="minorEastAsia" w:hAnsiTheme="minorHAnsi"/>
                <w:b w:val="false"/>
                <w:bCs w:val="false"/>
                <w:kern w:val="2"/>
                <w:sz w:val="24"/>
                <w:szCs w:val="24"/>
                <w:lang w:eastAsia="cs-CZ"/>
                <w14:ligatures w14:val="standardContextual"/>
              </w:rPr>
              <w:tab/>
            </w:r>
            <w:r>
              <w:rPr>
                <w:rStyle w:val="IndexLink"/>
              </w:rPr>
              <w:t>Právní a regulatorní kontext šetřené oblasti</w:t>
            </w:r>
            <w:r>
              <w:rPr>
                <w:webHidden/>
              </w:rPr>
              <w:fldChar w:fldCharType="begin"/>
            </w:r>
            <w:r>
              <w:rPr>
                <w:webHidden/>
              </w:rPr>
              <w:instrText xml:space="preserve">PAGEREF _Toc229057832 \h</w:instrText>
            </w:r>
            <w:r>
              <w:rPr>
                <w:webHidden/>
              </w:rPr>
              <w:fldChar w:fldCharType="separate"/>
            </w:r>
            <w:r>
              <w:rPr>
                <w:rStyle w:val="IndexLink"/>
                <w:vanish w:val="false"/>
              </w:rPr>
              <w:tab/>
              <w:t>43</w:t>
            </w:r>
            <w:r>
              <w:rPr>
                <w:webHidden/>
              </w:rPr>
              <w:fldChar w:fldCharType="end"/>
            </w:r>
          </w:hyperlink>
        </w:p>
        <w:p>
          <w:pPr>
            <w:pStyle w:val="TOC2"/>
            <w:tabs>
              <w:tab w:val="clear" w:pos="708"/>
              <w:tab w:val="left" w:pos="800" w:leader="none"/>
              <w:tab w:val="right" w:pos="9061" w:leader="dot"/>
            </w:tabs>
            <w:rPr>
              <w:rFonts w:ascii="Calibri" w:hAnsi="Calibri" w:eastAsia="" w:asciiTheme="minorHAnsi" w:eastAsiaTheme="minorEastAsia" w:hAnsiTheme="minorHAnsi"/>
              <w:i w:val="false"/>
              <w:i w:val="false"/>
              <w:iCs w:val="false"/>
              <w:kern w:val="2"/>
              <w:sz w:val="24"/>
              <w:szCs w:val="24"/>
              <w:lang w:eastAsia="cs-CZ"/>
              <w14:ligatures w14:val="standardContextual"/>
            </w:rPr>
          </w:pPr>
          <w:hyperlink w:anchor="_Toc229057833">
            <w:r>
              <w:rPr>
                <w:webHidden/>
                <w:rStyle w:val="IndexLink"/>
                <w:vanish w:val="false"/>
              </w:rPr>
              <w:t>4.1</w:t>
            </w:r>
            <w:r>
              <w:rPr>
                <w:rStyle w:val="IndexLink"/>
                <w:rFonts w:eastAsia="" w:ascii="Calibri" w:hAnsi="Calibri" w:asciiTheme="minorHAnsi" w:eastAsiaTheme="minorEastAsia" w:hAnsiTheme="minorHAnsi"/>
                <w:i w:val="false"/>
                <w:iCs w:val="false"/>
                <w:kern w:val="2"/>
                <w:sz w:val="24"/>
                <w:szCs w:val="24"/>
                <w:lang w:eastAsia="cs-CZ"/>
                <w14:ligatures w14:val="standardContextual"/>
              </w:rPr>
              <w:tab/>
            </w:r>
            <w:r>
              <w:rPr>
                <w:rStyle w:val="IndexLink"/>
              </w:rPr>
              <w:t>Evropský právní rámec</w:t>
            </w:r>
            <w:r>
              <w:rPr>
                <w:webHidden/>
              </w:rPr>
              <w:fldChar w:fldCharType="begin"/>
            </w:r>
            <w:r>
              <w:rPr>
                <w:webHidden/>
              </w:rPr>
              <w:instrText xml:space="preserve">PAGEREF _Toc229057833 \h</w:instrText>
            </w:r>
            <w:r>
              <w:rPr>
                <w:webHidden/>
              </w:rPr>
              <w:fldChar w:fldCharType="separate"/>
            </w:r>
            <w:r>
              <w:rPr>
                <w:rStyle w:val="IndexLink"/>
                <w:vanish w:val="false"/>
              </w:rPr>
              <w:tab/>
              <w:t>43</w:t>
            </w:r>
            <w:r>
              <w:rPr>
                <w:webHidden/>
              </w:rPr>
              <w:fldChar w:fldCharType="end"/>
            </w:r>
          </w:hyperlink>
        </w:p>
        <w:p>
          <w:pPr>
            <w:pStyle w:val="TOC2"/>
            <w:tabs>
              <w:tab w:val="clear" w:pos="708"/>
              <w:tab w:val="left" w:pos="800" w:leader="none"/>
              <w:tab w:val="right" w:pos="9061" w:leader="dot"/>
            </w:tabs>
            <w:rPr>
              <w:rFonts w:ascii="Calibri" w:hAnsi="Calibri" w:eastAsia="" w:asciiTheme="minorHAnsi" w:eastAsiaTheme="minorEastAsia" w:hAnsiTheme="minorHAnsi"/>
              <w:i w:val="false"/>
              <w:i w:val="false"/>
              <w:iCs w:val="false"/>
              <w:kern w:val="2"/>
              <w:sz w:val="24"/>
              <w:szCs w:val="24"/>
              <w:lang w:eastAsia="cs-CZ"/>
              <w14:ligatures w14:val="standardContextual"/>
            </w:rPr>
          </w:pPr>
          <w:hyperlink w:anchor="_Toc229057834">
            <w:r>
              <w:rPr>
                <w:webHidden/>
                <w:rStyle w:val="IndexLink"/>
                <w:vanish w:val="false"/>
              </w:rPr>
              <w:t>4.2</w:t>
            </w:r>
            <w:r>
              <w:rPr>
                <w:rStyle w:val="IndexLink"/>
                <w:rFonts w:eastAsia="" w:ascii="Calibri" w:hAnsi="Calibri" w:asciiTheme="minorHAnsi" w:eastAsiaTheme="minorEastAsia" w:hAnsiTheme="minorHAnsi"/>
                <w:i w:val="false"/>
                <w:iCs w:val="false"/>
                <w:kern w:val="2"/>
                <w:sz w:val="24"/>
                <w:szCs w:val="24"/>
                <w:lang w:eastAsia="cs-CZ"/>
                <w14:ligatures w14:val="standardContextual"/>
              </w:rPr>
              <w:tab/>
            </w:r>
            <w:r>
              <w:rPr>
                <w:rStyle w:val="IndexLink"/>
              </w:rPr>
              <w:t>Role a kompetence nadnárodních orgánů</w:t>
            </w:r>
            <w:r>
              <w:rPr>
                <w:webHidden/>
              </w:rPr>
              <w:fldChar w:fldCharType="begin"/>
            </w:r>
            <w:r>
              <w:rPr>
                <w:webHidden/>
              </w:rPr>
              <w:instrText xml:space="preserve">PAGEREF _Toc229057834 \h</w:instrText>
            </w:r>
            <w:r>
              <w:rPr>
                <w:webHidden/>
              </w:rPr>
              <w:fldChar w:fldCharType="separate"/>
            </w:r>
            <w:r>
              <w:rPr>
                <w:rStyle w:val="IndexLink"/>
                <w:vanish w:val="false"/>
              </w:rPr>
              <w:tab/>
              <w:t>44</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835">
            <w:r>
              <w:rPr>
                <w:webHidden/>
                <w:rStyle w:val="IndexLink"/>
                <w:vanish w:val="false"/>
              </w:rPr>
              <w:t>4.2.1</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Evropská komise</w:t>
            </w:r>
            <w:r>
              <w:rPr>
                <w:webHidden/>
              </w:rPr>
              <w:fldChar w:fldCharType="begin"/>
            </w:r>
            <w:r>
              <w:rPr>
                <w:webHidden/>
              </w:rPr>
              <w:instrText xml:space="preserve">PAGEREF _Toc229057835 \h</w:instrText>
            </w:r>
            <w:r>
              <w:rPr>
                <w:webHidden/>
              </w:rPr>
              <w:fldChar w:fldCharType="separate"/>
            </w:r>
            <w:r>
              <w:rPr>
                <w:rStyle w:val="IndexLink"/>
                <w:vanish w:val="false"/>
              </w:rPr>
              <w:tab/>
              <w:t>44</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836">
            <w:r>
              <w:rPr>
                <w:webHidden/>
                <w:rStyle w:val="IndexLink"/>
                <w:vanish w:val="false"/>
              </w:rPr>
              <w:t>4.2.2</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Sdružení evropských regulačních orgánů v oblasti elektronických komunikací BEREC</w:t>
            </w:r>
            <w:r>
              <w:rPr>
                <w:webHidden/>
              </w:rPr>
              <w:fldChar w:fldCharType="begin"/>
            </w:r>
            <w:r>
              <w:rPr>
                <w:webHidden/>
              </w:rPr>
              <w:instrText xml:space="preserve">PAGEREF _Toc229057836 \h</w:instrText>
            </w:r>
            <w:r>
              <w:rPr>
                <w:webHidden/>
              </w:rPr>
              <w:fldChar w:fldCharType="separate"/>
            </w:r>
            <w:r>
              <w:rPr>
                <w:rStyle w:val="IndexLink"/>
                <w:vanish w:val="false"/>
              </w:rPr>
              <w:tab/>
              <w:t>45</w:t>
            </w:r>
            <w:r>
              <w:rPr>
                <w:webHidden/>
              </w:rPr>
              <w:fldChar w:fldCharType="end"/>
            </w:r>
          </w:hyperlink>
        </w:p>
        <w:p>
          <w:pPr>
            <w:pStyle w:val="TOC2"/>
            <w:tabs>
              <w:tab w:val="clear" w:pos="708"/>
              <w:tab w:val="left" w:pos="800" w:leader="none"/>
              <w:tab w:val="right" w:pos="9061" w:leader="dot"/>
            </w:tabs>
            <w:rPr>
              <w:rFonts w:ascii="Calibri" w:hAnsi="Calibri" w:eastAsia="" w:asciiTheme="minorHAnsi" w:eastAsiaTheme="minorEastAsia" w:hAnsiTheme="minorHAnsi"/>
              <w:i w:val="false"/>
              <w:i w:val="false"/>
              <w:iCs w:val="false"/>
              <w:kern w:val="2"/>
              <w:sz w:val="24"/>
              <w:szCs w:val="24"/>
              <w:lang w:eastAsia="cs-CZ"/>
              <w14:ligatures w14:val="standardContextual"/>
            </w:rPr>
          </w:pPr>
          <w:hyperlink w:anchor="_Toc229057837">
            <w:r>
              <w:rPr>
                <w:webHidden/>
                <w:rStyle w:val="IndexLink"/>
                <w:vanish w:val="false"/>
              </w:rPr>
              <w:t>4.3</w:t>
            </w:r>
            <w:r>
              <w:rPr>
                <w:rStyle w:val="IndexLink"/>
                <w:rFonts w:eastAsia="" w:ascii="Calibri" w:hAnsi="Calibri" w:asciiTheme="minorHAnsi" w:eastAsiaTheme="minorEastAsia" w:hAnsiTheme="minorHAnsi"/>
                <w:i w:val="false"/>
                <w:iCs w:val="false"/>
                <w:kern w:val="2"/>
                <w:sz w:val="24"/>
                <w:szCs w:val="24"/>
                <w:lang w:eastAsia="cs-CZ"/>
                <w14:ligatures w14:val="standardContextual"/>
              </w:rPr>
              <w:tab/>
            </w:r>
            <w:r>
              <w:rPr>
                <w:rStyle w:val="IndexLink"/>
              </w:rPr>
              <w:t>Český právní rámec</w:t>
            </w:r>
            <w:r>
              <w:rPr>
                <w:webHidden/>
              </w:rPr>
              <w:fldChar w:fldCharType="begin"/>
            </w:r>
            <w:r>
              <w:rPr>
                <w:webHidden/>
              </w:rPr>
              <w:instrText xml:space="preserve">PAGEREF _Toc229057837 \h</w:instrText>
            </w:r>
            <w:r>
              <w:rPr>
                <w:webHidden/>
              </w:rPr>
              <w:fldChar w:fldCharType="separate"/>
            </w:r>
            <w:r>
              <w:rPr>
                <w:rStyle w:val="IndexLink"/>
                <w:vanish w:val="false"/>
              </w:rPr>
              <w:tab/>
              <w:t>45</w:t>
            </w:r>
            <w:r>
              <w:rPr>
                <w:webHidden/>
              </w:rPr>
              <w:fldChar w:fldCharType="end"/>
            </w:r>
          </w:hyperlink>
        </w:p>
        <w:p>
          <w:pPr>
            <w:pStyle w:val="TOC2"/>
            <w:tabs>
              <w:tab w:val="clear" w:pos="708"/>
              <w:tab w:val="left" w:pos="800" w:leader="none"/>
              <w:tab w:val="right" w:pos="9061" w:leader="dot"/>
            </w:tabs>
            <w:rPr>
              <w:rFonts w:ascii="Calibri" w:hAnsi="Calibri" w:eastAsia="" w:asciiTheme="minorHAnsi" w:eastAsiaTheme="minorEastAsia" w:hAnsiTheme="minorHAnsi"/>
              <w:i w:val="false"/>
              <w:i w:val="false"/>
              <w:iCs w:val="false"/>
              <w:kern w:val="2"/>
              <w:sz w:val="24"/>
              <w:szCs w:val="24"/>
              <w:lang w:eastAsia="cs-CZ"/>
              <w14:ligatures w14:val="standardContextual"/>
            </w:rPr>
          </w:pPr>
          <w:hyperlink w:anchor="_Toc229057838">
            <w:r>
              <w:rPr>
                <w:webHidden/>
                <w:rStyle w:val="IndexLink"/>
                <w:vanish w:val="false"/>
              </w:rPr>
              <w:t>4.4</w:t>
            </w:r>
            <w:r>
              <w:rPr>
                <w:rStyle w:val="IndexLink"/>
                <w:rFonts w:eastAsia="" w:ascii="Calibri" w:hAnsi="Calibri" w:asciiTheme="minorHAnsi" w:eastAsiaTheme="minorEastAsia" w:hAnsiTheme="minorHAnsi"/>
                <w:i w:val="false"/>
                <w:iCs w:val="false"/>
                <w:kern w:val="2"/>
                <w:sz w:val="24"/>
                <w:szCs w:val="24"/>
                <w:lang w:eastAsia="cs-CZ"/>
                <w14:ligatures w14:val="standardContextual"/>
              </w:rPr>
              <w:tab/>
            </w:r>
            <w:r>
              <w:rPr>
                <w:rStyle w:val="IndexLink"/>
              </w:rPr>
              <w:t>Role a kompetence příslušných národních orgánů</w:t>
            </w:r>
            <w:r>
              <w:rPr>
                <w:webHidden/>
              </w:rPr>
              <w:fldChar w:fldCharType="begin"/>
            </w:r>
            <w:r>
              <w:rPr>
                <w:webHidden/>
              </w:rPr>
              <w:instrText xml:space="preserve">PAGEREF _Toc229057838 \h</w:instrText>
            </w:r>
            <w:r>
              <w:rPr>
                <w:webHidden/>
              </w:rPr>
              <w:fldChar w:fldCharType="separate"/>
            </w:r>
            <w:r>
              <w:rPr>
                <w:rStyle w:val="IndexLink"/>
                <w:vanish w:val="false"/>
              </w:rPr>
              <w:tab/>
              <w:t>46</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839">
            <w:r>
              <w:rPr>
                <w:webHidden/>
                <w:rStyle w:val="IndexLink"/>
                <w:vanish w:val="false"/>
              </w:rPr>
              <w:t>4.4.1</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Vláda České republiky, Ministerstvo průmyslu a obchodu a Ministerstvo vnitra</w:t>
            </w:r>
            <w:r>
              <w:rPr>
                <w:webHidden/>
              </w:rPr>
              <w:fldChar w:fldCharType="begin"/>
            </w:r>
            <w:r>
              <w:rPr>
                <w:webHidden/>
              </w:rPr>
              <w:instrText xml:space="preserve">PAGEREF _Toc229057839 \h</w:instrText>
            </w:r>
            <w:r>
              <w:rPr>
                <w:webHidden/>
              </w:rPr>
              <w:fldChar w:fldCharType="separate"/>
            </w:r>
            <w:r>
              <w:rPr>
                <w:rStyle w:val="IndexLink"/>
                <w:vanish w:val="false"/>
              </w:rPr>
              <w:tab/>
              <w:t>47</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840">
            <w:r>
              <w:rPr>
                <w:webHidden/>
                <w:rStyle w:val="IndexLink"/>
                <w:vanish w:val="false"/>
              </w:rPr>
              <w:t>4.4.2</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Český telekomunikační úřad</w:t>
            </w:r>
            <w:r>
              <w:rPr>
                <w:webHidden/>
              </w:rPr>
              <w:fldChar w:fldCharType="begin"/>
            </w:r>
            <w:r>
              <w:rPr>
                <w:webHidden/>
              </w:rPr>
              <w:instrText xml:space="preserve">PAGEREF _Toc229057840 \h</w:instrText>
            </w:r>
            <w:r>
              <w:rPr>
                <w:webHidden/>
              </w:rPr>
              <w:fldChar w:fldCharType="separate"/>
            </w:r>
            <w:r>
              <w:rPr>
                <w:rStyle w:val="IndexLink"/>
                <w:vanish w:val="false"/>
              </w:rPr>
              <w:tab/>
              <w:t>48</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841">
            <w:r>
              <w:rPr>
                <w:webHidden/>
                <w:rStyle w:val="IndexLink"/>
                <w:vanish w:val="false"/>
              </w:rPr>
              <w:t>4.4.3</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Úřad pro ochranu hospodářské soutěže</w:t>
            </w:r>
            <w:r>
              <w:rPr>
                <w:webHidden/>
              </w:rPr>
              <w:fldChar w:fldCharType="begin"/>
            </w:r>
            <w:r>
              <w:rPr>
                <w:webHidden/>
              </w:rPr>
              <w:instrText xml:space="preserve">PAGEREF _Toc229057841 \h</w:instrText>
            </w:r>
            <w:r>
              <w:rPr>
                <w:webHidden/>
              </w:rPr>
              <w:fldChar w:fldCharType="separate"/>
            </w:r>
            <w:r>
              <w:rPr>
                <w:rStyle w:val="IndexLink"/>
                <w:vanish w:val="false"/>
              </w:rPr>
              <w:tab/>
              <w:t>49</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842">
            <w:r>
              <w:rPr>
                <w:webHidden/>
                <w:rStyle w:val="IndexLink"/>
                <w:vanish w:val="false"/>
              </w:rPr>
              <w:t>4.4.4</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Národní úřad pro kybernetickou a informační bezpečnost</w:t>
            </w:r>
            <w:r>
              <w:rPr>
                <w:webHidden/>
              </w:rPr>
              <w:fldChar w:fldCharType="begin"/>
            </w:r>
            <w:r>
              <w:rPr>
                <w:webHidden/>
              </w:rPr>
              <w:instrText xml:space="preserve">PAGEREF _Toc229057842 \h</w:instrText>
            </w:r>
            <w:r>
              <w:rPr>
                <w:webHidden/>
              </w:rPr>
              <w:fldChar w:fldCharType="separate"/>
            </w:r>
            <w:r>
              <w:rPr>
                <w:rStyle w:val="IndexLink"/>
                <w:vanish w:val="false"/>
              </w:rPr>
              <w:tab/>
              <w:t>50</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843">
            <w:r>
              <w:rPr>
                <w:webHidden/>
                <w:rStyle w:val="IndexLink"/>
                <w:vanish w:val="false"/>
              </w:rPr>
              <w:t>4.4.5</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Úřad pro ochranu osobních údajů</w:t>
            </w:r>
            <w:r>
              <w:rPr>
                <w:webHidden/>
              </w:rPr>
              <w:fldChar w:fldCharType="begin"/>
            </w:r>
            <w:r>
              <w:rPr>
                <w:webHidden/>
              </w:rPr>
              <w:instrText xml:space="preserve">PAGEREF _Toc229057843 \h</w:instrText>
            </w:r>
            <w:r>
              <w:rPr>
                <w:webHidden/>
              </w:rPr>
              <w:fldChar w:fldCharType="separate"/>
            </w:r>
            <w:r>
              <w:rPr>
                <w:rStyle w:val="IndexLink"/>
                <w:vanish w:val="false"/>
              </w:rPr>
              <w:tab/>
              <w:t>51</w:t>
            </w:r>
            <w:r>
              <w:rPr>
                <w:webHidden/>
              </w:rPr>
              <w:fldChar w:fldCharType="end"/>
            </w:r>
          </w:hyperlink>
        </w:p>
        <w:p>
          <w:pPr>
            <w:pStyle w:val="TOC2"/>
            <w:tabs>
              <w:tab w:val="clear" w:pos="708"/>
              <w:tab w:val="left" w:pos="800" w:leader="none"/>
              <w:tab w:val="right" w:pos="9061" w:leader="dot"/>
            </w:tabs>
            <w:rPr>
              <w:rFonts w:ascii="Calibri" w:hAnsi="Calibri" w:eastAsia="" w:asciiTheme="minorHAnsi" w:eastAsiaTheme="minorEastAsia" w:hAnsiTheme="minorHAnsi"/>
              <w:i w:val="false"/>
              <w:i w:val="false"/>
              <w:iCs w:val="false"/>
              <w:kern w:val="2"/>
              <w:sz w:val="24"/>
              <w:szCs w:val="24"/>
              <w:lang w:eastAsia="cs-CZ"/>
              <w14:ligatures w14:val="standardContextual"/>
            </w:rPr>
          </w:pPr>
          <w:hyperlink w:anchor="_Toc229057844">
            <w:r>
              <w:rPr>
                <w:webHidden/>
                <w:rStyle w:val="IndexLink"/>
                <w:vanish w:val="false"/>
              </w:rPr>
              <w:t>4.5</w:t>
            </w:r>
            <w:r>
              <w:rPr>
                <w:rStyle w:val="IndexLink"/>
                <w:rFonts w:eastAsia="" w:ascii="Calibri" w:hAnsi="Calibri" w:asciiTheme="minorHAnsi" w:eastAsiaTheme="minorEastAsia" w:hAnsiTheme="minorHAnsi"/>
                <w:i w:val="false"/>
                <w:iCs w:val="false"/>
                <w:kern w:val="2"/>
                <w:sz w:val="24"/>
                <w:szCs w:val="24"/>
                <w:lang w:eastAsia="cs-CZ"/>
                <w14:ligatures w14:val="standardContextual"/>
              </w:rPr>
              <w:tab/>
            </w:r>
            <w:r>
              <w:rPr>
                <w:rStyle w:val="IndexLink"/>
              </w:rPr>
              <w:t>Identifikace veřejného zájmu</w:t>
            </w:r>
            <w:r>
              <w:rPr>
                <w:webHidden/>
              </w:rPr>
              <w:fldChar w:fldCharType="begin"/>
            </w:r>
            <w:r>
              <w:rPr>
                <w:webHidden/>
              </w:rPr>
              <w:instrText xml:space="preserve">PAGEREF _Toc229057844 \h</w:instrText>
            </w:r>
            <w:r>
              <w:rPr>
                <w:webHidden/>
              </w:rPr>
              <w:fldChar w:fldCharType="separate"/>
            </w:r>
            <w:r>
              <w:rPr>
                <w:rStyle w:val="IndexLink"/>
                <w:vanish w:val="false"/>
              </w:rPr>
              <w:tab/>
              <w:t>51</w:t>
            </w:r>
            <w:r>
              <w:rPr>
                <w:webHidden/>
              </w:rPr>
              <w:fldChar w:fldCharType="end"/>
            </w:r>
          </w:hyperlink>
        </w:p>
        <w:p>
          <w:pPr>
            <w:pStyle w:val="TOC1"/>
            <w:tabs>
              <w:tab w:val="clear" w:pos="708"/>
              <w:tab w:val="left" w:pos="400" w:leader="none"/>
              <w:tab w:val="right" w:pos="9061" w:leader="dot"/>
            </w:tabs>
            <w:rPr>
              <w:rFonts w:ascii="Calibri" w:hAnsi="Calibri" w:eastAsia="" w:asciiTheme="minorHAnsi" w:eastAsiaTheme="minorEastAsia" w:hAnsiTheme="minorHAnsi"/>
              <w:b w:val="false"/>
              <w:bCs w:val="false"/>
              <w:kern w:val="2"/>
              <w:sz w:val="24"/>
              <w:szCs w:val="24"/>
              <w:lang w:eastAsia="cs-CZ"/>
              <w14:ligatures w14:val="standardContextual"/>
            </w:rPr>
          </w:pPr>
          <w:hyperlink w:anchor="_Toc229057845">
            <w:r>
              <w:rPr>
                <w:webHidden/>
                <w:rStyle w:val="IndexLink"/>
                <w:vanish w:val="false"/>
              </w:rPr>
              <w:t>5</w:t>
            </w:r>
            <w:r>
              <w:rPr>
                <w:rStyle w:val="IndexLink"/>
                <w:rFonts w:eastAsia="" w:ascii="Calibri" w:hAnsi="Calibri" w:asciiTheme="minorHAnsi" w:eastAsiaTheme="minorEastAsia" w:hAnsiTheme="minorHAnsi"/>
                <w:b w:val="false"/>
                <w:bCs w:val="false"/>
                <w:kern w:val="2"/>
                <w:sz w:val="24"/>
                <w:szCs w:val="24"/>
                <w:lang w:eastAsia="cs-CZ"/>
                <w14:ligatures w14:val="standardContextual"/>
              </w:rPr>
              <w:tab/>
            </w:r>
            <w:r>
              <w:rPr>
                <w:rStyle w:val="IndexLink"/>
              </w:rPr>
              <w:t xml:space="preserve">Mobilní služby v evropském kontextu / </w:t>
            </w:r>
            <w:r>
              <w:rPr>
                <w:rStyle w:val="IndexLink"/>
                <w:i/>
                <w:lang w:val="en-GB"/>
              </w:rPr>
              <w:t>Mobile Services in the European Context</w:t>
            </w:r>
            <w:r>
              <w:rPr>
                <w:webHidden/>
              </w:rPr>
              <w:fldChar w:fldCharType="begin"/>
            </w:r>
            <w:r>
              <w:rPr>
                <w:webHidden/>
              </w:rPr>
              <w:instrText xml:space="preserve">PAGEREF _Toc229057845 \h</w:instrText>
            </w:r>
            <w:r>
              <w:rPr>
                <w:webHidden/>
              </w:rPr>
              <w:fldChar w:fldCharType="separate"/>
            </w:r>
            <w:r>
              <w:rPr>
                <w:rStyle w:val="IndexLink"/>
                <w:vanish w:val="false"/>
              </w:rPr>
              <w:tab/>
              <w:t>52</w:t>
            </w:r>
            <w:r>
              <w:rPr>
                <w:webHidden/>
              </w:rPr>
              <w:fldChar w:fldCharType="end"/>
            </w:r>
          </w:hyperlink>
        </w:p>
        <w:p>
          <w:pPr>
            <w:pStyle w:val="TOC2"/>
            <w:tabs>
              <w:tab w:val="clear" w:pos="708"/>
              <w:tab w:val="left" w:pos="800" w:leader="none"/>
              <w:tab w:val="right" w:pos="9061" w:leader="dot"/>
            </w:tabs>
            <w:rPr>
              <w:rFonts w:ascii="Calibri" w:hAnsi="Calibri" w:eastAsia="" w:asciiTheme="minorHAnsi" w:eastAsiaTheme="minorEastAsia" w:hAnsiTheme="minorHAnsi"/>
              <w:i w:val="false"/>
              <w:i w:val="false"/>
              <w:iCs w:val="false"/>
              <w:kern w:val="2"/>
              <w:sz w:val="24"/>
              <w:szCs w:val="24"/>
              <w:lang w:eastAsia="cs-CZ"/>
              <w14:ligatures w14:val="standardContextual"/>
            </w:rPr>
          </w:pPr>
          <w:hyperlink w:anchor="_Toc229057846">
            <w:r>
              <w:rPr>
                <w:webHidden/>
                <w:rStyle w:val="IndexLink"/>
                <w:vanish w:val="false"/>
              </w:rPr>
              <w:t>5.1</w:t>
            </w:r>
            <w:r>
              <w:rPr>
                <w:rStyle w:val="IndexLink"/>
                <w:rFonts w:eastAsia="" w:ascii="Calibri" w:hAnsi="Calibri" w:asciiTheme="minorHAnsi" w:eastAsiaTheme="minorEastAsia" w:hAnsiTheme="minorHAnsi"/>
                <w:i w:val="false"/>
                <w:iCs w:val="false"/>
                <w:kern w:val="2"/>
                <w:sz w:val="24"/>
                <w:szCs w:val="24"/>
                <w:lang w:eastAsia="cs-CZ"/>
                <w14:ligatures w14:val="standardContextual"/>
              </w:rPr>
              <w:tab/>
            </w:r>
            <w:r>
              <w:rPr>
                <w:rStyle w:val="IndexLink"/>
              </w:rPr>
              <w:t>Relativní cenová úroveň</w:t>
            </w:r>
            <w:r>
              <w:rPr>
                <w:webHidden/>
              </w:rPr>
              <w:fldChar w:fldCharType="begin"/>
            </w:r>
            <w:r>
              <w:rPr>
                <w:webHidden/>
              </w:rPr>
              <w:instrText xml:space="preserve">PAGEREF _Toc229057846 \h</w:instrText>
            </w:r>
            <w:r>
              <w:rPr>
                <w:webHidden/>
              </w:rPr>
              <w:fldChar w:fldCharType="separate"/>
            </w:r>
            <w:r>
              <w:rPr>
                <w:rStyle w:val="IndexLink"/>
                <w:vanish w:val="false"/>
              </w:rPr>
              <w:tab/>
              <w:t>52</w:t>
            </w:r>
            <w:r>
              <w:rPr>
                <w:webHidden/>
              </w:rPr>
              <w:fldChar w:fldCharType="end"/>
            </w:r>
          </w:hyperlink>
        </w:p>
        <w:p>
          <w:pPr>
            <w:pStyle w:val="TOC2"/>
            <w:tabs>
              <w:tab w:val="clear" w:pos="708"/>
              <w:tab w:val="left" w:pos="800" w:leader="none"/>
              <w:tab w:val="right" w:pos="9061" w:leader="dot"/>
            </w:tabs>
            <w:rPr>
              <w:rFonts w:ascii="Calibri" w:hAnsi="Calibri" w:eastAsia="" w:asciiTheme="minorHAnsi" w:eastAsiaTheme="minorEastAsia" w:hAnsiTheme="minorHAnsi"/>
              <w:i w:val="false"/>
              <w:i w:val="false"/>
              <w:iCs w:val="false"/>
              <w:kern w:val="2"/>
              <w:sz w:val="24"/>
              <w:szCs w:val="24"/>
              <w:lang w:eastAsia="cs-CZ"/>
              <w14:ligatures w14:val="standardContextual"/>
            </w:rPr>
          </w:pPr>
          <w:hyperlink w:anchor="_Toc229057847">
            <w:r>
              <w:rPr>
                <w:webHidden/>
                <w:rStyle w:val="IndexLink"/>
                <w:vanish w:val="false"/>
              </w:rPr>
              <w:t>5.2</w:t>
            </w:r>
            <w:r>
              <w:rPr>
                <w:rStyle w:val="IndexLink"/>
                <w:rFonts w:eastAsia="" w:ascii="Calibri" w:hAnsi="Calibri" w:asciiTheme="minorHAnsi" w:eastAsiaTheme="minorEastAsia" w:hAnsiTheme="minorHAnsi"/>
                <w:i w:val="false"/>
                <w:iCs w:val="false"/>
                <w:kern w:val="2"/>
                <w:sz w:val="24"/>
                <w:szCs w:val="24"/>
                <w:lang w:eastAsia="cs-CZ"/>
                <w14:ligatures w14:val="standardContextual"/>
              </w:rPr>
              <w:tab/>
            </w:r>
            <w:r>
              <w:rPr>
                <w:rStyle w:val="IndexLink"/>
              </w:rPr>
              <w:t>Relativní cenový vývoj</w:t>
            </w:r>
            <w:r>
              <w:rPr>
                <w:webHidden/>
              </w:rPr>
              <w:fldChar w:fldCharType="begin"/>
            </w:r>
            <w:r>
              <w:rPr>
                <w:webHidden/>
              </w:rPr>
              <w:instrText xml:space="preserve">PAGEREF _Toc229057847 \h</w:instrText>
            </w:r>
            <w:r>
              <w:rPr>
                <w:webHidden/>
              </w:rPr>
              <w:fldChar w:fldCharType="separate"/>
            </w:r>
            <w:r>
              <w:rPr>
                <w:rStyle w:val="IndexLink"/>
                <w:vanish w:val="false"/>
              </w:rPr>
              <w:tab/>
              <w:t>53</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848">
            <w:r>
              <w:rPr>
                <w:webHidden/>
                <w:rStyle w:val="IndexLink"/>
                <w:vanish w:val="false"/>
              </w:rPr>
              <w:t>5.2.1</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 xml:space="preserve">Mobilní telefonní služby / </w:t>
            </w:r>
            <w:r>
              <w:rPr>
                <w:rStyle w:val="IndexLink"/>
                <w:i/>
                <w:iCs/>
                <w:lang w:val="en-GB"/>
              </w:rPr>
              <w:t>Wireless telephone services</w:t>
            </w:r>
            <w:r>
              <w:rPr>
                <w:webHidden/>
              </w:rPr>
              <w:fldChar w:fldCharType="begin"/>
            </w:r>
            <w:r>
              <w:rPr>
                <w:webHidden/>
              </w:rPr>
              <w:instrText xml:space="preserve">PAGEREF _Toc229057848 \h</w:instrText>
            </w:r>
            <w:r>
              <w:rPr>
                <w:webHidden/>
              </w:rPr>
              <w:fldChar w:fldCharType="separate"/>
            </w:r>
            <w:r>
              <w:rPr>
                <w:rStyle w:val="IndexLink"/>
                <w:vanish w:val="false"/>
              </w:rPr>
              <w:tab/>
              <w:t>53</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849">
            <w:r>
              <w:rPr>
                <w:webHidden/>
                <w:rStyle w:val="IndexLink"/>
                <w:vanish w:val="false"/>
              </w:rPr>
              <w:t>5.2.2</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Balíčkované telekomunikační služby</w:t>
            </w:r>
            <w:r>
              <w:rPr>
                <w:webHidden/>
              </w:rPr>
              <w:fldChar w:fldCharType="begin"/>
            </w:r>
            <w:r>
              <w:rPr>
                <w:webHidden/>
              </w:rPr>
              <w:instrText xml:space="preserve">PAGEREF _Toc229057849 \h</w:instrText>
            </w:r>
            <w:r>
              <w:rPr>
                <w:webHidden/>
              </w:rPr>
              <w:fldChar w:fldCharType="separate"/>
            </w:r>
            <w:r>
              <w:rPr>
                <w:rStyle w:val="IndexLink"/>
                <w:vanish w:val="false"/>
              </w:rPr>
              <w:tab/>
              <w:t>55</w:t>
            </w:r>
            <w:r>
              <w:rPr>
                <w:webHidden/>
              </w:rPr>
              <w:fldChar w:fldCharType="end"/>
            </w:r>
          </w:hyperlink>
        </w:p>
        <w:p>
          <w:pPr>
            <w:pStyle w:val="TOC2"/>
            <w:tabs>
              <w:tab w:val="clear" w:pos="708"/>
              <w:tab w:val="left" w:pos="800" w:leader="none"/>
              <w:tab w:val="right" w:pos="9061" w:leader="dot"/>
            </w:tabs>
            <w:rPr>
              <w:rFonts w:ascii="Calibri" w:hAnsi="Calibri" w:eastAsia="" w:asciiTheme="minorHAnsi" w:eastAsiaTheme="minorEastAsia" w:hAnsiTheme="minorHAnsi"/>
              <w:i w:val="false"/>
              <w:i w:val="false"/>
              <w:iCs w:val="false"/>
              <w:kern w:val="2"/>
              <w:sz w:val="24"/>
              <w:szCs w:val="24"/>
              <w:lang w:eastAsia="cs-CZ"/>
              <w14:ligatures w14:val="standardContextual"/>
            </w:rPr>
          </w:pPr>
          <w:hyperlink w:anchor="_Toc229057850">
            <w:r>
              <w:rPr>
                <w:webHidden/>
                <w:rStyle w:val="IndexLink"/>
                <w:vanish w:val="false"/>
              </w:rPr>
              <w:t>5.3</w:t>
            </w:r>
            <w:r>
              <w:rPr>
                <w:rStyle w:val="IndexLink"/>
                <w:rFonts w:eastAsia="" w:ascii="Calibri" w:hAnsi="Calibri" w:asciiTheme="minorHAnsi" w:eastAsiaTheme="minorEastAsia" w:hAnsiTheme="minorHAnsi"/>
                <w:i w:val="false"/>
                <w:iCs w:val="false"/>
                <w:kern w:val="2"/>
                <w:sz w:val="24"/>
                <w:szCs w:val="24"/>
                <w:lang w:eastAsia="cs-CZ"/>
                <w14:ligatures w14:val="standardContextual"/>
              </w:rPr>
              <w:tab/>
            </w:r>
            <w:r>
              <w:rPr>
                <w:rStyle w:val="IndexLink"/>
              </w:rPr>
              <w:t>Srovnání nabízených služeb / Comparison of Services Offered</w:t>
            </w:r>
            <w:r>
              <w:rPr>
                <w:webHidden/>
              </w:rPr>
              <w:fldChar w:fldCharType="begin"/>
            </w:r>
            <w:r>
              <w:rPr>
                <w:webHidden/>
              </w:rPr>
              <w:instrText xml:space="preserve">PAGEREF _Toc229057850 \h</w:instrText>
            </w:r>
            <w:r>
              <w:rPr>
                <w:webHidden/>
              </w:rPr>
              <w:fldChar w:fldCharType="separate"/>
            </w:r>
            <w:r>
              <w:rPr>
                <w:rStyle w:val="IndexLink"/>
                <w:vanish w:val="false"/>
              </w:rPr>
              <w:tab/>
              <w:t>55</w:t>
            </w:r>
            <w:r>
              <w:rPr>
                <w:webHidden/>
              </w:rPr>
              <w:fldChar w:fldCharType="end"/>
            </w:r>
          </w:hyperlink>
        </w:p>
        <w:p>
          <w:pPr>
            <w:pStyle w:val="TOC2"/>
            <w:tabs>
              <w:tab w:val="clear" w:pos="708"/>
              <w:tab w:val="left" w:pos="800" w:leader="none"/>
              <w:tab w:val="right" w:pos="9061" w:leader="dot"/>
            </w:tabs>
            <w:rPr>
              <w:rFonts w:ascii="Calibri" w:hAnsi="Calibri" w:eastAsia="" w:asciiTheme="minorHAnsi" w:eastAsiaTheme="minorEastAsia" w:hAnsiTheme="minorHAnsi"/>
              <w:i w:val="false"/>
              <w:i w:val="false"/>
              <w:iCs w:val="false"/>
              <w:kern w:val="2"/>
              <w:sz w:val="24"/>
              <w:szCs w:val="24"/>
              <w:lang w:eastAsia="cs-CZ"/>
              <w14:ligatures w14:val="standardContextual"/>
            </w:rPr>
          </w:pPr>
          <w:hyperlink w:anchor="_Toc229057851">
            <w:r>
              <w:rPr>
                <w:webHidden/>
                <w:rStyle w:val="IndexLink"/>
                <w:vanish w:val="false"/>
              </w:rPr>
              <w:t>5.4</w:t>
            </w:r>
            <w:r>
              <w:rPr>
                <w:rStyle w:val="IndexLink"/>
                <w:rFonts w:eastAsia="" w:ascii="Calibri" w:hAnsi="Calibri" w:asciiTheme="minorHAnsi" w:eastAsiaTheme="minorEastAsia" w:hAnsiTheme="minorHAnsi"/>
                <w:i w:val="false"/>
                <w:iCs w:val="false"/>
                <w:kern w:val="2"/>
                <w:sz w:val="24"/>
                <w:szCs w:val="24"/>
                <w:lang w:eastAsia="cs-CZ"/>
                <w14:ligatures w14:val="standardContextual"/>
              </w:rPr>
              <w:tab/>
            </w:r>
            <w:r>
              <w:rPr>
                <w:rStyle w:val="IndexLink"/>
              </w:rPr>
              <w:t>Ceníkové ceny mobilních tarifů / List Prices of Mobile Tariffs</w:t>
            </w:r>
            <w:r>
              <w:rPr>
                <w:webHidden/>
              </w:rPr>
              <w:fldChar w:fldCharType="begin"/>
            </w:r>
            <w:r>
              <w:rPr>
                <w:webHidden/>
              </w:rPr>
              <w:instrText xml:space="preserve">PAGEREF _Toc229057851 \h</w:instrText>
            </w:r>
            <w:r>
              <w:rPr>
                <w:webHidden/>
              </w:rPr>
              <w:fldChar w:fldCharType="separate"/>
            </w:r>
            <w:r>
              <w:rPr>
                <w:rStyle w:val="IndexLink"/>
                <w:vanish w:val="false"/>
              </w:rPr>
              <w:tab/>
              <w:t>55</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852">
            <w:r>
              <w:rPr>
                <w:webHidden/>
                <w:rStyle w:val="IndexLink"/>
                <w:vanish w:val="false"/>
              </w:rPr>
              <w:t>5.4.1</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Předběžné posouzení relativní cenové úrovně v ČR / Preliminary Assessment of the Relative Price Level in the Czech Republic</w:t>
            </w:r>
            <w:r>
              <w:rPr>
                <w:webHidden/>
              </w:rPr>
              <w:fldChar w:fldCharType="begin"/>
            </w:r>
            <w:r>
              <w:rPr>
                <w:webHidden/>
              </w:rPr>
              <w:instrText xml:space="preserve">PAGEREF _Toc229057852 \h</w:instrText>
            </w:r>
            <w:r>
              <w:rPr>
                <w:webHidden/>
              </w:rPr>
              <w:fldChar w:fldCharType="separate"/>
            </w:r>
            <w:r>
              <w:rPr>
                <w:rStyle w:val="IndexLink"/>
                <w:vanish w:val="false"/>
              </w:rPr>
              <w:tab/>
              <w:t>56</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853">
            <w:r>
              <w:rPr>
                <w:webHidden/>
                <w:rStyle w:val="IndexLink"/>
                <w:vanish w:val="false"/>
              </w:rPr>
              <w:t>5.4.2</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Opakované kvantitativní posouzení relativní cenové úrovně ceníkových cen mobilních služeb v ČR</w:t>
            </w:r>
            <w:r>
              <w:rPr>
                <w:webHidden/>
              </w:rPr>
              <w:fldChar w:fldCharType="begin"/>
            </w:r>
            <w:r>
              <w:rPr>
                <w:webHidden/>
              </w:rPr>
              <w:instrText xml:space="preserve">PAGEREF _Toc229057853 \h</w:instrText>
            </w:r>
            <w:r>
              <w:rPr>
                <w:webHidden/>
              </w:rPr>
              <w:fldChar w:fldCharType="separate"/>
            </w:r>
            <w:r>
              <w:rPr>
                <w:rStyle w:val="IndexLink"/>
                <w:vanish w:val="false"/>
              </w:rPr>
              <w:tab/>
              <w:t>61</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854">
            <w:r>
              <w:rPr>
                <w:webHidden/>
                <w:rStyle w:val="IndexLink"/>
                <w:vanish w:val="false"/>
              </w:rPr>
              <w:t>5.4.3</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 xml:space="preserve">Kvalitativní posouzení relativní cenové úrovně ceníkových cen </w:t>
            </w:r>
            <w:r>
              <w:rPr>
                <w:rStyle w:val="IndexLink"/>
                <w:i/>
                <w:iCs/>
              </w:rPr>
              <w:t>post-paid</w:t>
            </w:r>
            <w:r>
              <w:rPr>
                <w:rStyle w:val="IndexLink"/>
              </w:rPr>
              <w:t xml:space="preserve"> mobilních služeb v ČR</w:t>
            </w:r>
            <w:r>
              <w:rPr>
                <w:webHidden/>
              </w:rPr>
              <w:fldChar w:fldCharType="begin"/>
            </w:r>
            <w:r>
              <w:rPr>
                <w:webHidden/>
              </w:rPr>
              <w:instrText xml:space="preserve">PAGEREF _Toc229057854 \h</w:instrText>
            </w:r>
            <w:r>
              <w:rPr>
                <w:webHidden/>
              </w:rPr>
              <w:fldChar w:fldCharType="separate"/>
            </w:r>
            <w:r>
              <w:rPr>
                <w:rStyle w:val="IndexLink"/>
                <w:vanish w:val="false"/>
              </w:rPr>
              <w:tab/>
              <w:t>64</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855">
            <w:r>
              <w:rPr>
                <w:webHidden/>
                <w:rStyle w:val="IndexLink"/>
                <w:vanish w:val="false"/>
              </w:rPr>
              <w:t>5.4.4</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 xml:space="preserve">Kvantitativní posouzení relativní cenové úrovně ceníkových cen </w:t>
            </w:r>
            <w:r>
              <w:rPr>
                <w:rStyle w:val="IndexLink"/>
                <w:i/>
                <w:iCs/>
              </w:rPr>
              <w:t>pre-paid</w:t>
            </w:r>
            <w:r>
              <w:rPr>
                <w:rStyle w:val="IndexLink"/>
              </w:rPr>
              <w:t xml:space="preserve"> mobilních služeb v ČR</w:t>
            </w:r>
            <w:r>
              <w:rPr>
                <w:webHidden/>
              </w:rPr>
              <w:fldChar w:fldCharType="begin"/>
            </w:r>
            <w:r>
              <w:rPr>
                <w:webHidden/>
              </w:rPr>
              <w:instrText xml:space="preserve">PAGEREF _Toc229057855 \h</w:instrText>
            </w:r>
            <w:r>
              <w:rPr>
                <w:webHidden/>
              </w:rPr>
              <w:fldChar w:fldCharType="separate"/>
            </w:r>
            <w:r>
              <w:rPr>
                <w:rStyle w:val="IndexLink"/>
                <w:vanish w:val="false"/>
              </w:rPr>
              <w:tab/>
              <w:t>70</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856">
            <w:r>
              <w:rPr>
                <w:webHidden/>
                <w:rStyle w:val="IndexLink"/>
                <w:vanish w:val="false"/>
              </w:rPr>
              <w:t>5.4.5</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Posouzení relativní cenové variability ceníkových cen</w:t>
            </w:r>
            <w:r>
              <w:rPr>
                <w:webHidden/>
              </w:rPr>
              <w:fldChar w:fldCharType="begin"/>
            </w:r>
            <w:r>
              <w:rPr>
                <w:webHidden/>
              </w:rPr>
              <w:instrText xml:space="preserve">PAGEREF _Toc229057856 \h</w:instrText>
            </w:r>
            <w:r>
              <w:rPr>
                <w:webHidden/>
              </w:rPr>
              <w:fldChar w:fldCharType="separate"/>
            </w:r>
            <w:r>
              <w:rPr>
                <w:rStyle w:val="IndexLink"/>
                <w:vanish w:val="false"/>
              </w:rPr>
              <w:tab/>
              <w:t>70</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857">
            <w:r>
              <w:rPr>
                <w:webHidden/>
                <w:rStyle w:val="IndexLink"/>
                <w:vanish w:val="false"/>
              </w:rPr>
              <w:t>5.4.6</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Relativní cenová mezera a informační funkce cen</w:t>
            </w:r>
            <w:r>
              <w:rPr>
                <w:webHidden/>
              </w:rPr>
              <w:fldChar w:fldCharType="begin"/>
            </w:r>
            <w:r>
              <w:rPr>
                <w:webHidden/>
              </w:rPr>
              <w:instrText xml:space="preserve">PAGEREF _Toc229057857 \h</w:instrText>
            </w:r>
            <w:r>
              <w:rPr>
                <w:webHidden/>
              </w:rPr>
              <w:fldChar w:fldCharType="separate"/>
            </w:r>
            <w:r>
              <w:rPr>
                <w:rStyle w:val="IndexLink"/>
                <w:vanish w:val="false"/>
              </w:rPr>
              <w:tab/>
              <w:t>72</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858">
            <w:r>
              <w:rPr>
                <w:webHidden/>
                <w:rStyle w:val="IndexLink"/>
                <w:vanish w:val="false"/>
              </w:rPr>
              <w:t>5.4.7</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Vnímání kvality nabízených mobilních služeb a jeho odraz ve veřejném prostoru</w:t>
            </w:r>
            <w:r>
              <w:rPr>
                <w:webHidden/>
              </w:rPr>
              <w:fldChar w:fldCharType="begin"/>
            </w:r>
            <w:r>
              <w:rPr>
                <w:webHidden/>
              </w:rPr>
              <w:instrText xml:space="preserve">PAGEREF _Toc229057858 \h</w:instrText>
            </w:r>
            <w:r>
              <w:rPr>
                <w:webHidden/>
              </w:rPr>
              <w:fldChar w:fldCharType="separate"/>
            </w:r>
            <w:r>
              <w:rPr>
                <w:rStyle w:val="IndexLink"/>
                <w:vanish w:val="false"/>
              </w:rPr>
              <w:tab/>
              <w:t>73</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859">
            <w:r>
              <w:rPr>
                <w:webHidden/>
                <w:rStyle w:val="IndexLink"/>
                <w:vanish w:val="false"/>
              </w:rPr>
              <w:t>5.4.8</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Shrnutí k relativní cenové úrovni ceníkových cen mobilních služeb</w:t>
            </w:r>
            <w:r>
              <w:rPr>
                <w:webHidden/>
              </w:rPr>
              <w:fldChar w:fldCharType="begin"/>
            </w:r>
            <w:r>
              <w:rPr>
                <w:webHidden/>
              </w:rPr>
              <w:instrText xml:space="preserve">PAGEREF _Toc229057859 \h</w:instrText>
            </w:r>
            <w:r>
              <w:rPr>
                <w:webHidden/>
              </w:rPr>
              <w:fldChar w:fldCharType="separate"/>
            </w:r>
            <w:r>
              <w:rPr>
                <w:rStyle w:val="IndexLink"/>
                <w:vanish w:val="false"/>
              </w:rPr>
              <w:tab/>
              <w:t>73</w:t>
            </w:r>
            <w:r>
              <w:rPr>
                <w:webHidden/>
              </w:rPr>
              <w:fldChar w:fldCharType="end"/>
            </w:r>
          </w:hyperlink>
        </w:p>
        <w:p>
          <w:pPr>
            <w:pStyle w:val="TOC2"/>
            <w:tabs>
              <w:tab w:val="clear" w:pos="708"/>
              <w:tab w:val="left" w:pos="800" w:leader="none"/>
              <w:tab w:val="right" w:pos="9061" w:leader="dot"/>
            </w:tabs>
            <w:rPr>
              <w:rFonts w:ascii="Calibri" w:hAnsi="Calibri" w:eastAsia="" w:asciiTheme="minorHAnsi" w:eastAsiaTheme="minorEastAsia" w:hAnsiTheme="minorHAnsi"/>
              <w:i w:val="false"/>
              <w:i w:val="false"/>
              <w:iCs w:val="false"/>
              <w:kern w:val="2"/>
              <w:sz w:val="24"/>
              <w:szCs w:val="24"/>
              <w:lang w:eastAsia="cs-CZ"/>
              <w14:ligatures w14:val="standardContextual"/>
            </w:rPr>
          </w:pPr>
          <w:hyperlink w:anchor="_Toc229057860">
            <w:r>
              <w:rPr>
                <w:webHidden/>
                <w:rStyle w:val="IndexLink"/>
                <w:vanish w:val="false"/>
              </w:rPr>
              <w:t>5.5</w:t>
            </w:r>
            <w:r>
              <w:rPr>
                <w:rStyle w:val="IndexLink"/>
                <w:rFonts w:eastAsia="" w:ascii="Calibri" w:hAnsi="Calibri" w:asciiTheme="minorHAnsi" w:eastAsiaTheme="minorEastAsia" w:hAnsiTheme="minorHAnsi"/>
                <w:i w:val="false"/>
                <w:iCs w:val="false"/>
                <w:kern w:val="2"/>
                <w:sz w:val="24"/>
                <w:szCs w:val="24"/>
                <w:lang w:eastAsia="cs-CZ"/>
                <w14:ligatures w14:val="standardContextual"/>
              </w:rPr>
              <w:tab/>
            </w:r>
            <w:r>
              <w:rPr>
                <w:rStyle w:val="IndexLink"/>
              </w:rPr>
              <w:t>Ceníkové ceny služeb pevného připojení k internetu</w:t>
            </w:r>
            <w:r>
              <w:rPr>
                <w:webHidden/>
              </w:rPr>
              <w:fldChar w:fldCharType="begin"/>
            </w:r>
            <w:r>
              <w:rPr>
                <w:webHidden/>
              </w:rPr>
              <w:instrText xml:space="preserve">PAGEREF _Toc229057860 \h</w:instrText>
            </w:r>
            <w:r>
              <w:rPr>
                <w:webHidden/>
              </w:rPr>
              <w:fldChar w:fldCharType="separate"/>
            </w:r>
            <w:r>
              <w:rPr>
                <w:rStyle w:val="IndexLink"/>
                <w:vanish w:val="false"/>
              </w:rPr>
              <w:tab/>
              <w:t>74</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861">
            <w:r>
              <w:rPr>
                <w:webHidden/>
                <w:rStyle w:val="IndexLink"/>
                <w:vanish w:val="false"/>
              </w:rPr>
              <w:t>5.5.1</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Relativní posouzení ceníkových cen služeb pevného připojení k internetu v ČR</w:t>
            </w:r>
            <w:r>
              <w:rPr>
                <w:webHidden/>
              </w:rPr>
              <w:fldChar w:fldCharType="begin"/>
            </w:r>
            <w:r>
              <w:rPr>
                <w:webHidden/>
              </w:rPr>
              <w:instrText xml:space="preserve">PAGEREF _Toc229057861 \h</w:instrText>
            </w:r>
            <w:r>
              <w:rPr>
                <w:webHidden/>
              </w:rPr>
              <w:fldChar w:fldCharType="separate"/>
            </w:r>
            <w:r>
              <w:rPr>
                <w:rStyle w:val="IndexLink"/>
                <w:vanish w:val="false"/>
              </w:rPr>
              <w:tab/>
              <w:t>74</w:t>
            </w:r>
            <w:r>
              <w:rPr>
                <w:webHidden/>
              </w:rPr>
              <w:fldChar w:fldCharType="end"/>
            </w:r>
          </w:hyperlink>
        </w:p>
        <w:p>
          <w:pPr>
            <w:pStyle w:val="TOC2"/>
            <w:tabs>
              <w:tab w:val="clear" w:pos="708"/>
              <w:tab w:val="left" w:pos="800" w:leader="none"/>
              <w:tab w:val="right" w:pos="9061" w:leader="dot"/>
            </w:tabs>
            <w:rPr>
              <w:rFonts w:ascii="Calibri" w:hAnsi="Calibri" w:eastAsia="" w:asciiTheme="minorHAnsi" w:eastAsiaTheme="minorEastAsia" w:hAnsiTheme="minorHAnsi"/>
              <w:i w:val="false"/>
              <w:i w:val="false"/>
              <w:iCs w:val="false"/>
              <w:kern w:val="2"/>
              <w:sz w:val="24"/>
              <w:szCs w:val="24"/>
              <w:lang w:eastAsia="cs-CZ"/>
              <w14:ligatures w14:val="standardContextual"/>
            </w:rPr>
          </w:pPr>
          <w:hyperlink w:anchor="_Toc229057862">
            <w:r>
              <w:rPr>
                <w:webHidden/>
                <w:rStyle w:val="IndexLink"/>
                <w:vanish w:val="false"/>
              </w:rPr>
              <w:t>5.6</w:t>
            </w:r>
            <w:r>
              <w:rPr>
                <w:rStyle w:val="IndexLink"/>
                <w:rFonts w:eastAsia="" w:ascii="Calibri" w:hAnsi="Calibri" w:asciiTheme="minorHAnsi" w:eastAsiaTheme="minorEastAsia" w:hAnsiTheme="minorHAnsi"/>
                <w:i w:val="false"/>
                <w:iCs w:val="false"/>
                <w:kern w:val="2"/>
                <w:sz w:val="24"/>
                <w:szCs w:val="24"/>
                <w:lang w:eastAsia="cs-CZ"/>
                <w14:ligatures w14:val="standardContextual"/>
              </w:rPr>
              <w:tab/>
            </w:r>
            <w:r>
              <w:rPr>
                <w:rStyle w:val="IndexLink"/>
              </w:rPr>
              <w:t>Organizace a efektivnost výroby</w:t>
            </w:r>
            <w:r>
              <w:rPr>
                <w:webHidden/>
              </w:rPr>
              <w:fldChar w:fldCharType="begin"/>
            </w:r>
            <w:r>
              <w:rPr>
                <w:webHidden/>
              </w:rPr>
              <w:instrText xml:space="preserve">PAGEREF _Toc229057862 \h</w:instrText>
            </w:r>
            <w:r>
              <w:rPr>
                <w:webHidden/>
              </w:rPr>
              <w:fldChar w:fldCharType="separate"/>
            </w:r>
            <w:r>
              <w:rPr>
                <w:rStyle w:val="IndexLink"/>
                <w:vanish w:val="false"/>
              </w:rPr>
              <w:tab/>
              <w:t>74</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863">
            <w:r>
              <w:rPr>
                <w:webHidden/>
                <w:rStyle w:val="IndexLink"/>
                <w:vanish w:val="false"/>
              </w:rPr>
              <w:t>5.6.1</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Posouzení relativní výrobní efektivnosti</w:t>
            </w:r>
            <w:r>
              <w:rPr>
                <w:webHidden/>
              </w:rPr>
              <w:fldChar w:fldCharType="begin"/>
            </w:r>
            <w:r>
              <w:rPr>
                <w:webHidden/>
              </w:rPr>
              <w:instrText xml:space="preserve">PAGEREF _Toc229057863 \h</w:instrText>
            </w:r>
            <w:r>
              <w:rPr>
                <w:webHidden/>
              </w:rPr>
              <w:fldChar w:fldCharType="separate"/>
            </w:r>
            <w:r>
              <w:rPr>
                <w:rStyle w:val="IndexLink"/>
                <w:vanish w:val="false"/>
              </w:rPr>
              <w:tab/>
              <w:t>74</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864">
            <w:r>
              <w:rPr>
                <w:webHidden/>
                <w:rStyle w:val="IndexLink"/>
                <w:vanish w:val="false"/>
              </w:rPr>
              <w:t>5.6.2</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Posouzení relativních výsledků hospodaření</w:t>
            </w:r>
            <w:r>
              <w:rPr>
                <w:webHidden/>
              </w:rPr>
              <w:fldChar w:fldCharType="begin"/>
            </w:r>
            <w:r>
              <w:rPr>
                <w:webHidden/>
              </w:rPr>
              <w:instrText xml:space="preserve">PAGEREF _Toc229057864 \h</w:instrText>
            </w:r>
            <w:r>
              <w:rPr>
                <w:webHidden/>
              </w:rPr>
              <w:fldChar w:fldCharType="separate"/>
            </w:r>
            <w:r>
              <w:rPr>
                <w:rStyle w:val="IndexLink"/>
                <w:vanish w:val="false"/>
              </w:rPr>
              <w:tab/>
              <w:t>75</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865">
            <w:r>
              <w:rPr>
                <w:webHidden/>
                <w:rStyle w:val="IndexLink"/>
                <w:vanish w:val="false"/>
              </w:rPr>
              <w:t>5.6.3</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Shrnutí k relativnímu srovnání stavu hospodářské aktivity</w:t>
            </w:r>
            <w:r>
              <w:rPr>
                <w:webHidden/>
              </w:rPr>
              <w:fldChar w:fldCharType="begin"/>
            </w:r>
            <w:r>
              <w:rPr>
                <w:webHidden/>
              </w:rPr>
              <w:instrText xml:space="preserve">PAGEREF _Toc229057865 \h</w:instrText>
            </w:r>
            <w:r>
              <w:rPr>
                <w:webHidden/>
              </w:rPr>
              <w:fldChar w:fldCharType="separate"/>
            </w:r>
            <w:r>
              <w:rPr>
                <w:rStyle w:val="IndexLink"/>
                <w:vanish w:val="false"/>
              </w:rPr>
              <w:tab/>
              <w:t>75</w:t>
            </w:r>
            <w:r>
              <w:rPr>
                <w:webHidden/>
              </w:rPr>
              <w:fldChar w:fldCharType="end"/>
            </w:r>
          </w:hyperlink>
        </w:p>
        <w:p>
          <w:pPr>
            <w:pStyle w:val="TOC2"/>
            <w:tabs>
              <w:tab w:val="clear" w:pos="708"/>
              <w:tab w:val="left" w:pos="800" w:leader="none"/>
              <w:tab w:val="right" w:pos="9061" w:leader="dot"/>
            </w:tabs>
            <w:rPr>
              <w:rFonts w:ascii="Calibri" w:hAnsi="Calibri" w:eastAsia="" w:asciiTheme="minorHAnsi" w:eastAsiaTheme="minorEastAsia" w:hAnsiTheme="minorHAnsi"/>
              <w:i w:val="false"/>
              <w:i w:val="false"/>
              <w:iCs w:val="false"/>
              <w:kern w:val="2"/>
              <w:sz w:val="24"/>
              <w:szCs w:val="24"/>
              <w:lang w:eastAsia="cs-CZ"/>
              <w14:ligatures w14:val="standardContextual"/>
            </w:rPr>
          </w:pPr>
          <w:hyperlink w:anchor="_Toc229057866">
            <w:r>
              <w:rPr>
                <w:webHidden/>
                <w:rStyle w:val="IndexLink"/>
                <w:vanish w:val="false"/>
              </w:rPr>
              <w:t>5.7</w:t>
            </w:r>
            <w:r>
              <w:rPr>
                <w:rStyle w:val="IndexLink"/>
                <w:rFonts w:eastAsia="" w:ascii="Calibri" w:hAnsi="Calibri" w:asciiTheme="minorHAnsi" w:eastAsiaTheme="minorEastAsia" w:hAnsiTheme="minorHAnsi"/>
                <w:i w:val="false"/>
                <w:iCs w:val="false"/>
                <w:kern w:val="2"/>
                <w:sz w:val="24"/>
                <w:szCs w:val="24"/>
                <w:lang w:eastAsia="cs-CZ"/>
                <w14:ligatures w14:val="standardContextual"/>
              </w:rPr>
              <w:tab/>
            </w:r>
            <w:r>
              <w:rPr>
                <w:rStyle w:val="IndexLink"/>
              </w:rPr>
              <w:t>Hospodářská situace šetřené oblasti</w:t>
            </w:r>
            <w:r>
              <w:rPr>
                <w:webHidden/>
              </w:rPr>
              <w:fldChar w:fldCharType="begin"/>
            </w:r>
            <w:r>
              <w:rPr>
                <w:webHidden/>
              </w:rPr>
              <w:instrText xml:space="preserve">PAGEREF _Toc229057866 \h</w:instrText>
            </w:r>
            <w:r>
              <w:rPr>
                <w:webHidden/>
              </w:rPr>
              <w:fldChar w:fldCharType="separate"/>
            </w:r>
            <w:r>
              <w:rPr>
                <w:rStyle w:val="IndexLink"/>
                <w:vanish w:val="false"/>
              </w:rPr>
              <w:tab/>
              <w:t>76</w:t>
            </w:r>
            <w:r>
              <w:rPr>
                <w:webHidden/>
              </w:rPr>
              <w:fldChar w:fldCharType="end"/>
            </w:r>
          </w:hyperlink>
        </w:p>
        <w:p>
          <w:pPr>
            <w:pStyle w:val="TOC1"/>
            <w:tabs>
              <w:tab w:val="clear" w:pos="708"/>
              <w:tab w:val="left" w:pos="400" w:leader="none"/>
              <w:tab w:val="right" w:pos="9061" w:leader="dot"/>
            </w:tabs>
            <w:rPr>
              <w:rFonts w:ascii="Calibri" w:hAnsi="Calibri" w:eastAsia="" w:asciiTheme="minorHAnsi" w:eastAsiaTheme="minorEastAsia" w:hAnsiTheme="minorHAnsi"/>
              <w:b w:val="false"/>
              <w:bCs w:val="false"/>
              <w:kern w:val="2"/>
              <w:sz w:val="24"/>
              <w:szCs w:val="24"/>
              <w:lang w:eastAsia="cs-CZ"/>
              <w14:ligatures w14:val="standardContextual"/>
            </w:rPr>
          </w:pPr>
          <w:hyperlink w:anchor="_Toc229057867">
            <w:r>
              <w:rPr>
                <w:webHidden/>
                <w:rStyle w:val="IndexLink"/>
                <w:vanish w:val="false"/>
              </w:rPr>
              <w:t>6</w:t>
            </w:r>
            <w:r>
              <w:rPr>
                <w:rStyle w:val="IndexLink"/>
                <w:rFonts w:eastAsia="" w:ascii="Calibri" w:hAnsi="Calibri" w:asciiTheme="minorHAnsi" w:eastAsiaTheme="minorEastAsia" w:hAnsiTheme="minorHAnsi"/>
                <w:b w:val="false"/>
                <w:bCs w:val="false"/>
                <w:kern w:val="2"/>
                <w:sz w:val="24"/>
                <w:szCs w:val="24"/>
                <w:lang w:eastAsia="cs-CZ"/>
                <w14:ligatures w14:val="standardContextual"/>
              </w:rPr>
              <w:tab/>
            </w:r>
            <w:r>
              <w:rPr>
                <w:rStyle w:val="IndexLink"/>
              </w:rPr>
              <w:t>Chování zákazníků a spotřebitelů</w:t>
            </w:r>
            <w:r>
              <w:rPr>
                <w:webHidden/>
              </w:rPr>
              <w:fldChar w:fldCharType="begin"/>
            </w:r>
            <w:r>
              <w:rPr>
                <w:webHidden/>
              </w:rPr>
              <w:instrText xml:space="preserve">PAGEREF _Toc229057867 \h</w:instrText>
            </w:r>
            <w:r>
              <w:rPr>
                <w:webHidden/>
              </w:rPr>
              <w:fldChar w:fldCharType="separate"/>
            </w:r>
            <w:r>
              <w:rPr>
                <w:rStyle w:val="IndexLink"/>
                <w:vanish w:val="false"/>
              </w:rPr>
              <w:tab/>
              <w:t>77</w:t>
            </w:r>
            <w:r>
              <w:rPr>
                <w:webHidden/>
              </w:rPr>
              <w:fldChar w:fldCharType="end"/>
            </w:r>
          </w:hyperlink>
        </w:p>
        <w:p>
          <w:pPr>
            <w:pStyle w:val="TOC2"/>
            <w:tabs>
              <w:tab w:val="clear" w:pos="708"/>
              <w:tab w:val="left" w:pos="800" w:leader="none"/>
              <w:tab w:val="right" w:pos="9061" w:leader="dot"/>
            </w:tabs>
            <w:rPr>
              <w:rFonts w:ascii="Calibri" w:hAnsi="Calibri" w:eastAsia="" w:asciiTheme="minorHAnsi" w:eastAsiaTheme="minorEastAsia" w:hAnsiTheme="minorHAnsi"/>
              <w:i w:val="false"/>
              <w:i w:val="false"/>
              <w:iCs w:val="false"/>
              <w:kern w:val="2"/>
              <w:sz w:val="24"/>
              <w:szCs w:val="24"/>
              <w:lang w:eastAsia="cs-CZ"/>
              <w14:ligatures w14:val="standardContextual"/>
            </w:rPr>
          </w:pPr>
          <w:hyperlink w:anchor="_Toc229057868">
            <w:r>
              <w:rPr>
                <w:webHidden/>
                <w:rStyle w:val="IndexLink"/>
                <w:vanish w:val="false"/>
              </w:rPr>
              <w:t>6.1</w:t>
            </w:r>
            <w:r>
              <w:rPr>
                <w:rStyle w:val="IndexLink"/>
                <w:rFonts w:eastAsia="" w:ascii="Calibri" w:hAnsi="Calibri" w:asciiTheme="minorHAnsi" w:eastAsiaTheme="minorEastAsia" w:hAnsiTheme="minorHAnsi"/>
                <w:i w:val="false"/>
                <w:iCs w:val="false"/>
                <w:kern w:val="2"/>
                <w:sz w:val="24"/>
                <w:szCs w:val="24"/>
                <w:lang w:eastAsia="cs-CZ"/>
                <w14:ligatures w14:val="standardContextual"/>
              </w:rPr>
              <w:tab/>
            </w:r>
            <w:r>
              <w:rPr>
                <w:rStyle w:val="IndexLink"/>
              </w:rPr>
              <w:t>Rozdíly mezi segmenty v ČR</w:t>
            </w:r>
            <w:r>
              <w:rPr>
                <w:webHidden/>
              </w:rPr>
              <w:fldChar w:fldCharType="begin"/>
            </w:r>
            <w:r>
              <w:rPr>
                <w:webHidden/>
              </w:rPr>
              <w:instrText xml:space="preserve">PAGEREF _Toc229057868 \h</w:instrText>
            </w:r>
            <w:r>
              <w:rPr>
                <w:webHidden/>
              </w:rPr>
              <w:fldChar w:fldCharType="separate"/>
            </w:r>
            <w:r>
              <w:rPr>
                <w:rStyle w:val="IndexLink"/>
                <w:vanish w:val="false"/>
              </w:rPr>
              <w:tab/>
              <w:t>77</w:t>
            </w:r>
            <w:r>
              <w:rPr>
                <w:webHidden/>
              </w:rPr>
              <w:fldChar w:fldCharType="end"/>
            </w:r>
          </w:hyperlink>
        </w:p>
        <w:p>
          <w:pPr>
            <w:pStyle w:val="TOC2"/>
            <w:tabs>
              <w:tab w:val="clear" w:pos="708"/>
              <w:tab w:val="left" w:pos="800" w:leader="none"/>
              <w:tab w:val="right" w:pos="9061" w:leader="dot"/>
            </w:tabs>
            <w:rPr>
              <w:rFonts w:ascii="Calibri" w:hAnsi="Calibri" w:eastAsia="" w:asciiTheme="minorHAnsi" w:eastAsiaTheme="minorEastAsia" w:hAnsiTheme="minorHAnsi"/>
              <w:i w:val="false"/>
              <w:i w:val="false"/>
              <w:iCs w:val="false"/>
              <w:kern w:val="2"/>
              <w:sz w:val="24"/>
              <w:szCs w:val="24"/>
              <w:lang w:eastAsia="cs-CZ"/>
              <w14:ligatures w14:val="standardContextual"/>
            </w:rPr>
          </w:pPr>
          <w:hyperlink w:anchor="_Toc229057869">
            <w:r>
              <w:rPr>
                <w:webHidden/>
                <w:rStyle w:val="IndexLink"/>
                <w:vanish w:val="false"/>
              </w:rPr>
              <w:t>6.2</w:t>
            </w:r>
            <w:r>
              <w:rPr>
                <w:rStyle w:val="IndexLink"/>
                <w:rFonts w:eastAsia="" w:ascii="Calibri" w:hAnsi="Calibri" w:asciiTheme="minorHAnsi" w:eastAsiaTheme="minorEastAsia" w:hAnsiTheme="minorHAnsi"/>
                <w:i w:val="false"/>
                <w:iCs w:val="false"/>
                <w:kern w:val="2"/>
                <w:sz w:val="24"/>
                <w:szCs w:val="24"/>
                <w:lang w:eastAsia="cs-CZ"/>
                <w14:ligatures w14:val="standardContextual"/>
              </w:rPr>
              <w:tab/>
            </w:r>
            <w:r>
              <w:rPr>
                <w:rStyle w:val="IndexLink"/>
              </w:rPr>
              <w:t>Cenové rozdělení spotřebovávaných mobilních služeb</w:t>
            </w:r>
            <w:r>
              <w:rPr>
                <w:webHidden/>
              </w:rPr>
              <w:fldChar w:fldCharType="begin"/>
            </w:r>
            <w:r>
              <w:rPr>
                <w:webHidden/>
              </w:rPr>
              <w:instrText xml:space="preserve">PAGEREF _Toc229057869 \h</w:instrText>
            </w:r>
            <w:r>
              <w:rPr>
                <w:webHidden/>
              </w:rPr>
              <w:fldChar w:fldCharType="separate"/>
            </w:r>
            <w:r>
              <w:rPr>
                <w:rStyle w:val="IndexLink"/>
                <w:vanish w:val="false"/>
              </w:rPr>
              <w:tab/>
              <w:t>77</w:t>
            </w:r>
            <w:r>
              <w:rPr>
                <w:webHidden/>
              </w:rPr>
              <w:fldChar w:fldCharType="end"/>
            </w:r>
          </w:hyperlink>
        </w:p>
        <w:p>
          <w:pPr>
            <w:pStyle w:val="TOC2"/>
            <w:tabs>
              <w:tab w:val="clear" w:pos="708"/>
              <w:tab w:val="left" w:pos="800" w:leader="none"/>
              <w:tab w:val="right" w:pos="9061" w:leader="dot"/>
            </w:tabs>
            <w:rPr>
              <w:rFonts w:ascii="Calibri" w:hAnsi="Calibri" w:eastAsia="" w:asciiTheme="minorHAnsi" w:eastAsiaTheme="minorEastAsia" w:hAnsiTheme="minorHAnsi"/>
              <w:i w:val="false"/>
              <w:i w:val="false"/>
              <w:iCs w:val="false"/>
              <w:kern w:val="2"/>
              <w:sz w:val="24"/>
              <w:szCs w:val="24"/>
              <w:lang w:eastAsia="cs-CZ"/>
              <w14:ligatures w14:val="standardContextual"/>
            </w:rPr>
          </w:pPr>
          <w:hyperlink w:anchor="_Toc229057870">
            <w:r>
              <w:rPr>
                <w:webHidden/>
                <w:rStyle w:val="IndexLink"/>
                <w:vanish w:val="false"/>
              </w:rPr>
              <w:t>6.3</w:t>
            </w:r>
            <w:r>
              <w:rPr>
                <w:rStyle w:val="IndexLink"/>
                <w:rFonts w:eastAsia="" w:ascii="Calibri" w:hAnsi="Calibri" w:asciiTheme="minorHAnsi" w:eastAsiaTheme="minorEastAsia" w:hAnsiTheme="minorHAnsi"/>
                <w:i w:val="false"/>
                <w:iCs w:val="false"/>
                <w:kern w:val="2"/>
                <w:sz w:val="24"/>
                <w:szCs w:val="24"/>
                <w:lang w:eastAsia="cs-CZ"/>
                <w14:ligatures w14:val="standardContextual"/>
              </w:rPr>
              <w:tab/>
            </w:r>
            <w:r>
              <w:rPr>
                <w:rStyle w:val="IndexLink"/>
              </w:rPr>
              <w:t>Shrnutí kapitoly</w:t>
            </w:r>
            <w:r>
              <w:rPr>
                <w:webHidden/>
              </w:rPr>
              <w:fldChar w:fldCharType="begin"/>
            </w:r>
            <w:r>
              <w:rPr>
                <w:webHidden/>
              </w:rPr>
              <w:instrText xml:space="preserve">PAGEREF _Toc229057870 \h</w:instrText>
            </w:r>
            <w:r>
              <w:rPr>
                <w:webHidden/>
              </w:rPr>
              <w:fldChar w:fldCharType="separate"/>
            </w:r>
            <w:r>
              <w:rPr>
                <w:rStyle w:val="IndexLink"/>
                <w:vanish w:val="false"/>
              </w:rPr>
              <w:tab/>
              <w:t>78</w:t>
            </w:r>
            <w:r>
              <w:rPr>
                <w:webHidden/>
              </w:rPr>
              <w:fldChar w:fldCharType="end"/>
            </w:r>
          </w:hyperlink>
        </w:p>
        <w:p>
          <w:pPr>
            <w:pStyle w:val="TOC1"/>
            <w:tabs>
              <w:tab w:val="clear" w:pos="708"/>
              <w:tab w:val="left" w:pos="400" w:leader="none"/>
              <w:tab w:val="right" w:pos="9061" w:leader="dot"/>
            </w:tabs>
            <w:rPr>
              <w:rFonts w:ascii="Calibri" w:hAnsi="Calibri" w:eastAsia="" w:asciiTheme="minorHAnsi" w:eastAsiaTheme="minorEastAsia" w:hAnsiTheme="minorHAnsi"/>
              <w:b w:val="false"/>
              <w:bCs w:val="false"/>
              <w:kern w:val="2"/>
              <w:sz w:val="24"/>
              <w:szCs w:val="24"/>
              <w:lang w:eastAsia="cs-CZ"/>
              <w14:ligatures w14:val="standardContextual"/>
            </w:rPr>
          </w:pPr>
          <w:hyperlink w:anchor="_Toc229057871">
            <w:r>
              <w:rPr>
                <w:webHidden/>
                <w:rStyle w:val="IndexLink"/>
                <w:vanish w:val="false"/>
              </w:rPr>
              <w:t>7</w:t>
            </w:r>
            <w:r>
              <w:rPr>
                <w:rStyle w:val="IndexLink"/>
                <w:rFonts w:eastAsia="" w:ascii="Calibri" w:hAnsi="Calibri" w:asciiTheme="minorHAnsi" w:eastAsiaTheme="minorEastAsia" w:hAnsiTheme="minorHAnsi"/>
                <w:b w:val="false"/>
                <w:bCs w:val="false"/>
                <w:kern w:val="2"/>
                <w:sz w:val="24"/>
                <w:szCs w:val="24"/>
                <w:lang w:eastAsia="cs-CZ"/>
                <w14:ligatures w14:val="standardContextual"/>
              </w:rPr>
              <w:tab/>
            </w:r>
            <w:r>
              <w:rPr>
                <w:rStyle w:val="IndexLink"/>
              </w:rPr>
              <w:t>Mobilní služby a mobilní operátoři</w:t>
            </w:r>
            <w:r>
              <w:rPr>
                <w:webHidden/>
              </w:rPr>
              <w:fldChar w:fldCharType="begin"/>
            </w:r>
            <w:r>
              <w:rPr>
                <w:webHidden/>
              </w:rPr>
              <w:instrText xml:space="preserve">PAGEREF _Toc229057871 \h</w:instrText>
            </w:r>
            <w:r>
              <w:rPr>
                <w:webHidden/>
              </w:rPr>
              <w:fldChar w:fldCharType="separate"/>
            </w:r>
            <w:r>
              <w:rPr>
                <w:rStyle w:val="IndexLink"/>
                <w:vanish w:val="false"/>
              </w:rPr>
              <w:tab/>
              <w:t>79</w:t>
            </w:r>
            <w:r>
              <w:rPr>
                <w:webHidden/>
              </w:rPr>
              <w:fldChar w:fldCharType="end"/>
            </w:r>
          </w:hyperlink>
        </w:p>
        <w:p>
          <w:pPr>
            <w:pStyle w:val="TOC2"/>
            <w:tabs>
              <w:tab w:val="clear" w:pos="708"/>
              <w:tab w:val="left" w:pos="800" w:leader="none"/>
              <w:tab w:val="right" w:pos="9061" w:leader="dot"/>
            </w:tabs>
            <w:rPr>
              <w:rFonts w:ascii="Calibri" w:hAnsi="Calibri" w:eastAsia="" w:asciiTheme="minorHAnsi" w:eastAsiaTheme="minorEastAsia" w:hAnsiTheme="minorHAnsi"/>
              <w:i w:val="false"/>
              <w:i w:val="false"/>
              <w:iCs w:val="false"/>
              <w:kern w:val="2"/>
              <w:sz w:val="24"/>
              <w:szCs w:val="24"/>
              <w:lang w:eastAsia="cs-CZ"/>
              <w14:ligatures w14:val="standardContextual"/>
            </w:rPr>
          </w:pPr>
          <w:hyperlink w:anchor="_Toc229057872">
            <w:r>
              <w:rPr>
                <w:webHidden/>
                <w:rStyle w:val="IndexLink"/>
                <w:vanish w:val="false"/>
              </w:rPr>
              <w:t>7.1</w:t>
            </w:r>
            <w:r>
              <w:rPr>
                <w:rStyle w:val="IndexLink"/>
                <w:rFonts w:eastAsia="" w:ascii="Calibri" w:hAnsi="Calibri" w:asciiTheme="minorHAnsi" w:eastAsiaTheme="minorEastAsia" w:hAnsiTheme="minorHAnsi"/>
                <w:i w:val="false"/>
                <w:iCs w:val="false"/>
                <w:kern w:val="2"/>
                <w:sz w:val="24"/>
                <w:szCs w:val="24"/>
                <w:lang w:eastAsia="cs-CZ"/>
                <w14:ligatures w14:val="standardContextual"/>
              </w:rPr>
              <w:tab/>
            </w:r>
            <w:r>
              <w:rPr>
                <w:rStyle w:val="IndexLink"/>
              </w:rPr>
              <w:t>Mobilní operátoři</w:t>
            </w:r>
            <w:r>
              <w:rPr>
                <w:webHidden/>
              </w:rPr>
              <w:fldChar w:fldCharType="begin"/>
            </w:r>
            <w:r>
              <w:rPr>
                <w:webHidden/>
              </w:rPr>
              <w:instrText xml:space="preserve">PAGEREF _Toc229057872 \h</w:instrText>
            </w:r>
            <w:r>
              <w:rPr>
                <w:webHidden/>
              </w:rPr>
              <w:fldChar w:fldCharType="separate"/>
            </w:r>
            <w:r>
              <w:rPr>
                <w:rStyle w:val="IndexLink"/>
                <w:vanish w:val="false"/>
              </w:rPr>
              <w:tab/>
              <w:t>79</w:t>
            </w:r>
            <w:r>
              <w:rPr>
                <w:webHidden/>
              </w:rPr>
              <w:fldChar w:fldCharType="end"/>
            </w:r>
          </w:hyperlink>
        </w:p>
        <w:p>
          <w:pPr>
            <w:pStyle w:val="TOC2"/>
            <w:tabs>
              <w:tab w:val="clear" w:pos="708"/>
              <w:tab w:val="left" w:pos="800" w:leader="none"/>
              <w:tab w:val="right" w:pos="9061" w:leader="dot"/>
            </w:tabs>
            <w:rPr>
              <w:rFonts w:ascii="Calibri" w:hAnsi="Calibri" w:eastAsia="" w:asciiTheme="minorHAnsi" w:eastAsiaTheme="minorEastAsia" w:hAnsiTheme="minorHAnsi"/>
              <w:i w:val="false"/>
              <w:i w:val="false"/>
              <w:iCs w:val="false"/>
              <w:kern w:val="2"/>
              <w:sz w:val="24"/>
              <w:szCs w:val="24"/>
              <w:lang w:eastAsia="cs-CZ"/>
              <w14:ligatures w14:val="standardContextual"/>
            </w:rPr>
          </w:pPr>
          <w:hyperlink w:anchor="_Toc229057873">
            <w:r>
              <w:rPr>
                <w:webHidden/>
                <w:rStyle w:val="IndexLink"/>
                <w:vanish w:val="false"/>
              </w:rPr>
              <w:t>7.2</w:t>
            </w:r>
            <w:r>
              <w:rPr>
                <w:rStyle w:val="IndexLink"/>
                <w:rFonts w:eastAsia="" w:ascii="Calibri" w:hAnsi="Calibri" w:asciiTheme="minorHAnsi" w:eastAsiaTheme="minorEastAsia" w:hAnsiTheme="minorHAnsi"/>
                <w:i w:val="false"/>
                <w:iCs w:val="false"/>
                <w:kern w:val="2"/>
                <w:sz w:val="24"/>
                <w:szCs w:val="24"/>
                <w:lang w:eastAsia="cs-CZ"/>
                <w14:ligatures w14:val="standardContextual"/>
              </w:rPr>
              <w:tab/>
            </w:r>
            <w:r>
              <w:rPr>
                <w:rStyle w:val="IndexLink"/>
              </w:rPr>
              <w:t>Virtuální mobilní operátoři</w:t>
            </w:r>
            <w:r>
              <w:rPr>
                <w:webHidden/>
              </w:rPr>
              <w:fldChar w:fldCharType="begin"/>
            </w:r>
            <w:r>
              <w:rPr>
                <w:webHidden/>
              </w:rPr>
              <w:instrText xml:space="preserve">PAGEREF _Toc229057873 \h</w:instrText>
            </w:r>
            <w:r>
              <w:rPr>
                <w:webHidden/>
              </w:rPr>
              <w:fldChar w:fldCharType="separate"/>
            </w:r>
            <w:r>
              <w:rPr>
                <w:rStyle w:val="IndexLink"/>
                <w:vanish w:val="false"/>
              </w:rPr>
              <w:tab/>
              <w:t>79</w:t>
            </w:r>
            <w:r>
              <w:rPr>
                <w:webHidden/>
              </w:rPr>
              <w:fldChar w:fldCharType="end"/>
            </w:r>
          </w:hyperlink>
        </w:p>
        <w:p>
          <w:pPr>
            <w:pStyle w:val="TOC2"/>
            <w:tabs>
              <w:tab w:val="clear" w:pos="708"/>
              <w:tab w:val="left" w:pos="800" w:leader="none"/>
              <w:tab w:val="right" w:pos="9061" w:leader="dot"/>
            </w:tabs>
            <w:rPr>
              <w:rFonts w:ascii="Calibri" w:hAnsi="Calibri" w:eastAsia="" w:asciiTheme="minorHAnsi" w:eastAsiaTheme="minorEastAsia" w:hAnsiTheme="minorHAnsi"/>
              <w:i w:val="false"/>
              <w:i w:val="false"/>
              <w:iCs w:val="false"/>
              <w:kern w:val="2"/>
              <w:sz w:val="24"/>
              <w:szCs w:val="24"/>
              <w:lang w:eastAsia="cs-CZ"/>
              <w14:ligatures w14:val="standardContextual"/>
            </w:rPr>
          </w:pPr>
          <w:hyperlink w:anchor="_Toc229057874">
            <w:r>
              <w:rPr>
                <w:webHidden/>
                <w:rStyle w:val="IndexLink"/>
                <w:vanish w:val="false"/>
              </w:rPr>
              <w:t>7.3</w:t>
            </w:r>
            <w:r>
              <w:rPr>
                <w:rStyle w:val="IndexLink"/>
                <w:rFonts w:eastAsia="" w:ascii="Calibri" w:hAnsi="Calibri" w:asciiTheme="minorHAnsi" w:eastAsiaTheme="minorEastAsia" w:hAnsiTheme="minorHAnsi"/>
                <w:i w:val="false"/>
                <w:iCs w:val="false"/>
                <w:kern w:val="2"/>
                <w:sz w:val="24"/>
                <w:szCs w:val="24"/>
                <w:lang w:eastAsia="cs-CZ"/>
                <w14:ligatures w14:val="standardContextual"/>
              </w:rPr>
              <w:tab/>
            </w:r>
            <w:r>
              <w:rPr>
                <w:rStyle w:val="IndexLink"/>
              </w:rPr>
              <w:t>Nabízené mobilní služby a jejich využívání</w:t>
            </w:r>
            <w:r>
              <w:rPr>
                <w:webHidden/>
              </w:rPr>
              <w:fldChar w:fldCharType="begin"/>
            </w:r>
            <w:r>
              <w:rPr>
                <w:webHidden/>
              </w:rPr>
              <w:instrText xml:space="preserve">PAGEREF _Toc229057874 \h</w:instrText>
            </w:r>
            <w:r>
              <w:rPr>
                <w:webHidden/>
              </w:rPr>
              <w:fldChar w:fldCharType="separate"/>
            </w:r>
            <w:r>
              <w:rPr>
                <w:rStyle w:val="IndexLink"/>
                <w:vanish w:val="false"/>
              </w:rPr>
              <w:tab/>
              <w:t>79</w:t>
            </w:r>
            <w:r>
              <w:rPr>
                <w:webHidden/>
              </w:rPr>
              <w:fldChar w:fldCharType="end"/>
            </w:r>
          </w:hyperlink>
        </w:p>
        <w:p>
          <w:pPr>
            <w:pStyle w:val="TOC2"/>
            <w:tabs>
              <w:tab w:val="clear" w:pos="708"/>
              <w:tab w:val="left" w:pos="800" w:leader="none"/>
              <w:tab w:val="right" w:pos="9061" w:leader="dot"/>
            </w:tabs>
            <w:rPr>
              <w:rFonts w:ascii="Calibri" w:hAnsi="Calibri" w:eastAsia="" w:asciiTheme="minorHAnsi" w:eastAsiaTheme="minorEastAsia" w:hAnsiTheme="minorHAnsi"/>
              <w:i w:val="false"/>
              <w:i w:val="false"/>
              <w:iCs w:val="false"/>
              <w:kern w:val="2"/>
              <w:sz w:val="24"/>
              <w:szCs w:val="24"/>
              <w:lang w:eastAsia="cs-CZ"/>
              <w14:ligatures w14:val="standardContextual"/>
            </w:rPr>
          </w:pPr>
          <w:hyperlink w:anchor="_Toc229057875">
            <w:r>
              <w:rPr>
                <w:webHidden/>
                <w:rStyle w:val="IndexLink"/>
                <w:vanish w:val="false"/>
              </w:rPr>
              <w:t>7.4</w:t>
            </w:r>
            <w:r>
              <w:rPr>
                <w:rStyle w:val="IndexLink"/>
                <w:rFonts w:eastAsia="" w:ascii="Calibri" w:hAnsi="Calibri" w:asciiTheme="minorHAnsi" w:eastAsiaTheme="minorEastAsia" w:hAnsiTheme="minorHAnsi"/>
                <w:i w:val="false"/>
                <w:iCs w:val="false"/>
                <w:kern w:val="2"/>
                <w:sz w:val="24"/>
                <w:szCs w:val="24"/>
                <w:lang w:eastAsia="cs-CZ"/>
                <w14:ligatures w14:val="standardContextual"/>
              </w:rPr>
              <w:tab/>
            </w:r>
            <w:r>
              <w:rPr>
                <w:rStyle w:val="IndexLink"/>
              </w:rPr>
              <w:t>Projevené cenové strategie</w:t>
            </w:r>
            <w:r>
              <w:rPr>
                <w:webHidden/>
              </w:rPr>
              <w:fldChar w:fldCharType="begin"/>
            </w:r>
            <w:r>
              <w:rPr>
                <w:webHidden/>
              </w:rPr>
              <w:instrText xml:space="preserve">PAGEREF _Toc229057875 \h</w:instrText>
            </w:r>
            <w:r>
              <w:rPr>
                <w:webHidden/>
              </w:rPr>
              <w:fldChar w:fldCharType="separate"/>
            </w:r>
            <w:r>
              <w:rPr>
                <w:rStyle w:val="IndexLink"/>
                <w:vanish w:val="false"/>
              </w:rPr>
              <w:tab/>
              <w:t>79</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876">
            <w:r>
              <w:rPr>
                <w:webHidden/>
                <w:rStyle w:val="IndexLink"/>
                <w:vanish w:val="false"/>
              </w:rPr>
              <w:t>7.4.1</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Jednotná cenotvorba</w:t>
            </w:r>
            <w:r>
              <w:rPr>
                <w:webHidden/>
              </w:rPr>
              <w:fldChar w:fldCharType="begin"/>
            </w:r>
            <w:r>
              <w:rPr>
                <w:webHidden/>
              </w:rPr>
              <w:instrText xml:space="preserve">PAGEREF _Toc229057876 \h</w:instrText>
            </w:r>
            <w:r>
              <w:rPr>
                <w:webHidden/>
              </w:rPr>
              <w:fldChar w:fldCharType="separate"/>
            </w:r>
            <w:r>
              <w:rPr>
                <w:rStyle w:val="IndexLink"/>
                <w:vanish w:val="false"/>
              </w:rPr>
              <w:tab/>
              <w:t>79</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877">
            <w:r>
              <w:rPr>
                <w:webHidden/>
                <w:rStyle w:val="IndexLink"/>
                <w:vanish w:val="false"/>
              </w:rPr>
              <w:t>7.4.2</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Cenová diskriminace</w:t>
            </w:r>
            <w:r>
              <w:rPr>
                <w:webHidden/>
              </w:rPr>
              <w:fldChar w:fldCharType="begin"/>
            </w:r>
            <w:r>
              <w:rPr>
                <w:webHidden/>
              </w:rPr>
              <w:instrText xml:space="preserve">PAGEREF _Toc229057877 \h</w:instrText>
            </w:r>
            <w:r>
              <w:rPr>
                <w:webHidden/>
              </w:rPr>
              <w:fldChar w:fldCharType="separate"/>
            </w:r>
            <w:r>
              <w:rPr>
                <w:rStyle w:val="IndexLink"/>
                <w:vanish w:val="false"/>
              </w:rPr>
              <w:tab/>
              <w:t>79</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878">
            <w:r>
              <w:rPr>
                <w:webHidden/>
                <w:rStyle w:val="IndexLink"/>
                <w:vanish w:val="false"/>
              </w:rPr>
              <w:t>7.4.3</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Hedonický rozklad cen</w:t>
            </w:r>
            <w:r>
              <w:rPr>
                <w:webHidden/>
              </w:rPr>
              <w:fldChar w:fldCharType="begin"/>
            </w:r>
            <w:r>
              <w:rPr>
                <w:webHidden/>
              </w:rPr>
              <w:instrText xml:space="preserve">PAGEREF _Toc229057878 \h</w:instrText>
            </w:r>
            <w:r>
              <w:rPr>
                <w:webHidden/>
              </w:rPr>
              <w:fldChar w:fldCharType="separate"/>
            </w:r>
            <w:r>
              <w:rPr>
                <w:rStyle w:val="IndexLink"/>
                <w:vanish w:val="false"/>
              </w:rPr>
              <w:tab/>
              <w:t>79</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879">
            <w:r>
              <w:rPr>
                <w:webHidden/>
                <w:rStyle w:val="IndexLink"/>
                <w:vanish w:val="false"/>
              </w:rPr>
              <w:t>7.4.4</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Nákladově orientovaná cenotvorba</w:t>
            </w:r>
            <w:r>
              <w:rPr>
                <w:webHidden/>
              </w:rPr>
              <w:fldChar w:fldCharType="begin"/>
            </w:r>
            <w:r>
              <w:rPr>
                <w:webHidden/>
              </w:rPr>
              <w:instrText xml:space="preserve">PAGEREF _Toc229057879 \h</w:instrText>
            </w:r>
            <w:r>
              <w:rPr>
                <w:webHidden/>
              </w:rPr>
              <w:fldChar w:fldCharType="separate"/>
            </w:r>
            <w:r>
              <w:rPr>
                <w:rStyle w:val="IndexLink"/>
                <w:vanish w:val="false"/>
              </w:rPr>
              <w:tab/>
              <w:t>79</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880">
            <w:r>
              <w:rPr>
                <w:webHidden/>
                <w:rStyle w:val="IndexLink"/>
                <w:vanish w:val="false"/>
              </w:rPr>
              <w:t>7.4.5</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Sticky pricing</w:t>
            </w:r>
            <w:r>
              <w:rPr>
                <w:webHidden/>
              </w:rPr>
              <w:fldChar w:fldCharType="begin"/>
            </w:r>
            <w:r>
              <w:rPr>
                <w:webHidden/>
              </w:rPr>
              <w:instrText xml:space="preserve">PAGEREF _Toc229057880 \h</w:instrText>
            </w:r>
            <w:r>
              <w:rPr>
                <w:webHidden/>
              </w:rPr>
              <w:fldChar w:fldCharType="separate"/>
            </w:r>
            <w:r>
              <w:rPr>
                <w:rStyle w:val="IndexLink"/>
                <w:vanish w:val="false"/>
              </w:rPr>
              <w:tab/>
              <w:t>79</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881">
            <w:r>
              <w:rPr>
                <w:webHidden/>
                <w:rStyle w:val="IndexLink"/>
                <w:vanish w:val="false"/>
              </w:rPr>
              <w:t>7.4.6</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Alternativní cenové strategie</w:t>
            </w:r>
            <w:r>
              <w:rPr>
                <w:webHidden/>
              </w:rPr>
              <w:fldChar w:fldCharType="begin"/>
            </w:r>
            <w:r>
              <w:rPr>
                <w:webHidden/>
              </w:rPr>
              <w:instrText xml:space="preserve">PAGEREF _Toc229057881 \h</w:instrText>
            </w:r>
            <w:r>
              <w:rPr>
                <w:webHidden/>
              </w:rPr>
              <w:fldChar w:fldCharType="separate"/>
            </w:r>
            <w:r>
              <w:rPr>
                <w:rStyle w:val="IndexLink"/>
                <w:vanish w:val="false"/>
              </w:rPr>
              <w:tab/>
              <w:t>80</w:t>
            </w:r>
            <w:r>
              <w:rPr>
                <w:webHidden/>
              </w:rPr>
              <w:fldChar w:fldCharType="end"/>
            </w:r>
          </w:hyperlink>
        </w:p>
        <w:p>
          <w:pPr>
            <w:pStyle w:val="TOC2"/>
            <w:tabs>
              <w:tab w:val="clear" w:pos="708"/>
              <w:tab w:val="left" w:pos="800" w:leader="none"/>
              <w:tab w:val="right" w:pos="9061" w:leader="dot"/>
            </w:tabs>
            <w:rPr>
              <w:rFonts w:ascii="Calibri" w:hAnsi="Calibri" w:eastAsia="" w:asciiTheme="minorHAnsi" w:eastAsiaTheme="minorEastAsia" w:hAnsiTheme="minorHAnsi"/>
              <w:i w:val="false"/>
              <w:i w:val="false"/>
              <w:iCs w:val="false"/>
              <w:kern w:val="2"/>
              <w:sz w:val="24"/>
              <w:szCs w:val="24"/>
              <w:lang w:eastAsia="cs-CZ"/>
              <w14:ligatures w14:val="standardContextual"/>
            </w:rPr>
          </w:pPr>
          <w:hyperlink w:anchor="_Toc229057882">
            <w:r>
              <w:rPr>
                <w:webHidden/>
                <w:rStyle w:val="IndexLink"/>
                <w:vanish w:val="false"/>
              </w:rPr>
              <w:t>7.5</w:t>
            </w:r>
            <w:r>
              <w:rPr>
                <w:rStyle w:val="IndexLink"/>
                <w:rFonts w:eastAsia="" w:ascii="Calibri" w:hAnsi="Calibri" w:asciiTheme="minorHAnsi" w:eastAsiaTheme="minorEastAsia" w:hAnsiTheme="minorHAnsi"/>
                <w:i w:val="false"/>
                <w:iCs w:val="false"/>
                <w:kern w:val="2"/>
                <w:sz w:val="24"/>
                <w:szCs w:val="24"/>
                <w:lang w:eastAsia="cs-CZ"/>
                <w14:ligatures w14:val="standardContextual"/>
              </w:rPr>
              <w:tab/>
            </w:r>
            <w:r>
              <w:rPr>
                <w:rStyle w:val="IndexLink"/>
              </w:rPr>
              <w:t>Shrnutí kapitoly</w:t>
            </w:r>
            <w:r>
              <w:rPr>
                <w:webHidden/>
              </w:rPr>
              <w:fldChar w:fldCharType="begin"/>
            </w:r>
            <w:r>
              <w:rPr>
                <w:webHidden/>
              </w:rPr>
              <w:instrText xml:space="preserve">PAGEREF _Toc229057882 \h</w:instrText>
            </w:r>
            <w:r>
              <w:rPr>
                <w:webHidden/>
              </w:rPr>
              <w:fldChar w:fldCharType="separate"/>
            </w:r>
            <w:r>
              <w:rPr>
                <w:rStyle w:val="IndexLink"/>
                <w:vanish w:val="false"/>
              </w:rPr>
              <w:tab/>
              <w:t>80</w:t>
            </w:r>
            <w:r>
              <w:rPr>
                <w:webHidden/>
              </w:rPr>
              <w:fldChar w:fldCharType="end"/>
            </w:r>
          </w:hyperlink>
        </w:p>
        <w:p>
          <w:pPr>
            <w:pStyle w:val="TOC1"/>
            <w:tabs>
              <w:tab w:val="clear" w:pos="708"/>
              <w:tab w:val="left" w:pos="400" w:leader="none"/>
              <w:tab w:val="right" w:pos="9061" w:leader="dot"/>
            </w:tabs>
            <w:rPr>
              <w:rFonts w:ascii="Calibri" w:hAnsi="Calibri" w:eastAsia="" w:asciiTheme="minorHAnsi" w:eastAsiaTheme="minorEastAsia" w:hAnsiTheme="minorHAnsi"/>
              <w:b w:val="false"/>
              <w:bCs w:val="false"/>
              <w:kern w:val="2"/>
              <w:sz w:val="24"/>
              <w:szCs w:val="24"/>
              <w:lang w:eastAsia="cs-CZ"/>
              <w14:ligatures w14:val="standardContextual"/>
            </w:rPr>
          </w:pPr>
          <w:hyperlink w:anchor="_Toc229057883">
            <w:r>
              <w:rPr>
                <w:webHidden/>
                <w:rStyle w:val="IndexLink"/>
                <w:vanish w:val="false"/>
              </w:rPr>
              <w:t>8</w:t>
            </w:r>
            <w:r>
              <w:rPr>
                <w:rStyle w:val="IndexLink"/>
                <w:rFonts w:eastAsia="" w:ascii="Calibri" w:hAnsi="Calibri" w:asciiTheme="minorHAnsi" w:eastAsiaTheme="minorEastAsia" w:hAnsiTheme="minorHAnsi"/>
                <w:b w:val="false"/>
                <w:bCs w:val="false"/>
                <w:kern w:val="2"/>
                <w:sz w:val="24"/>
                <w:szCs w:val="24"/>
                <w:lang w:eastAsia="cs-CZ"/>
                <w14:ligatures w14:val="standardContextual"/>
              </w:rPr>
              <w:tab/>
            </w:r>
            <w:r>
              <w:rPr>
                <w:rStyle w:val="IndexLink"/>
              </w:rPr>
              <w:t>Vymezení šetřené oblasti</w:t>
            </w:r>
            <w:r>
              <w:rPr>
                <w:webHidden/>
              </w:rPr>
              <w:fldChar w:fldCharType="begin"/>
            </w:r>
            <w:r>
              <w:rPr>
                <w:webHidden/>
              </w:rPr>
              <w:instrText xml:space="preserve">PAGEREF _Toc229057883 \h</w:instrText>
            </w:r>
            <w:r>
              <w:rPr>
                <w:webHidden/>
              </w:rPr>
              <w:fldChar w:fldCharType="separate"/>
            </w:r>
            <w:r>
              <w:rPr>
                <w:rStyle w:val="IndexLink"/>
                <w:vanish w:val="false"/>
              </w:rPr>
              <w:tab/>
              <w:t>81</w:t>
            </w:r>
            <w:r>
              <w:rPr>
                <w:webHidden/>
              </w:rPr>
              <w:fldChar w:fldCharType="end"/>
            </w:r>
          </w:hyperlink>
        </w:p>
        <w:p>
          <w:pPr>
            <w:pStyle w:val="TOC2"/>
            <w:tabs>
              <w:tab w:val="clear" w:pos="708"/>
              <w:tab w:val="left" w:pos="800" w:leader="none"/>
              <w:tab w:val="right" w:pos="9061" w:leader="dot"/>
            </w:tabs>
            <w:rPr>
              <w:rFonts w:ascii="Calibri" w:hAnsi="Calibri" w:eastAsia="" w:asciiTheme="minorHAnsi" w:eastAsiaTheme="minorEastAsia" w:hAnsiTheme="minorHAnsi"/>
              <w:i w:val="false"/>
              <w:i w:val="false"/>
              <w:iCs w:val="false"/>
              <w:kern w:val="2"/>
              <w:sz w:val="24"/>
              <w:szCs w:val="24"/>
              <w:lang w:eastAsia="cs-CZ"/>
              <w14:ligatures w14:val="standardContextual"/>
            </w:rPr>
          </w:pPr>
          <w:hyperlink w:anchor="_Toc229057884">
            <w:r>
              <w:rPr>
                <w:webHidden/>
                <w:rStyle w:val="IndexLink"/>
                <w:vanish w:val="false"/>
              </w:rPr>
              <w:t>8.1</w:t>
            </w:r>
            <w:r>
              <w:rPr>
                <w:rStyle w:val="IndexLink"/>
                <w:rFonts w:eastAsia="" w:ascii="Calibri" w:hAnsi="Calibri" w:asciiTheme="minorHAnsi" w:eastAsiaTheme="minorEastAsia" w:hAnsiTheme="minorHAnsi"/>
                <w:i w:val="false"/>
                <w:iCs w:val="false"/>
                <w:kern w:val="2"/>
                <w:sz w:val="24"/>
                <w:szCs w:val="24"/>
                <w:lang w:eastAsia="cs-CZ"/>
                <w14:ligatures w14:val="standardContextual"/>
              </w:rPr>
              <w:tab/>
            </w:r>
            <w:r>
              <w:rPr>
                <w:rStyle w:val="IndexLink"/>
              </w:rPr>
              <w:t>Vymezení jednotlivých mobilních služeb</w:t>
            </w:r>
            <w:r>
              <w:rPr>
                <w:webHidden/>
              </w:rPr>
              <w:fldChar w:fldCharType="begin"/>
            </w:r>
            <w:r>
              <w:rPr>
                <w:webHidden/>
              </w:rPr>
              <w:instrText xml:space="preserve">PAGEREF _Toc229057884 \h</w:instrText>
            </w:r>
            <w:r>
              <w:rPr>
                <w:webHidden/>
              </w:rPr>
              <w:fldChar w:fldCharType="separate"/>
            </w:r>
            <w:r>
              <w:rPr>
                <w:rStyle w:val="IndexLink"/>
                <w:vanish w:val="false"/>
              </w:rPr>
              <w:tab/>
              <w:t>81</w:t>
            </w:r>
            <w:r>
              <w:rPr>
                <w:webHidden/>
              </w:rPr>
              <w:fldChar w:fldCharType="end"/>
            </w:r>
          </w:hyperlink>
        </w:p>
        <w:p>
          <w:pPr>
            <w:pStyle w:val="TOC2"/>
            <w:tabs>
              <w:tab w:val="clear" w:pos="708"/>
              <w:tab w:val="left" w:pos="800" w:leader="none"/>
              <w:tab w:val="right" w:pos="9061" w:leader="dot"/>
            </w:tabs>
            <w:rPr>
              <w:rFonts w:ascii="Calibri" w:hAnsi="Calibri" w:eastAsia="" w:asciiTheme="minorHAnsi" w:eastAsiaTheme="minorEastAsia" w:hAnsiTheme="minorHAnsi"/>
              <w:i w:val="false"/>
              <w:i w:val="false"/>
              <w:iCs w:val="false"/>
              <w:kern w:val="2"/>
              <w:sz w:val="24"/>
              <w:szCs w:val="24"/>
              <w:lang w:eastAsia="cs-CZ"/>
              <w14:ligatures w14:val="standardContextual"/>
            </w:rPr>
          </w:pPr>
          <w:hyperlink w:anchor="_Toc229057885">
            <w:r>
              <w:rPr>
                <w:webHidden/>
                <w:rStyle w:val="IndexLink"/>
                <w:vanish w:val="false"/>
              </w:rPr>
              <w:t>8.2</w:t>
            </w:r>
            <w:r>
              <w:rPr>
                <w:rStyle w:val="IndexLink"/>
                <w:rFonts w:eastAsia="" w:ascii="Calibri" w:hAnsi="Calibri" w:asciiTheme="minorHAnsi" w:eastAsiaTheme="minorEastAsia" w:hAnsiTheme="minorHAnsi"/>
                <w:i w:val="false"/>
                <w:iCs w:val="false"/>
                <w:kern w:val="2"/>
                <w:sz w:val="24"/>
                <w:szCs w:val="24"/>
                <w:lang w:eastAsia="cs-CZ"/>
                <w14:ligatures w14:val="standardContextual"/>
              </w:rPr>
              <w:tab/>
            </w:r>
            <w:r>
              <w:rPr>
                <w:rStyle w:val="IndexLink"/>
              </w:rPr>
              <w:t>Vymezení relevantního trhu</w:t>
            </w:r>
            <w:r>
              <w:rPr>
                <w:webHidden/>
              </w:rPr>
              <w:fldChar w:fldCharType="begin"/>
            </w:r>
            <w:r>
              <w:rPr>
                <w:webHidden/>
              </w:rPr>
              <w:instrText xml:space="preserve">PAGEREF _Toc229057885 \h</w:instrText>
            </w:r>
            <w:r>
              <w:rPr>
                <w:webHidden/>
              </w:rPr>
              <w:fldChar w:fldCharType="separate"/>
            </w:r>
            <w:r>
              <w:rPr>
                <w:rStyle w:val="IndexLink"/>
                <w:vanish w:val="false"/>
              </w:rPr>
              <w:tab/>
              <w:t>81</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886">
            <w:r>
              <w:rPr>
                <w:webHidden/>
                <w:rStyle w:val="IndexLink"/>
                <w:vanish w:val="false"/>
              </w:rPr>
              <w:t>8.2.1</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Relevantní trh 02A: XXX</w:t>
            </w:r>
            <w:r>
              <w:rPr>
                <w:webHidden/>
              </w:rPr>
              <w:fldChar w:fldCharType="begin"/>
            </w:r>
            <w:r>
              <w:rPr>
                <w:webHidden/>
              </w:rPr>
              <w:instrText xml:space="preserve">PAGEREF _Toc229057886 \h</w:instrText>
            </w:r>
            <w:r>
              <w:rPr>
                <w:webHidden/>
              </w:rPr>
              <w:fldChar w:fldCharType="separate"/>
            </w:r>
            <w:r>
              <w:rPr>
                <w:rStyle w:val="IndexLink"/>
                <w:vanish w:val="false"/>
              </w:rPr>
              <w:tab/>
              <w:t>81</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887">
            <w:r>
              <w:rPr>
                <w:webHidden/>
                <w:rStyle w:val="IndexLink"/>
                <w:vanish w:val="false"/>
              </w:rPr>
              <w:t>8.2.2</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Trh 02B</w:t>
            </w:r>
            <w:r>
              <w:rPr>
                <w:webHidden/>
              </w:rPr>
              <w:fldChar w:fldCharType="begin"/>
            </w:r>
            <w:r>
              <w:rPr>
                <w:webHidden/>
              </w:rPr>
              <w:instrText xml:space="preserve">PAGEREF _Toc229057887 \h</w:instrText>
            </w:r>
            <w:r>
              <w:rPr>
                <w:webHidden/>
              </w:rPr>
              <w:fldChar w:fldCharType="separate"/>
            </w:r>
            <w:r>
              <w:rPr>
                <w:rStyle w:val="IndexLink"/>
                <w:vanish w:val="false"/>
              </w:rPr>
              <w:tab/>
              <w:t>81</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888">
            <w:r>
              <w:rPr>
                <w:webHidden/>
                <w:rStyle w:val="IndexLink"/>
                <w:vanish w:val="false"/>
              </w:rPr>
              <w:t>8.2.3</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Trh 02C</w:t>
            </w:r>
            <w:r>
              <w:rPr>
                <w:webHidden/>
              </w:rPr>
              <w:fldChar w:fldCharType="begin"/>
            </w:r>
            <w:r>
              <w:rPr>
                <w:webHidden/>
              </w:rPr>
              <w:instrText xml:space="preserve">PAGEREF _Toc229057888 \h</w:instrText>
            </w:r>
            <w:r>
              <w:rPr>
                <w:webHidden/>
              </w:rPr>
              <w:fldChar w:fldCharType="separate"/>
            </w:r>
            <w:r>
              <w:rPr>
                <w:rStyle w:val="IndexLink"/>
                <w:vanish w:val="false"/>
              </w:rPr>
              <w:tab/>
              <w:t>81</w:t>
            </w:r>
            <w:r>
              <w:rPr>
                <w:webHidden/>
              </w:rPr>
              <w:fldChar w:fldCharType="end"/>
            </w:r>
          </w:hyperlink>
        </w:p>
        <w:p>
          <w:pPr>
            <w:pStyle w:val="TOC2"/>
            <w:tabs>
              <w:tab w:val="clear" w:pos="708"/>
              <w:tab w:val="left" w:pos="800" w:leader="none"/>
              <w:tab w:val="right" w:pos="9061" w:leader="dot"/>
            </w:tabs>
            <w:rPr>
              <w:rFonts w:ascii="Calibri" w:hAnsi="Calibri" w:eastAsia="" w:asciiTheme="minorHAnsi" w:eastAsiaTheme="minorEastAsia" w:hAnsiTheme="minorHAnsi"/>
              <w:i w:val="false"/>
              <w:i w:val="false"/>
              <w:iCs w:val="false"/>
              <w:kern w:val="2"/>
              <w:sz w:val="24"/>
              <w:szCs w:val="24"/>
              <w:lang w:eastAsia="cs-CZ"/>
              <w14:ligatures w14:val="standardContextual"/>
            </w:rPr>
          </w:pPr>
          <w:hyperlink w:anchor="_Toc229057889">
            <w:r>
              <w:rPr>
                <w:webHidden/>
                <w:rStyle w:val="IndexLink"/>
                <w:vanish w:val="false"/>
              </w:rPr>
              <w:t>8.3</w:t>
            </w:r>
            <w:r>
              <w:rPr>
                <w:rStyle w:val="IndexLink"/>
                <w:rFonts w:eastAsia="" w:ascii="Calibri" w:hAnsi="Calibri" w:asciiTheme="minorHAnsi" w:eastAsiaTheme="minorEastAsia" w:hAnsiTheme="minorHAnsi"/>
                <w:i w:val="false"/>
                <w:iCs w:val="false"/>
                <w:kern w:val="2"/>
                <w:sz w:val="24"/>
                <w:szCs w:val="24"/>
                <w:lang w:eastAsia="cs-CZ"/>
                <w14:ligatures w14:val="standardContextual"/>
              </w:rPr>
              <w:tab/>
            </w:r>
            <w:r>
              <w:rPr>
                <w:rStyle w:val="IndexLink"/>
              </w:rPr>
              <w:t>Vymezení souvisejících trhů</w:t>
            </w:r>
            <w:r>
              <w:rPr>
                <w:webHidden/>
              </w:rPr>
              <w:fldChar w:fldCharType="begin"/>
            </w:r>
            <w:r>
              <w:rPr>
                <w:webHidden/>
              </w:rPr>
              <w:instrText xml:space="preserve">PAGEREF _Toc229057889 \h</w:instrText>
            </w:r>
            <w:r>
              <w:rPr>
                <w:webHidden/>
              </w:rPr>
              <w:fldChar w:fldCharType="separate"/>
            </w:r>
            <w:r>
              <w:rPr>
                <w:rStyle w:val="IndexLink"/>
                <w:vanish w:val="false"/>
              </w:rPr>
              <w:tab/>
              <w:t>81</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890">
            <w:r>
              <w:rPr>
                <w:webHidden/>
                <w:rStyle w:val="IndexLink"/>
                <w:vanish w:val="false"/>
              </w:rPr>
              <w:t>8.3.1</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Související šetřené statky</w:t>
            </w:r>
            <w:r>
              <w:rPr>
                <w:webHidden/>
              </w:rPr>
              <w:fldChar w:fldCharType="begin"/>
            </w:r>
            <w:r>
              <w:rPr>
                <w:webHidden/>
              </w:rPr>
              <w:instrText xml:space="preserve">PAGEREF _Toc229057890 \h</w:instrText>
            </w:r>
            <w:r>
              <w:rPr>
                <w:webHidden/>
              </w:rPr>
              <w:fldChar w:fldCharType="separate"/>
            </w:r>
            <w:r>
              <w:rPr>
                <w:rStyle w:val="IndexLink"/>
                <w:vanish w:val="false"/>
              </w:rPr>
              <w:tab/>
              <w:t>81</w:t>
            </w:r>
            <w:r>
              <w:rPr>
                <w:webHidden/>
              </w:rPr>
              <w:fldChar w:fldCharType="end"/>
            </w:r>
          </w:hyperlink>
        </w:p>
        <w:p>
          <w:pPr>
            <w:pStyle w:val="TOC2"/>
            <w:tabs>
              <w:tab w:val="clear" w:pos="708"/>
              <w:tab w:val="left" w:pos="800" w:leader="none"/>
              <w:tab w:val="right" w:pos="9061" w:leader="dot"/>
            </w:tabs>
            <w:rPr>
              <w:rFonts w:ascii="Calibri" w:hAnsi="Calibri" w:eastAsia="" w:asciiTheme="minorHAnsi" w:eastAsiaTheme="minorEastAsia" w:hAnsiTheme="minorHAnsi"/>
              <w:i w:val="false"/>
              <w:i w:val="false"/>
              <w:iCs w:val="false"/>
              <w:kern w:val="2"/>
              <w:sz w:val="24"/>
              <w:szCs w:val="24"/>
              <w:lang w:eastAsia="cs-CZ"/>
              <w14:ligatures w14:val="standardContextual"/>
            </w:rPr>
          </w:pPr>
          <w:hyperlink w:anchor="_Toc229057891">
            <w:r>
              <w:rPr>
                <w:webHidden/>
                <w:rStyle w:val="IndexLink"/>
                <w:vanish w:val="false"/>
              </w:rPr>
              <w:t>8.4</w:t>
            </w:r>
            <w:r>
              <w:rPr>
                <w:rStyle w:val="IndexLink"/>
                <w:rFonts w:eastAsia="" w:ascii="Calibri" w:hAnsi="Calibri" w:asciiTheme="minorHAnsi" w:eastAsiaTheme="minorEastAsia" w:hAnsiTheme="minorHAnsi"/>
                <w:i w:val="false"/>
                <w:iCs w:val="false"/>
                <w:kern w:val="2"/>
                <w:sz w:val="24"/>
                <w:szCs w:val="24"/>
                <w:lang w:eastAsia="cs-CZ"/>
                <w14:ligatures w14:val="standardContextual"/>
              </w:rPr>
              <w:tab/>
            </w:r>
            <w:r>
              <w:rPr>
                <w:rStyle w:val="IndexLink"/>
              </w:rPr>
              <w:t>Tržní subjekty</w:t>
            </w:r>
            <w:r>
              <w:rPr>
                <w:webHidden/>
              </w:rPr>
              <w:fldChar w:fldCharType="begin"/>
            </w:r>
            <w:r>
              <w:rPr>
                <w:webHidden/>
              </w:rPr>
              <w:instrText xml:space="preserve">PAGEREF _Toc229057891 \h</w:instrText>
            </w:r>
            <w:r>
              <w:rPr>
                <w:webHidden/>
              </w:rPr>
              <w:fldChar w:fldCharType="separate"/>
            </w:r>
            <w:r>
              <w:rPr>
                <w:rStyle w:val="IndexLink"/>
                <w:vanish w:val="false"/>
              </w:rPr>
              <w:tab/>
              <w:t>81</w:t>
            </w:r>
            <w:r>
              <w:rPr>
                <w:webHidden/>
              </w:rPr>
              <w:fldChar w:fldCharType="end"/>
            </w:r>
          </w:hyperlink>
        </w:p>
        <w:p>
          <w:pPr>
            <w:pStyle w:val="TOC2"/>
            <w:tabs>
              <w:tab w:val="clear" w:pos="708"/>
              <w:tab w:val="left" w:pos="800" w:leader="none"/>
              <w:tab w:val="right" w:pos="9061" w:leader="dot"/>
            </w:tabs>
            <w:rPr>
              <w:rFonts w:ascii="Calibri" w:hAnsi="Calibri" w:eastAsia="" w:asciiTheme="minorHAnsi" w:eastAsiaTheme="minorEastAsia" w:hAnsiTheme="minorHAnsi"/>
              <w:i w:val="false"/>
              <w:i w:val="false"/>
              <w:iCs w:val="false"/>
              <w:kern w:val="2"/>
              <w:sz w:val="24"/>
              <w:szCs w:val="24"/>
              <w:lang w:eastAsia="cs-CZ"/>
              <w14:ligatures w14:val="standardContextual"/>
            </w:rPr>
          </w:pPr>
          <w:hyperlink w:anchor="_Toc229057892">
            <w:r>
              <w:rPr>
                <w:webHidden/>
                <w:rStyle w:val="IndexLink"/>
                <w:vanish w:val="false"/>
              </w:rPr>
              <w:t>8.5</w:t>
            </w:r>
            <w:r>
              <w:rPr>
                <w:rStyle w:val="IndexLink"/>
                <w:rFonts w:eastAsia="" w:ascii="Calibri" w:hAnsi="Calibri" w:asciiTheme="minorHAnsi" w:eastAsiaTheme="minorEastAsia" w:hAnsiTheme="minorHAnsi"/>
                <w:i w:val="false"/>
                <w:iCs w:val="false"/>
                <w:kern w:val="2"/>
                <w:sz w:val="24"/>
                <w:szCs w:val="24"/>
                <w:lang w:eastAsia="cs-CZ"/>
                <w14:ligatures w14:val="standardContextual"/>
              </w:rPr>
              <w:tab/>
            </w:r>
            <w:r>
              <w:rPr>
                <w:rStyle w:val="IndexLink"/>
              </w:rPr>
              <w:t>Návaznost šetřených trhů</w:t>
            </w:r>
            <w:r>
              <w:rPr>
                <w:webHidden/>
              </w:rPr>
              <w:fldChar w:fldCharType="begin"/>
            </w:r>
            <w:r>
              <w:rPr>
                <w:webHidden/>
              </w:rPr>
              <w:instrText xml:space="preserve">PAGEREF _Toc229057892 \h</w:instrText>
            </w:r>
            <w:r>
              <w:rPr>
                <w:webHidden/>
              </w:rPr>
              <w:fldChar w:fldCharType="separate"/>
            </w:r>
            <w:r>
              <w:rPr>
                <w:rStyle w:val="IndexLink"/>
                <w:vanish w:val="false"/>
              </w:rPr>
              <w:tab/>
              <w:t>81</w:t>
            </w:r>
            <w:r>
              <w:rPr>
                <w:webHidden/>
              </w:rPr>
              <w:fldChar w:fldCharType="end"/>
            </w:r>
          </w:hyperlink>
        </w:p>
        <w:p>
          <w:pPr>
            <w:pStyle w:val="TOC1"/>
            <w:tabs>
              <w:tab w:val="clear" w:pos="708"/>
              <w:tab w:val="left" w:pos="400" w:leader="none"/>
              <w:tab w:val="right" w:pos="9061" w:leader="dot"/>
            </w:tabs>
            <w:rPr>
              <w:rFonts w:ascii="Calibri" w:hAnsi="Calibri" w:eastAsia="" w:asciiTheme="minorHAnsi" w:eastAsiaTheme="minorEastAsia" w:hAnsiTheme="minorHAnsi"/>
              <w:b w:val="false"/>
              <w:bCs w:val="false"/>
              <w:kern w:val="2"/>
              <w:sz w:val="24"/>
              <w:szCs w:val="24"/>
              <w:lang w:eastAsia="cs-CZ"/>
              <w14:ligatures w14:val="standardContextual"/>
            </w:rPr>
          </w:pPr>
          <w:hyperlink w:anchor="_Toc229057893">
            <w:r>
              <w:rPr>
                <w:webHidden/>
                <w:rStyle w:val="IndexLink"/>
                <w:vanish w:val="false"/>
              </w:rPr>
              <w:t>9</w:t>
            </w:r>
            <w:r>
              <w:rPr>
                <w:rStyle w:val="IndexLink"/>
                <w:rFonts w:eastAsia="" w:ascii="Calibri" w:hAnsi="Calibri" w:asciiTheme="minorHAnsi" w:eastAsiaTheme="minorEastAsia" w:hAnsiTheme="minorHAnsi"/>
                <w:b w:val="false"/>
                <w:bCs w:val="false"/>
                <w:kern w:val="2"/>
                <w:sz w:val="24"/>
                <w:szCs w:val="24"/>
                <w:lang w:eastAsia="cs-CZ"/>
                <w14:ligatures w14:val="standardContextual"/>
              </w:rPr>
              <w:tab/>
            </w:r>
            <w:r>
              <w:rPr>
                <w:rStyle w:val="IndexLink"/>
              </w:rPr>
              <w:t>Trh A</w:t>
            </w:r>
            <w:r>
              <w:rPr>
                <w:webHidden/>
              </w:rPr>
              <w:fldChar w:fldCharType="begin"/>
            </w:r>
            <w:r>
              <w:rPr>
                <w:webHidden/>
              </w:rPr>
              <w:instrText xml:space="preserve">PAGEREF _Toc229057893 \h</w:instrText>
            </w:r>
            <w:r>
              <w:rPr>
                <w:webHidden/>
              </w:rPr>
              <w:fldChar w:fldCharType="separate"/>
            </w:r>
            <w:r>
              <w:rPr>
                <w:rStyle w:val="IndexLink"/>
                <w:vanish w:val="false"/>
              </w:rPr>
              <w:tab/>
              <w:t>82</w:t>
            </w:r>
            <w:r>
              <w:rPr>
                <w:webHidden/>
              </w:rPr>
              <w:fldChar w:fldCharType="end"/>
            </w:r>
          </w:hyperlink>
        </w:p>
        <w:p>
          <w:pPr>
            <w:pStyle w:val="TOC2"/>
            <w:tabs>
              <w:tab w:val="clear" w:pos="708"/>
              <w:tab w:val="left" w:pos="800" w:leader="none"/>
              <w:tab w:val="right" w:pos="9061" w:leader="dot"/>
            </w:tabs>
            <w:rPr>
              <w:rFonts w:ascii="Calibri" w:hAnsi="Calibri" w:eastAsia="" w:asciiTheme="minorHAnsi" w:eastAsiaTheme="minorEastAsia" w:hAnsiTheme="minorHAnsi"/>
              <w:i w:val="false"/>
              <w:i w:val="false"/>
              <w:iCs w:val="false"/>
              <w:kern w:val="2"/>
              <w:sz w:val="24"/>
              <w:szCs w:val="24"/>
              <w:lang w:eastAsia="cs-CZ"/>
              <w14:ligatures w14:val="standardContextual"/>
            </w:rPr>
          </w:pPr>
          <w:hyperlink w:anchor="_Toc229057894">
            <w:r>
              <w:rPr>
                <w:webHidden/>
                <w:rStyle w:val="IndexLink"/>
                <w:vanish w:val="false"/>
              </w:rPr>
              <w:t>9.1</w:t>
            </w:r>
            <w:r>
              <w:rPr>
                <w:rStyle w:val="IndexLink"/>
                <w:rFonts w:eastAsia="" w:ascii="Calibri" w:hAnsi="Calibri" w:asciiTheme="minorHAnsi" w:eastAsiaTheme="minorEastAsia" w:hAnsiTheme="minorHAnsi"/>
                <w:i w:val="false"/>
                <w:iCs w:val="false"/>
                <w:kern w:val="2"/>
                <w:sz w:val="24"/>
                <w:szCs w:val="24"/>
                <w:lang w:eastAsia="cs-CZ"/>
                <w14:ligatures w14:val="standardContextual"/>
              </w:rPr>
              <w:tab/>
            </w:r>
            <w:r>
              <w:rPr>
                <w:rStyle w:val="IndexLink"/>
              </w:rPr>
              <w:t>Naplnění předpokladů fungování tržního mechanismu</w:t>
            </w:r>
            <w:r>
              <w:rPr>
                <w:webHidden/>
              </w:rPr>
              <w:fldChar w:fldCharType="begin"/>
            </w:r>
            <w:r>
              <w:rPr>
                <w:webHidden/>
              </w:rPr>
              <w:instrText xml:space="preserve">PAGEREF _Toc229057894 \h</w:instrText>
            </w:r>
            <w:r>
              <w:rPr>
                <w:webHidden/>
              </w:rPr>
              <w:fldChar w:fldCharType="separate"/>
            </w:r>
            <w:r>
              <w:rPr>
                <w:rStyle w:val="IndexLink"/>
                <w:vanish w:val="false"/>
              </w:rPr>
              <w:tab/>
              <w:t>82</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895">
            <w:r>
              <w:rPr>
                <w:webHidden/>
                <w:rStyle w:val="IndexLink"/>
                <w:vanish w:val="false"/>
              </w:rPr>
              <w:t>9.1.1</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Cenová liberalizace</w:t>
            </w:r>
            <w:r>
              <w:rPr>
                <w:webHidden/>
              </w:rPr>
              <w:fldChar w:fldCharType="begin"/>
            </w:r>
            <w:r>
              <w:rPr>
                <w:webHidden/>
              </w:rPr>
              <w:instrText xml:space="preserve">PAGEREF _Toc229057895 \h</w:instrText>
            </w:r>
            <w:r>
              <w:rPr>
                <w:webHidden/>
              </w:rPr>
              <w:fldChar w:fldCharType="separate"/>
            </w:r>
            <w:r>
              <w:rPr>
                <w:rStyle w:val="IndexLink"/>
                <w:vanish w:val="false"/>
              </w:rPr>
              <w:tab/>
              <w:t>82</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896">
            <w:r>
              <w:rPr>
                <w:webHidden/>
                <w:rStyle w:val="IndexLink"/>
                <w:vanish w:val="false"/>
              </w:rPr>
              <w:t>9.1.2</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Vlastnická suverenita</w:t>
            </w:r>
            <w:r>
              <w:rPr>
                <w:webHidden/>
              </w:rPr>
              <w:fldChar w:fldCharType="begin"/>
            </w:r>
            <w:r>
              <w:rPr>
                <w:webHidden/>
              </w:rPr>
              <w:instrText xml:space="preserve">PAGEREF _Toc229057896 \h</w:instrText>
            </w:r>
            <w:r>
              <w:rPr>
                <w:webHidden/>
              </w:rPr>
              <w:fldChar w:fldCharType="separate"/>
            </w:r>
            <w:r>
              <w:rPr>
                <w:rStyle w:val="IndexLink"/>
                <w:vanish w:val="false"/>
              </w:rPr>
              <w:tab/>
              <w:t>82</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897">
            <w:r>
              <w:rPr>
                <w:webHidden/>
                <w:rStyle w:val="IndexLink"/>
                <w:vanish w:val="false"/>
              </w:rPr>
              <w:t>9.1.3</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Existence trhu výrobních faktorů</w:t>
            </w:r>
            <w:r>
              <w:rPr>
                <w:webHidden/>
              </w:rPr>
              <w:fldChar w:fldCharType="begin"/>
            </w:r>
            <w:r>
              <w:rPr>
                <w:webHidden/>
              </w:rPr>
              <w:instrText xml:space="preserve">PAGEREF _Toc229057897 \h</w:instrText>
            </w:r>
            <w:r>
              <w:rPr>
                <w:webHidden/>
              </w:rPr>
              <w:fldChar w:fldCharType="separate"/>
            </w:r>
            <w:r>
              <w:rPr>
                <w:rStyle w:val="IndexLink"/>
                <w:vanish w:val="false"/>
              </w:rPr>
              <w:tab/>
              <w:t>82</w:t>
            </w:r>
            <w:r>
              <w:rPr>
                <w:webHidden/>
              </w:rPr>
              <w:fldChar w:fldCharType="end"/>
            </w:r>
          </w:hyperlink>
        </w:p>
        <w:p>
          <w:pPr>
            <w:pStyle w:val="TOC2"/>
            <w:tabs>
              <w:tab w:val="clear" w:pos="708"/>
              <w:tab w:val="left" w:pos="800" w:leader="none"/>
              <w:tab w:val="right" w:pos="9061" w:leader="dot"/>
            </w:tabs>
            <w:rPr>
              <w:rFonts w:ascii="Calibri" w:hAnsi="Calibri" w:eastAsia="" w:asciiTheme="minorHAnsi" w:eastAsiaTheme="minorEastAsia" w:hAnsiTheme="minorHAnsi"/>
              <w:i w:val="false"/>
              <w:i w:val="false"/>
              <w:iCs w:val="false"/>
              <w:kern w:val="2"/>
              <w:sz w:val="24"/>
              <w:szCs w:val="24"/>
              <w:lang w:eastAsia="cs-CZ"/>
              <w14:ligatures w14:val="standardContextual"/>
            </w:rPr>
          </w:pPr>
          <w:hyperlink w:anchor="_Toc229057898">
            <w:r>
              <w:rPr>
                <w:webHidden/>
                <w:rStyle w:val="IndexLink"/>
                <w:vanish w:val="false"/>
              </w:rPr>
              <w:t>9.2</w:t>
            </w:r>
            <w:r>
              <w:rPr>
                <w:rStyle w:val="IndexLink"/>
                <w:rFonts w:eastAsia="" w:ascii="Calibri" w:hAnsi="Calibri" w:asciiTheme="minorHAnsi" w:eastAsiaTheme="minorEastAsia" w:hAnsiTheme="minorHAnsi"/>
                <w:i w:val="false"/>
                <w:iCs w:val="false"/>
                <w:kern w:val="2"/>
                <w:sz w:val="24"/>
                <w:szCs w:val="24"/>
                <w:lang w:eastAsia="cs-CZ"/>
                <w14:ligatures w14:val="standardContextual"/>
              </w:rPr>
              <w:tab/>
            </w:r>
            <w:r>
              <w:rPr>
                <w:rStyle w:val="IndexLink"/>
              </w:rPr>
              <w:t>Přítomnost tržních selhání</w:t>
            </w:r>
            <w:r>
              <w:rPr>
                <w:webHidden/>
              </w:rPr>
              <w:fldChar w:fldCharType="begin"/>
            </w:r>
            <w:r>
              <w:rPr>
                <w:webHidden/>
              </w:rPr>
              <w:instrText xml:space="preserve">PAGEREF _Toc229057898 \h</w:instrText>
            </w:r>
            <w:r>
              <w:rPr>
                <w:webHidden/>
              </w:rPr>
              <w:fldChar w:fldCharType="separate"/>
            </w:r>
            <w:r>
              <w:rPr>
                <w:rStyle w:val="IndexLink"/>
                <w:vanish w:val="false"/>
              </w:rPr>
              <w:tab/>
              <w:t>82</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899">
            <w:r>
              <w:rPr>
                <w:webHidden/>
                <w:rStyle w:val="IndexLink"/>
                <w:vanish w:val="false"/>
              </w:rPr>
              <w:t>9.2.1</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Externality</w:t>
            </w:r>
            <w:r>
              <w:rPr>
                <w:webHidden/>
              </w:rPr>
              <w:fldChar w:fldCharType="begin"/>
            </w:r>
            <w:r>
              <w:rPr>
                <w:webHidden/>
              </w:rPr>
              <w:instrText xml:space="preserve">PAGEREF _Toc229057899 \h</w:instrText>
            </w:r>
            <w:r>
              <w:rPr>
                <w:webHidden/>
              </w:rPr>
              <w:fldChar w:fldCharType="separate"/>
            </w:r>
            <w:r>
              <w:rPr>
                <w:rStyle w:val="IndexLink"/>
                <w:vanish w:val="false"/>
              </w:rPr>
              <w:tab/>
              <w:t>82</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900">
            <w:r>
              <w:rPr>
                <w:webHidden/>
                <w:rStyle w:val="IndexLink"/>
                <w:vanish w:val="false"/>
              </w:rPr>
              <w:t>9.2.2</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Veřejné statky</w:t>
            </w:r>
            <w:r>
              <w:rPr>
                <w:webHidden/>
              </w:rPr>
              <w:fldChar w:fldCharType="begin"/>
            </w:r>
            <w:r>
              <w:rPr>
                <w:webHidden/>
              </w:rPr>
              <w:instrText xml:space="preserve">PAGEREF _Toc229057900 \h</w:instrText>
            </w:r>
            <w:r>
              <w:rPr>
                <w:webHidden/>
              </w:rPr>
              <w:fldChar w:fldCharType="separate"/>
            </w:r>
            <w:r>
              <w:rPr>
                <w:rStyle w:val="IndexLink"/>
                <w:vanish w:val="false"/>
              </w:rPr>
              <w:tab/>
              <w:t>82</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901">
            <w:r>
              <w:rPr>
                <w:webHidden/>
                <w:rStyle w:val="IndexLink"/>
                <w:vanish w:val="false"/>
              </w:rPr>
              <w:t>9.2.3</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Asymetrie informací</w:t>
            </w:r>
            <w:r>
              <w:rPr>
                <w:webHidden/>
              </w:rPr>
              <w:fldChar w:fldCharType="begin"/>
            </w:r>
            <w:r>
              <w:rPr>
                <w:webHidden/>
              </w:rPr>
              <w:instrText xml:space="preserve">PAGEREF _Toc229057901 \h</w:instrText>
            </w:r>
            <w:r>
              <w:rPr>
                <w:webHidden/>
              </w:rPr>
              <w:fldChar w:fldCharType="separate"/>
            </w:r>
            <w:r>
              <w:rPr>
                <w:rStyle w:val="IndexLink"/>
                <w:vanish w:val="false"/>
              </w:rPr>
              <w:tab/>
              <w:t>83</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902">
            <w:r>
              <w:rPr>
                <w:webHidden/>
                <w:rStyle w:val="IndexLink"/>
                <w:vanish w:val="false"/>
              </w:rPr>
              <w:t>9.2.4</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Vládní selhání</w:t>
            </w:r>
            <w:r>
              <w:rPr>
                <w:webHidden/>
              </w:rPr>
              <w:fldChar w:fldCharType="begin"/>
            </w:r>
            <w:r>
              <w:rPr>
                <w:webHidden/>
              </w:rPr>
              <w:instrText xml:space="preserve">PAGEREF _Toc229057902 \h</w:instrText>
            </w:r>
            <w:r>
              <w:rPr>
                <w:webHidden/>
              </w:rPr>
              <w:fldChar w:fldCharType="separate"/>
            </w:r>
            <w:r>
              <w:rPr>
                <w:rStyle w:val="IndexLink"/>
                <w:vanish w:val="false"/>
              </w:rPr>
              <w:tab/>
              <w:t>83</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903">
            <w:r>
              <w:rPr>
                <w:webHidden/>
                <w:rStyle w:val="IndexLink"/>
                <w:vanish w:val="false"/>
              </w:rPr>
              <w:t>9.2.5</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Nedokonalá konkurence</w:t>
            </w:r>
            <w:r>
              <w:rPr>
                <w:webHidden/>
              </w:rPr>
              <w:fldChar w:fldCharType="begin"/>
            </w:r>
            <w:r>
              <w:rPr>
                <w:webHidden/>
              </w:rPr>
              <w:instrText xml:space="preserve">PAGEREF _Toc229057903 \h</w:instrText>
            </w:r>
            <w:r>
              <w:rPr>
                <w:webHidden/>
              </w:rPr>
              <w:fldChar w:fldCharType="separate"/>
            </w:r>
            <w:r>
              <w:rPr>
                <w:rStyle w:val="IndexLink"/>
                <w:vanish w:val="false"/>
              </w:rPr>
              <w:tab/>
              <w:t>83</w:t>
            </w:r>
            <w:r>
              <w:rPr>
                <w:webHidden/>
              </w:rPr>
              <w:fldChar w:fldCharType="end"/>
            </w:r>
          </w:hyperlink>
        </w:p>
        <w:p>
          <w:pPr>
            <w:pStyle w:val="TOC2"/>
            <w:tabs>
              <w:tab w:val="clear" w:pos="708"/>
              <w:tab w:val="left" w:pos="800" w:leader="none"/>
              <w:tab w:val="right" w:pos="9061" w:leader="dot"/>
            </w:tabs>
            <w:rPr>
              <w:rFonts w:ascii="Calibri" w:hAnsi="Calibri" w:eastAsia="" w:asciiTheme="minorHAnsi" w:eastAsiaTheme="minorEastAsia" w:hAnsiTheme="minorHAnsi"/>
              <w:i w:val="false"/>
              <w:i w:val="false"/>
              <w:iCs w:val="false"/>
              <w:kern w:val="2"/>
              <w:sz w:val="24"/>
              <w:szCs w:val="24"/>
              <w:lang w:eastAsia="cs-CZ"/>
              <w14:ligatures w14:val="standardContextual"/>
            </w:rPr>
          </w:pPr>
          <w:hyperlink w:anchor="_Toc229057904">
            <w:r>
              <w:rPr>
                <w:webHidden/>
                <w:rStyle w:val="IndexLink"/>
                <w:vanish w:val="false"/>
              </w:rPr>
              <w:t>9.3</w:t>
            </w:r>
            <w:r>
              <w:rPr>
                <w:rStyle w:val="IndexLink"/>
                <w:rFonts w:eastAsia="" w:ascii="Calibri" w:hAnsi="Calibri" w:asciiTheme="minorHAnsi" w:eastAsiaTheme="minorEastAsia" w:hAnsiTheme="minorHAnsi"/>
                <w:i w:val="false"/>
                <w:iCs w:val="false"/>
                <w:kern w:val="2"/>
                <w:sz w:val="24"/>
                <w:szCs w:val="24"/>
                <w:lang w:eastAsia="cs-CZ"/>
                <w14:ligatures w14:val="standardContextual"/>
              </w:rPr>
              <w:tab/>
            </w:r>
            <w:r>
              <w:rPr>
                <w:rStyle w:val="IndexLink"/>
              </w:rPr>
              <w:t>Nedokonale konkurenční tržní struktura</w:t>
            </w:r>
            <w:r>
              <w:rPr>
                <w:webHidden/>
              </w:rPr>
              <w:fldChar w:fldCharType="begin"/>
            </w:r>
            <w:r>
              <w:rPr>
                <w:webHidden/>
              </w:rPr>
              <w:instrText xml:space="preserve">PAGEREF _Toc229057904 \h</w:instrText>
            </w:r>
            <w:r>
              <w:rPr>
                <w:webHidden/>
              </w:rPr>
              <w:fldChar w:fldCharType="separate"/>
            </w:r>
            <w:r>
              <w:rPr>
                <w:rStyle w:val="IndexLink"/>
                <w:vanish w:val="false"/>
              </w:rPr>
              <w:tab/>
              <w:t>83</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905">
            <w:r>
              <w:rPr>
                <w:webHidden/>
                <w:rStyle w:val="IndexLink"/>
                <w:vanish w:val="false"/>
              </w:rPr>
              <w:t>9.3.1</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Tržní síla</w:t>
            </w:r>
            <w:r>
              <w:rPr>
                <w:webHidden/>
              </w:rPr>
              <w:fldChar w:fldCharType="begin"/>
            </w:r>
            <w:r>
              <w:rPr>
                <w:webHidden/>
              </w:rPr>
              <w:instrText xml:space="preserve">PAGEREF _Toc229057905 \h</w:instrText>
            </w:r>
            <w:r>
              <w:rPr>
                <w:webHidden/>
              </w:rPr>
              <w:fldChar w:fldCharType="separate"/>
            </w:r>
            <w:r>
              <w:rPr>
                <w:rStyle w:val="IndexLink"/>
                <w:vanish w:val="false"/>
              </w:rPr>
              <w:tab/>
              <w:t>83</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906">
            <w:r>
              <w:rPr>
                <w:webHidden/>
                <w:rStyle w:val="IndexLink"/>
                <w:vanish w:val="false"/>
              </w:rPr>
              <w:t>9.3.2</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Tržní struktura a její stabilita</w:t>
            </w:r>
            <w:r>
              <w:rPr>
                <w:webHidden/>
              </w:rPr>
              <w:fldChar w:fldCharType="begin"/>
            </w:r>
            <w:r>
              <w:rPr>
                <w:webHidden/>
              </w:rPr>
              <w:instrText xml:space="preserve">PAGEREF _Toc229057906 \h</w:instrText>
            </w:r>
            <w:r>
              <w:rPr>
                <w:webHidden/>
              </w:rPr>
              <w:fldChar w:fldCharType="separate"/>
            </w:r>
            <w:r>
              <w:rPr>
                <w:rStyle w:val="IndexLink"/>
                <w:vanish w:val="false"/>
              </w:rPr>
              <w:tab/>
              <w:t>83</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907">
            <w:r>
              <w:rPr>
                <w:webHidden/>
                <w:rStyle w:val="IndexLink"/>
                <w:vanish w:val="false"/>
              </w:rPr>
              <w:t>9.3.3</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Bariéry vstupu</w:t>
            </w:r>
            <w:r>
              <w:rPr>
                <w:webHidden/>
              </w:rPr>
              <w:fldChar w:fldCharType="begin"/>
            </w:r>
            <w:r>
              <w:rPr>
                <w:webHidden/>
              </w:rPr>
              <w:instrText xml:space="preserve">PAGEREF _Toc229057907 \h</w:instrText>
            </w:r>
            <w:r>
              <w:rPr>
                <w:webHidden/>
              </w:rPr>
              <w:fldChar w:fldCharType="separate"/>
            </w:r>
            <w:r>
              <w:rPr>
                <w:rStyle w:val="IndexLink"/>
                <w:vanish w:val="false"/>
              </w:rPr>
              <w:tab/>
              <w:t>83</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908">
            <w:r>
              <w:rPr>
                <w:webHidden/>
                <w:rStyle w:val="IndexLink"/>
                <w:vanish w:val="false"/>
              </w:rPr>
              <w:t>9.3.4</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Vertikální a horizontální integrace</w:t>
            </w:r>
            <w:r>
              <w:rPr>
                <w:webHidden/>
              </w:rPr>
              <w:fldChar w:fldCharType="begin"/>
            </w:r>
            <w:r>
              <w:rPr>
                <w:webHidden/>
              </w:rPr>
              <w:instrText xml:space="preserve">PAGEREF _Toc229057908 \h</w:instrText>
            </w:r>
            <w:r>
              <w:rPr>
                <w:webHidden/>
              </w:rPr>
              <w:fldChar w:fldCharType="separate"/>
            </w:r>
            <w:r>
              <w:rPr>
                <w:rStyle w:val="IndexLink"/>
                <w:vanish w:val="false"/>
              </w:rPr>
              <w:tab/>
              <w:t>84</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909">
            <w:r>
              <w:rPr>
                <w:webHidden/>
                <w:rStyle w:val="IndexLink"/>
                <w:vanish w:val="false"/>
              </w:rPr>
              <w:t>9.3.5</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Margin squeeze</w:t>
            </w:r>
            <w:r>
              <w:rPr>
                <w:webHidden/>
              </w:rPr>
              <w:fldChar w:fldCharType="begin"/>
            </w:r>
            <w:r>
              <w:rPr>
                <w:webHidden/>
              </w:rPr>
              <w:instrText xml:space="preserve">PAGEREF _Toc229057909 \h</w:instrText>
            </w:r>
            <w:r>
              <w:rPr>
                <w:webHidden/>
              </w:rPr>
              <w:fldChar w:fldCharType="separate"/>
            </w:r>
            <w:r>
              <w:rPr>
                <w:rStyle w:val="IndexLink"/>
                <w:vanish w:val="false"/>
              </w:rPr>
              <w:tab/>
              <w:t>84</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910">
            <w:r>
              <w:rPr>
                <w:webHidden/>
                <w:rStyle w:val="IndexLink"/>
                <w:vanish w:val="false"/>
              </w:rPr>
              <w:t>9.3.6</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Vynucování nepřiměřených nebo rozdílných podmínek</w:t>
            </w:r>
            <w:r>
              <w:rPr>
                <w:webHidden/>
              </w:rPr>
              <w:fldChar w:fldCharType="begin"/>
            </w:r>
            <w:r>
              <w:rPr>
                <w:webHidden/>
              </w:rPr>
              <w:instrText xml:space="preserve">PAGEREF _Toc229057910 \h</w:instrText>
            </w:r>
            <w:r>
              <w:rPr>
                <w:webHidden/>
              </w:rPr>
              <w:fldChar w:fldCharType="separate"/>
            </w:r>
            <w:r>
              <w:rPr>
                <w:rStyle w:val="IndexLink"/>
                <w:vanish w:val="false"/>
              </w:rPr>
              <w:tab/>
              <w:t>84</w:t>
            </w:r>
            <w:r>
              <w:rPr>
                <w:webHidden/>
              </w:rPr>
              <w:fldChar w:fldCharType="end"/>
            </w:r>
          </w:hyperlink>
        </w:p>
        <w:p>
          <w:pPr>
            <w:pStyle w:val="TOC2"/>
            <w:tabs>
              <w:tab w:val="clear" w:pos="708"/>
              <w:tab w:val="left" w:pos="800" w:leader="none"/>
              <w:tab w:val="right" w:pos="9061" w:leader="dot"/>
            </w:tabs>
            <w:rPr>
              <w:rFonts w:ascii="Calibri" w:hAnsi="Calibri" w:eastAsia="" w:asciiTheme="minorHAnsi" w:eastAsiaTheme="minorEastAsia" w:hAnsiTheme="minorHAnsi"/>
              <w:i w:val="false"/>
              <w:i w:val="false"/>
              <w:iCs w:val="false"/>
              <w:kern w:val="2"/>
              <w:sz w:val="24"/>
              <w:szCs w:val="24"/>
              <w:lang w:eastAsia="cs-CZ"/>
              <w14:ligatures w14:val="standardContextual"/>
            </w:rPr>
          </w:pPr>
          <w:hyperlink w:anchor="_Toc229057911">
            <w:r>
              <w:rPr>
                <w:webHidden/>
                <w:rStyle w:val="IndexLink"/>
                <w:vanish w:val="false"/>
              </w:rPr>
              <w:t>9.4</w:t>
            </w:r>
            <w:r>
              <w:rPr>
                <w:rStyle w:val="IndexLink"/>
                <w:rFonts w:eastAsia="" w:ascii="Calibri" w:hAnsi="Calibri" w:asciiTheme="minorHAnsi" w:eastAsiaTheme="minorEastAsia" w:hAnsiTheme="minorHAnsi"/>
                <w:i w:val="false"/>
                <w:iCs w:val="false"/>
                <w:kern w:val="2"/>
                <w:sz w:val="24"/>
                <w:szCs w:val="24"/>
                <w:lang w:eastAsia="cs-CZ"/>
                <w14:ligatures w14:val="standardContextual"/>
              </w:rPr>
              <w:tab/>
            </w:r>
            <w:r>
              <w:rPr>
                <w:rStyle w:val="IndexLink"/>
              </w:rPr>
              <w:t>Shrnutí kapitoly</w:t>
            </w:r>
            <w:r>
              <w:rPr>
                <w:webHidden/>
              </w:rPr>
              <w:fldChar w:fldCharType="begin"/>
            </w:r>
            <w:r>
              <w:rPr>
                <w:webHidden/>
              </w:rPr>
              <w:instrText xml:space="preserve">PAGEREF _Toc229057911 \h</w:instrText>
            </w:r>
            <w:r>
              <w:rPr>
                <w:webHidden/>
              </w:rPr>
              <w:fldChar w:fldCharType="separate"/>
            </w:r>
            <w:r>
              <w:rPr>
                <w:rStyle w:val="IndexLink"/>
                <w:vanish w:val="false"/>
              </w:rPr>
              <w:tab/>
              <w:t>84</w:t>
            </w:r>
            <w:r>
              <w:rPr>
                <w:webHidden/>
              </w:rPr>
              <w:fldChar w:fldCharType="end"/>
            </w:r>
          </w:hyperlink>
        </w:p>
        <w:p>
          <w:pPr>
            <w:pStyle w:val="TOC1"/>
            <w:tabs>
              <w:tab w:val="clear" w:pos="708"/>
              <w:tab w:val="left" w:pos="600" w:leader="none"/>
              <w:tab w:val="right" w:pos="9061" w:leader="dot"/>
            </w:tabs>
            <w:rPr>
              <w:rFonts w:ascii="Calibri" w:hAnsi="Calibri" w:eastAsia="" w:asciiTheme="minorHAnsi" w:eastAsiaTheme="minorEastAsia" w:hAnsiTheme="minorHAnsi"/>
              <w:b w:val="false"/>
              <w:bCs w:val="false"/>
              <w:kern w:val="2"/>
              <w:sz w:val="24"/>
              <w:szCs w:val="24"/>
              <w:lang w:eastAsia="cs-CZ"/>
              <w14:ligatures w14:val="standardContextual"/>
            </w:rPr>
          </w:pPr>
          <w:hyperlink w:anchor="_Toc229057912">
            <w:r>
              <w:rPr>
                <w:webHidden/>
                <w:rStyle w:val="IndexLink"/>
                <w:vanish w:val="false"/>
              </w:rPr>
              <w:t>10</w:t>
            </w:r>
            <w:r>
              <w:rPr>
                <w:rStyle w:val="IndexLink"/>
                <w:rFonts w:eastAsia="" w:ascii="Calibri" w:hAnsi="Calibri" w:asciiTheme="minorHAnsi" w:eastAsiaTheme="minorEastAsia" w:hAnsiTheme="minorHAnsi"/>
                <w:b w:val="false"/>
                <w:bCs w:val="false"/>
                <w:kern w:val="2"/>
                <w:sz w:val="24"/>
                <w:szCs w:val="24"/>
                <w:lang w:eastAsia="cs-CZ"/>
                <w14:ligatures w14:val="standardContextual"/>
              </w:rPr>
              <w:tab/>
            </w:r>
            <w:r>
              <w:rPr>
                <w:rStyle w:val="IndexLink"/>
              </w:rPr>
              <w:t>Trh B</w:t>
            </w:r>
            <w:r>
              <w:rPr>
                <w:webHidden/>
              </w:rPr>
              <w:fldChar w:fldCharType="begin"/>
            </w:r>
            <w:r>
              <w:rPr>
                <w:webHidden/>
              </w:rPr>
              <w:instrText xml:space="preserve">PAGEREF _Toc229057912 \h</w:instrText>
            </w:r>
            <w:r>
              <w:rPr>
                <w:webHidden/>
              </w:rPr>
              <w:fldChar w:fldCharType="separate"/>
            </w:r>
            <w:r>
              <w:rPr>
                <w:rStyle w:val="IndexLink"/>
                <w:vanish w:val="false"/>
              </w:rPr>
              <w:tab/>
              <w:t>85</w:t>
            </w:r>
            <w:r>
              <w:rPr>
                <w:webHidden/>
              </w:rPr>
              <w:fldChar w:fldCharType="end"/>
            </w:r>
          </w:hyperlink>
        </w:p>
        <w:p>
          <w:pPr>
            <w:pStyle w:val="TOC2"/>
            <w:tabs>
              <w:tab w:val="clear" w:pos="708"/>
              <w:tab w:val="left" w:pos="1000" w:leader="none"/>
              <w:tab w:val="right" w:pos="9061" w:leader="dot"/>
            </w:tabs>
            <w:rPr>
              <w:rFonts w:ascii="Calibri" w:hAnsi="Calibri" w:eastAsia="" w:asciiTheme="minorHAnsi" w:eastAsiaTheme="minorEastAsia" w:hAnsiTheme="minorHAnsi"/>
              <w:i w:val="false"/>
              <w:i w:val="false"/>
              <w:iCs w:val="false"/>
              <w:kern w:val="2"/>
              <w:sz w:val="24"/>
              <w:szCs w:val="24"/>
              <w:lang w:eastAsia="cs-CZ"/>
              <w14:ligatures w14:val="standardContextual"/>
            </w:rPr>
          </w:pPr>
          <w:hyperlink w:anchor="_Toc229057913">
            <w:r>
              <w:rPr>
                <w:webHidden/>
                <w:rStyle w:val="IndexLink"/>
                <w:vanish w:val="false"/>
              </w:rPr>
              <w:t>10.1</w:t>
            </w:r>
            <w:r>
              <w:rPr>
                <w:rStyle w:val="IndexLink"/>
                <w:rFonts w:eastAsia="" w:ascii="Calibri" w:hAnsi="Calibri" w:asciiTheme="minorHAnsi" w:eastAsiaTheme="minorEastAsia" w:hAnsiTheme="minorHAnsi"/>
                <w:i w:val="false"/>
                <w:iCs w:val="false"/>
                <w:kern w:val="2"/>
                <w:sz w:val="24"/>
                <w:szCs w:val="24"/>
                <w:lang w:eastAsia="cs-CZ"/>
                <w14:ligatures w14:val="standardContextual"/>
              </w:rPr>
              <w:tab/>
            </w:r>
            <w:r>
              <w:rPr>
                <w:rStyle w:val="IndexLink"/>
              </w:rPr>
              <w:t>Naplnění předpokladů fungování tržního mechanizmu</w:t>
            </w:r>
            <w:r>
              <w:rPr>
                <w:webHidden/>
              </w:rPr>
              <w:fldChar w:fldCharType="begin"/>
            </w:r>
            <w:r>
              <w:rPr>
                <w:webHidden/>
              </w:rPr>
              <w:instrText xml:space="preserve">PAGEREF _Toc229057913 \h</w:instrText>
            </w:r>
            <w:r>
              <w:rPr>
                <w:webHidden/>
              </w:rPr>
              <w:fldChar w:fldCharType="separate"/>
            </w:r>
            <w:r>
              <w:rPr>
                <w:rStyle w:val="IndexLink"/>
                <w:vanish w:val="false"/>
              </w:rPr>
              <w:tab/>
              <w:t>85</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914">
            <w:r>
              <w:rPr>
                <w:webHidden/>
                <w:rStyle w:val="IndexLink"/>
                <w:vanish w:val="false"/>
              </w:rPr>
              <w:t>10.1.1</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Cenová liberalizace</w:t>
            </w:r>
            <w:r>
              <w:rPr>
                <w:webHidden/>
              </w:rPr>
              <w:fldChar w:fldCharType="begin"/>
            </w:r>
            <w:r>
              <w:rPr>
                <w:webHidden/>
              </w:rPr>
              <w:instrText xml:space="preserve">PAGEREF _Toc229057914 \h</w:instrText>
            </w:r>
            <w:r>
              <w:rPr>
                <w:webHidden/>
              </w:rPr>
              <w:fldChar w:fldCharType="separate"/>
            </w:r>
            <w:r>
              <w:rPr>
                <w:rStyle w:val="IndexLink"/>
                <w:vanish w:val="false"/>
              </w:rPr>
              <w:tab/>
              <w:t>85</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915">
            <w:r>
              <w:rPr>
                <w:webHidden/>
                <w:rStyle w:val="IndexLink"/>
                <w:vanish w:val="false"/>
              </w:rPr>
              <w:t>10.1.2</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Vlastnická suverenita</w:t>
            </w:r>
            <w:r>
              <w:rPr>
                <w:webHidden/>
              </w:rPr>
              <w:fldChar w:fldCharType="begin"/>
            </w:r>
            <w:r>
              <w:rPr>
                <w:webHidden/>
              </w:rPr>
              <w:instrText xml:space="preserve">PAGEREF _Toc229057915 \h</w:instrText>
            </w:r>
            <w:r>
              <w:rPr>
                <w:webHidden/>
              </w:rPr>
              <w:fldChar w:fldCharType="separate"/>
            </w:r>
            <w:r>
              <w:rPr>
                <w:rStyle w:val="IndexLink"/>
                <w:vanish w:val="false"/>
              </w:rPr>
              <w:tab/>
              <w:t>85</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916">
            <w:r>
              <w:rPr>
                <w:webHidden/>
                <w:rStyle w:val="IndexLink"/>
                <w:vanish w:val="false"/>
              </w:rPr>
              <w:t>10.1.3</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Existence trhu výrobních faktorů</w:t>
            </w:r>
            <w:r>
              <w:rPr>
                <w:webHidden/>
              </w:rPr>
              <w:fldChar w:fldCharType="begin"/>
            </w:r>
            <w:r>
              <w:rPr>
                <w:webHidden/>
              </w:rPr>
              <w:instrText xml:space="preserve">PAGEREF _Toc229057916 \h</w:instrText>
            </w:r>
            <w:r>
              <w:rPr>
                <w:webHidden/>
              </w:rPr>
              <w:fldChar w:fldCharType="separate"/>
            </w:r>
            <w:r>
              <w:rPr>
                <w:rStyle w:val="IndexLink"/>
                <w:vanish w:val="false"/>
              </w:rPr>
              <w:tab/>
              <w:t>85</w:t>
            </w:r>
            <w:r>
              <w:rPr>
                <w:webHidden/>
              </w:rPr>
              <w:fldChar w:fldCharType="end"/>
            </w:r>
          </w:hyperlink>
        </w:p>
        <w:p>
          <w:pPr>
            <w:pStyle w:val="TOC2"/>
            <w:tabs>
              <w:tab w:val="clear" w:pos="708"/>
              <w:tab w:val="left" w:pos="1000" w:leader="none"/>
              <w:tab w:val="right" w:pos="9061" w:leader="dot"/>
            </w:tabs>
            <w:rPr>
              <w:rFonts w:ascii="Calibri" w:hAnsi="Calibri" w:eastAsia="" w:asciiTheme="minorHAnsi" w:eastAsiaTheme="minorEastAsia" w:hAnsiTheme="minorHAnsi"/>
              <w:i w:val="false"/>
              <w:i w:val="false"/>
              <w:iCs w:val="false"/>
              <w:kern w:val="2"/>
              <w:sz w:val="24"/>
              <w:szCs w:val="24"/>
              <w:lang w:eastAsia="cs-CZ"/>
              <w14:ligatures w14:val="standardContextual"/>
            </w:rPr>
          </w:pPr>
          <w:hyperlink w:anchor="_Toc229057917">
            <w:r>
              <w:rPr>
                <w:webHidden/>
                <w:rStyle w:val="IndexLink"/>
                <w:vanish w:val="false"/>
              </w:rPr>
              <w:t>10.2</w:t>
            </w:r>
            <w:r>
              <w:rPr>
                <w:rStyle w:val="IndexLink"/>
                <w:rFonts w:eastAsia="" w:ascii="Calibri" w:hAnsi="Calibri" w:asciiTheme="minorHAnsi" w:eastAsiaTheme="minorEastAsia" w:hAnsiTheme="minorHAnsi"/>
                <w:i w:val="false"/>
                <w:iCs w:val="false"/>
                <w:kern w:val="2"/>
                <w:sz w:val="24"/>
                <w:szCs w:val="24"/>
                <w:lang w:eastAsia="cs-CZ"/>
                <w14:ligatures w14:val="standardContextual"/>
              </w:rPr>
              <w:tab/>
            </w:r>
            <w:r>
              <w:rPr>
                <w:rStyle w:val="IndexLink"/>
              </w:rPr>
              <w:t>Přítomnost tržních selhání</w:t>
            </w:r>
            <w:r>
              <w:rPr>
                <w:webHidden/>
              </w:rPr>
              <w:fldChar w:fldCharType="begin"/>
            </w:r>
            <w:r>
              <w:rPr>
                <w:webHidden/>
              </w:rPr>
              <w:instrText xml:space="preserve">PAGEREF _Toc229057917 \h</w:instrText>
            </w:r>
            <w:r>
              <w:rPr>
                <w:webHidden/>
              </w:rPr>
              <w:fldChar w:fldCharType="separate"/>
            </w:r>
            <w:r>
              <w:rPr>
                <w:rStyle w:val="IndexLink"/>
                <w:vanish w:val="false"/>
              </w:rPr>
              <w:tab/>
              <w:t>85</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918">
            <w:r>
              <w:rPr>
                <w:webHidden/>
                <w:rStyle w:val="IndexLink"/>
                <w:vanish w:val="false"/>
              </w:rPr>
              <w:t>10.2.1</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Externality</w:t>
            </w:r>
            <w:r>
              <w:rPr>
                <w:webHidden/>
              </w:rPr>
              <w:fldChar w:fldCharType="begin"/>
            </w:r>
            <w:r>
              <w:rPr>
                <w:webHidden/>
              </w:rPr>
              <w:instrText xml:space="preserve">PAGEREF _Toc229057918 \h</w:instrText>
            </w:r>
            <w:r>
              <w:rPr>
                <w:webHidden/>
              </w:rPr>
              <w:fldChar w:fldCharType="separate"/>
            </w:r>
            <w:r>
              <w:rPr>
                <w:rStyle w:val="IndexLink"/>
                <w:vanish w:val="false"/>
              </w:rPr>
              <w:tab/>
              <w:t>85</w:t>
            </w:r>
            <w:r>
              <w:rPr>
                <w:webHidden/>
              </w:rPr>
              <w:fldChar w:fldCharType="end"/>
            </w:r>
          </w:hyperlink>
        </w:p>
        <w:p>
          <w:pPr>
            <w:pStyle w:val="TOC3"/>
            <w:tabs>
              <w:tab w:val="clear" w:pos="708"/>
              <w:tab w:val="left" w:pos="14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919">
            <w:r>
              <w:rPr>
                <w:webHidden/>
                <w:rStyle w:val="IndexLink"/>
                <w:vanish w:val="false"/>
              </w:rPr>
              <w:t>10.2.2</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Veřejné statky</w:t>
            </w:r>
            <w:r>
              <w:rPr>
                <w:webHidden/>
              </w:rPr>
              <w:fldChar w:fldCharType="begin"/>
            </w:r>
            <w:r>
              <w:rPr>
                <w:webHidden/>
              </w:rPr>
              <w:instrText xml:space="preserve">PAGEREF _Toc229057919 \h</w:instrText>
            </w:r>
            <w:r>
              <w:rPr>
                <w:webHidden/>
              </w:rPr>
              <w:fldChar w:fldCharType="separate"/>
            </w:r>
            <w:r>
              <w:rPr>
                <w:rStyle w:val="IndexLink"/>
                <w:vanish w:val="false"/>
              </w:rPr>
              <w:tab/>
              <w:t>85</w:t>
            </w:r>
            <w:r>
              <w:rPr>
                <w:webHidden/>
              </w:rPr>
              <w:fldChar w:fldCharType="end"/>
            </w:r>
          </w:hyperlink>
        </w:p>
        <w:p>
          <w:pPr>
            <w:pStyle w:val="TOC3"/>
            <w:tabs>
              <w:tab w:val="clear" w:pos="708"/>
              <w:tab w:val="left" w:pos="14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920">
            <w:r>
              <w:rPr>
                <w:webHidden/>
                <w:rStyle w:val="IndexLink"/>
                <w:vanish w:val="false"/>
              </w:rPr>
              <w:t>10.2.3</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Asymetrie informací</w:t>
            </w:r>
            <w:r>
              <w:rPr>
                <w:webHidden/>
              </w:rPr>
              <w:fldChar w:fldCharType="begin"/>
            </w:r>
            <w:r>
              <w:rPr>
                <w:webHidden/>
              </w:rPr>
              <w:instrText xml:space="preserve">PAGEREF _Toc229057920 \h</w:instrText>
            </w:r>
            <w:r>
              <w:rPr>
                <w:webHidden/>
              </w:rPr>
              <w:fldChar w:fldCharType="separate"/>
            </w:r>
            <w:r>
              <w:rPr>
                <w:rStyle w:val="IndexLink"/>
                <w:vanish w:val="false"/>
              </w:rPr>
              <w:tab/>
              <w:t>86</w:t>
            </w:r>
            <w:r>
              <w:rPr>
                <w:webHidden/>
              </w:rPr>
              <w:fldChar w:fldCharType="end"/>
            </w:r>
          </w:hyperlink>
        </w:p>
        <w:p>
          <w:pPr>
            <w:pStyle w:val="TOC3"/>
            <w:tabs>
              <w:tab w:val="clear" w:pos="708"/>
              <w:tab w:val="left" w:pos="14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921">
            <w:r>
              <w:rPr>
                <w:webHidden/>
                <w:rStyle w:val="IndexLink"/>
                <w:vanish w:val="false"/>
              </w:rPr>
              <w:t>10.2.4</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Vládní selhání</w:t>
            </w:r>
            <w:r>
              <w:rPr>
                <w:webHidden/>
              </w:rPr>
              <w:fldChar w:fldCharType="begin"/>
            </w:r>
            <w:r>
              <w:rPr>
                <w:webHidden/>
              </w:rPr>
              <w:instrText xml:space="preserve">PAGEREF _Toc229057921 \h</w:instrText>
            </w:r>
            <w:r>
              <w:rPr>
                <w:webHidden/>
              </w:rPr>
              <w:fldChar w:fldCharType="separate"/>
            </w:r>
            <w:r>
              <w:rPr>
                <w:rStyle w:val="IndexLink"/>
                <w:vanish w:val="false"/>
              </w:rPr>
              <w:tab/>
              <w:t>86</w:t>
            </w:r>
            <w:r>
              <w:rPr>
                <w:webHidden/>
              </w:rPr>
              <w:fldChar w:fldCharType="end"/>
            </w:r>
          </w:hyperlink>
        </w:p>
        <w:p>
          <w:pPr>
            <w:pStyle w:val="TOC3"/>
            <w:tabs>
              <w:tab w:val="clear" w:pos="708"/>
              <w:tab w:val="left" w:pos="14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922">
            <w:r>
              <w:rPr>
                <w:webHidden/>
                <w:rStyle w:val="IndexLink"/>
                <w:vanish w:val="false"/>
              </w:rPr>
              <w:t>10.2.5</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Nedokonalá konkurence</w:t>
            </w:r>
            <w:r>
              <w:rPr>
                <w:webHidden/>
              </w:rPr>
              <w:fldChar w:fldCharType="begin"/>
            </w:r>
            <w:r>
              <w:rPr>
                <w:webHidden/>
              </w:rPr>
              <w:instrText xml:space="preserve">PAGEREF _Toc229057922 \h</w:instrText>
            </w:r>
            <w:r>
              <w:rPr>
                <w:webHidden/>
              </w:rPr>
              <w:fldChar w:fldCharType="separate"/>
            </w:r>
            <w:r>
              <w:rPr>
                <w:rStyle w:val="IndexLink"/>
                <w:vanish w:val="false"/>
              </w:rPr>
              <w:tab/>
              <w:t>86</w:t>
            </w:r>
            <w:r>
              <w:rPr>
                <w:webHidden/>
              </w:rPr>
              <w:fldChar w:fldCharType="end"/>
            </w:r>
          </w:hyperlink>
        </w:p>
        <w:p>
          <w:pPr>
            <w:pStyle w:val="TOC2"/>
            <w:tabs>
              <w:tab w:val="clear" w:pos="708"/>
              <w:tab w:val="left" w:pos="1000" w:leader="none"/>
              <w:tab w:val="right" w:pos="9061" w:leader="dot"/>
            </w:tabs>
            <w:rPr>
              <w:rFonts w:ascii="Calibri" w:hAnsi="Calibri" w:eastAsia="" w:asciiTheme="minorHAnsi" w:eastAsiaTheme="minorEastAsia" w:hAnsiTheme="minorHAnsi"/>
              <w:i w:val="false"/>
              <w:i w:val="false"/>
              <w:iCs w:val="false"/>
              <w:kern w:val="2"/>
              <w:sz w:val="24"/>
              <w:szCs w:val="24"/>
              <w:lang w:eastAsia="cs-CZ"/>
              <w14:ligatures w14:val="standardContextual"/>
            </w:rPr>
          </w:pPr>
          <w:hyperlink w:anchor="_Toc229057923">
            <w:r>
              <w:rPr>
                <w:webHidden/>
                <w:rStyle w:val="IndexLink"/>
                <w:vanish w:val="false"/>
              </w:rPr>
              <w:t>10.3</w:t>
            </w:r>
            <w:r>
              <w:rPr>
                <w:rStyle w:val="IndexLink"/>
                <w:rFonts w:eastAsia="" w:ascii="Calibri" w:hAnsi="Calibri" w:asciiTheme="minorHAnsi" w:eastAsiaTheme="minorEastAsia" w:hAnsiTheme="minorHAnsi"/>
                <w:i w:val="false"/>
                <w:iCs w:val="false"/>
                <w:kern w:val="2"/>
                <w:sz w:val="24"/>
                <w:szCs w:val="24"/>
                <w:lang w:eastAsia="cs-CZ"/>
                <w14:ligatures w14:val="standardContextual"/>
              </w:rPr>
              <w:tab/>
            </w:r>
            <w:r>
              <w:rPr>
                <w:rStyle w:val="IndexLink"/>
              </w:rPr>
              <w:t>Nedokonale konkurenční tržní struktura</w:t>
            </w:r>
            <w:r>
              <w:rPr>
                <w:webHidden/>
              </w:rPr>
              <w:fldChar w:fldCharType="begin"/>
            </w:r>
            <w:r>
              <w:rPr>
                <w:webHidden/>
              </w:rPr>
              <w:instrText xml:space="preserve">PAGEREF _Toc229057923 \h</w:instrText>
            </w:r>
            <w:r>
              <w:rPr>
                <w:webHidden/>
              </w:rPr>
              <w:fldChar w:fldCharType="separate"/>
            </w:r>
            <w:r>
              <w:rPr>
                <w:rStyle w:val="IndexLink"/>
                <w:vanish w:val="false"/>
              </w:rPr>
              <w:tab/>
              <w:t>86</w:t>
            </w:r>
            <w:r>
              <w:rPr>
                <w:webHidden/>
              </w:rPr>
              <w:fldChar w:fldCharType="end"/>
            </w:r>
          </w:hyperlink>
        </w:p>
        <w:p>
          <w:pPr>
            <w:pStyle w:val="TOC3"/>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924">
            <w:r>
              <w:rPr>
                <w:webHidden/>
                <w:rStyle w:val="IndexLink"/>
                <w:vanish w:val="false"/>
              </w:rPr>
              <w:t>10.3.1</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Tržní síla</w:t>
            </w:r>
            <w:r>
              <w:rPr>
                <w:webHidden/>
              </w:rPr>
              <w:fldChar w:fldCharType="begin"/>
            </w:r>
            <w:r>
              <w:rPr>
                <w:webHidden/>
              </w:rPr>
              <w:instrText xml:space="preserve">PAGEREF _Toc229057924 \h</w:instrText>
            </w:r>
            <w:r>
              <w:rPr>
                <w:webHidden/>
              </w:rPr>
              <w:fldChar w:fldCharType="separate"/>
            </w:r>
            <w:r>
              <w:rPr>
                <w:rStyle w:val="IndexLink"/>
                <w:vanish w:val="false"/>
              </w:rPr>
              <w:tab/>
              <w:t>86</w:t>
            </w:r>
            <w:r>
              <w:rPr>
                <w:webHidden/>
              </w:rPr>
              <w:fldChar w:fldCharType="end"/>
            </w:r>
          </w:hyperlink>
        </w:p>
        <w:p>
          <w:pPr>
            <w:pStyle w:val="TOC3"/>
            <w:tabs>
              <w:tab w:val="clear" w:pos="708"/>
              <w:tab w:val="left" w:pos="14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925">
            <w:r>
              <w:rPr>
                <w:webHidden/>
                <w:rStyle w:val="IndexLink"/>
                <w:vanish w:val="false"/>
              </w:rPr>
              <w:t>10.3.2</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Tržní struktura a její stabilita</w:t>
            </w:r>
            <w:r>
              <w:rPr>
                <w:webHidden/>
              </w:rPr>
              <w:fldChar w:fldCharType="begin"/>
            </w:r>
            <w:r>
              <w:rPr>
                <w:webHidden/>
              </w:rPr>
              <w:instrText xml:space="preserve">PAGEREF _Toc229057925 \h</w:instrText>
            </w:r>
            <w:r>
              <w:rPr>
                <w:webHidden/>
              </w:rPr>
              <w:fldChar w:fldCharType="separate"/>
            </w:r>
            <w:r>
              <w:rPr>
                <w:rStyle w:val="IndexLink"/>
                <w:vanish w:val="false"/>
              </w:rPr>
              <w:tab/>
              <w:t>86</w:t>
            </w:r>
            <w:r>
              <w:rPr>
                <w:webHidden/>
              </w:rPr>
              <w:fldChar w:fldCharType="end"/>
            </w:r>
          </w:hyperlink>
        </w:p>
        <w:p>
          <w:pPr>
            <w:pStyle w:val="TOC3"/>
            <w:tabs>
              <w:tab w:val="clear" w:pos="708"/>
              <w:tab w:val="left" w:pos="14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926">
            <w:r>
              <w:rPr>
                <w:webHidden/>
                <w:rStyle w:val="IndexLink"/>
                <w:vanish w:val="false"/>
              </w:rPr>
              <w:t>10.3.3</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Bariéry vstupu</w:t>
            </w:r>
            <w:r>
              <w:rPr>
                <w:webHidden/>
              </w:rPr>
              <w:fldChar w:fldCharType="begin"/>
            </w:r>
            <w:r>
              <w:rPr>
                <w:webHidden/>
              </w:rPr>
              <w:instrText xml:space="preserve">PAGEREF _Toc229057926 \h</w:instrText>
            </w:r>
            <w:r>
              <w:rPr>
                <w:webHidden/>
              </w:rPr>
              <w:fldChar w:fldCharType="separate"/>
            </w:r>
            <w:r>
              <w:rPr>
                <w:rStyle w:val="IndexLink"/>
                <w:vanish w:val="false"/>
              </w:rPr>
              <w:tab/>
              <w:t>86</w:t>
            </w:r>
            <w:r>
              <w:rPr>
                <w:webHidden/>
              </w:rPr>
              <w:fldChar w:fldCharType="end"/>
            </w:r>
          </w:hyperlink>
        </w:p>
        <w:p>
          <w:pPr>
            <w:pStyle w:val="TOC3"/>
            <w:tabs>
              <w:tab w:val="clear" w:pos="708"/>
              <w:tab w:val="left" w:pos="14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927">
            <w:r>
              <w:rPr>
                <w:webHidden/>
                <w:rStyle w:val="IndexLink"/>
                <w:vanish w:val="false"/>
              </w:rPr>
              <w:t>10.3.4</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Vertikální a horizontální integrace</w:t>
            </w:r>
            <w:r>
              <w:rPr>
                <w:webHidden/>
              </w:rPr>
              <w:fldChar w:fldCharType="begin"/>
            </w:r>
            <w:r>
              <w:rPr>
                <w:webHidden/>
              </w:rPr>
              <w:instrText xml:space="preserve">PAGEREF _Toc229057927 \h</w:instrText>
            </w:r>
            <w:r>
              <w:rPr>
                <w:webHidden/>
              </w:rPr>
              <w:fldChar w:fldCharType="separate"/>
            </w:r>
            <w:r>
              <w:rPr>
                <w:rStyle w:val="IndexLink"/>
                <w:vanish w:val="false"/>
              </w:rPr>
              <w:tab/>
              <w:t>87</w:t>
            </w:r>
            <w:r>
              <w:rPr>
                <w:webHidden/>
              </w:rPr>
              <w:fldChar w:fldCharType="end"/>
            </w:r>
          </w:hyperlink>
        </w:p>
        <w:p>
          <w:pPr>
            <w:pStyle w:val="TOC3"/>
            <w:tabs>
              <w:tab w:val="clear" w:pos="708"/>
              <w:tab w:val="left" w:pos="14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928">
            <w:r>
              <w:rPr>
                <w:webHidden/>
                <w:rStyle w:val="IndexLink"/>
                <w:vanish w:val="false"/>
              </w:rPr>
              <w:t>10.3.5</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Margin squeeze</w:t>
            </w:r>
            <w:r>
              <w:rPr>
                <w:webHidden/>
              </w:rPr>
              <w:fldChar w:fldCharType="begin"/>
            </w:r>
            <w:r>
              <w:rPr>
                <w:webHidden/>
              </w:rPr>
              <w:instrText xml:space="preserve">PAGEREF _Toc229057928 \h</w:instrText>
            </w:r>
            <w:r>
              <w:rPr>
                <w:webHidden/>
              </w:rPr>
              <w:fldChar w:fldCharType="separate"/>
            </w:r>
            <w:r>
              <w:rPr>
                <w:rStyle w:val="IndexLink"/>
                <w:vanish w:val="false"/>
              </w:rPr>
              <w:tab/>
              <w:t>87</w:t>
            </w:r>
            <w:r>
              <w:rPr>
                <w:webHidden/>
              </w:rPr>
              <w:fldChar w:fldCharType="end"/>
            </w:r>
          </w:hyperlink>
        </w:p>
        <w:p>
          <w:pPr>
            <w:pStyle w:val="TOC3"/>
            <w:tabs>
              <w:tab w:val="clear" w:pos="708"/>
              <w:tab w:val="left" w:pos="14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929">
            <w:r>
              <w:rPr>
                <w:webHidden/>
                <w:rStyle w:val="IndexLink"/>
                <w:vanish w:val="false"/>
              </w:rPr>
              <w:t>10.3.6</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Vynucování nepřiměřených nebo rozdílných podmínek</w:t>
            </w:r>
            <w:r>
              <w:rPr>
                <w:webHidden/>
              </w:rPr>
              <w:fldChar w:fldCharType="begin"/>
            </w:r>
            <w:r>
              <w:rPr>
                <w:webHidden/>
              </w:rPr>
              <w:instrText xml:space="preserve">PAGEREF _Toc229057929 \h</w:instrText>
            </w:r>
            <w:r>
              <w:rPr>
                <w:webHidden/>
              </w:rPr>
              <w:fldChar w:fldCharType="separate"/>
            </w:r>
            <w:r>
              <w:rPr>
                <w:rStyle w:val="IndexLink"/>
                <w:vanish w:val="false"/>
              </w:rPr>
              <w:tab/>
              <w:t>87</w:t>
            </w:r>
            <w:r>
              <w:rPr>
                <w:webHidden/>
              </w:rPr>
              <w:fldChar w:fldCharType="end"/>
            </w:r>
          </w:hyperlink>
        </w:p>
        <w:p>
          <w:pPr>
            <w:pStyle w:val="TOC2"/>
            <w:tabs>
              <w:tab w:val="clear" w:pos="708"/>
              <w:tab w:val="left" w:pos="1000" w:leader="none"/>
              <w:tab w:val="right" w:pos="9061" w:leader="dot"/>
            </w:tabs>
            <w:rPr>
              <w:rFonts w:ascii="Calibri" w:hAnsi="Calibri" w:eastAsia="" w:asciiTheme="minorHAnsi" w:eastAsiaTheme="minorEastAsia" w:hAnsiTheme="minorHAnsi"/>
              <w:i w:val="false"/>
              <w:i w:val="false"/>
              <w:iCs w:val="false"/>
              <w:kern w:val="2"/>
              <w:sz w:val="24"/>
              <w:szCs w:val="24"/>
              <w:lang w:eastAsia="cs-CZ"/>
              <w14:ligatures w14:val="standardContextual"/>
            </w:rPr>
          </w:pPr>
          <w:hyperlink w:anchor="_Toc229057930">
            <w:r>
              <w:rPr>
                <w:webHidden/>
                <w:rStyle w:val="IndexLink"/>
                <w:vanish w:val="false"/>
              </w:rPr>
              <w:t>10.4</w:t>
            </w:r>
            <w:r>
              <w:rPr>
                <w:rStyle w:val="IndexLink"/>
                <w:rFonts w:eastAsia="" w:ascii="Calibri" w:hAnsi="Calibri" w:asciiTheme="minorHAnsi" w:eastAsiaTheme="minorEastAsia" w:hAnsiTheme="minorHAnsi"/>
                <w:i w:val="false"/>
                <w:iCs w:val="false"/>
                <w:kern w:val="2"/>
                <w:sz w:val="24"/>
                <w:szCs w:val="24"/>
                <w:lang w:eastAsia="cs-CZ"/>
                <w14:ligatures w14:val="standardContextual"/>
              </w:rPr>
              <w:tab/>
            </w:r>
            <w:r>
              <w:rPr>
                <w:rStyle w:val="IndexLink"/>
              </w:rPr>
              <w:t>Shrnutí kapitoly</w:t>
            </w:r>
            <w:r>
              <w:rPr>
                <w:webHidden/>
              </w:rPr>
              <w:fldChar w:fldCharType="begin"/>
            </w:r>
            <w:r>
              <w:rPr>
                <w:webHidden/>
              </w:rPr>
              <w:instrText xml:space="preserve">PAGEREF _Toc229057930 \h</w:instrText>
            </w:r>
            <w:r>
              <w:rPr>
                <w:webHidden/>
              </w:rPr>
              <w:fldChar w:fldCharType="separate"/>
            </w:r>
            <w:r>
              <w:rPr>
                <w:rStyle w:val="IndexLink"/>
                <w:vanish w:val="false"/>
              </w:rPr>
              <w:tab/>
              <w:t>87</w:t>
            </w:r>
            <w:r>
              <w:rPr>
                <w:webHidden/>
              </w:rPr>
              <w:fldChar w:fldCharType="end"/>
            </w:r>
          </w:hyperlink>
        </w:p>
        <w:p>
          <w:pPr>
            <w:pStyle w:val="TOC1"/>
            <w:tabs>
              <w:tab w:val="clear" w:pos="708"/>
              <w:tab w:val="left" w:pos="600" w:leader="none"/>
              <w:tab w:val="right" w:pos="9061" w:leader="dot"/>
            </w:tabs>
            <w:rPr>
              <w:rFonts w:ascii="Calibri" w:hAnsi="Calibri" w:eastAsia="" w:asciiTheme="minorHAnsi" w:eastAsiaTheme="minorEastAsia" w:hAnsiTheme="minorHAnsi"/>
              <w:b w:val="false"/>
              <w:bCs w:val="false"/>
              <w:kern w:val="2"/>
              <w:sz w:val="24"/>
              <w:szCs w:val="24"/>
              <w:lang w:eastAsia="cs-CZ"/>
              <w14:ligatures w14:val="standardContextual"/>
            </w:rPr>
          </w:pPr>
          <w:hyperlink w:anchor="_Toc229057931">
            <w:r>
              <w:rPr>
                <w:webHidden/>
                <w:rStyle w:val="IndexLink"/>
                <w:vanish w:val="false"/>
              </w:rPr>
              <w:t>11</w:t>
            </w:r>
            <w:r>
              <w:rPr>
                <w:rStyle w:val="IndexLink"/>
                <w:rFonts w:eastAsia="" w:ascii="Calibri" w:hAnsi="Calibri" w:asciiTheme="minorHAnsi" w:eastAsiaTheme="minorEastAsia" w:hAnsiTheme="minorHAnsi"/>
                <w:b w:val="false"/>
                <w:bCs w:val="false"/>
                <w:kern w:val="2"/>
                <w:sz w:val="24"/>
                <w:szCs w:val="24"/>
                <w:lang w:eastAsia="cs-CZ"/>
                <w14:ligatures w14:val="standardContextual"/>
              </w:rPr>
              <w:tab/>
            </w:r>
            <w:r>
              <w:rPr>
                <w:rStyle w:val="IndexLink"/>
              </w:rPr>
              <w:t>Zjištění a závěry sektorového šetření / Findings and Conclusions of the Sector Inquiry</w:t>
            </w:r>
            <w:r>
              <w:rPr>
                <w:webHidden/>
              </w:rPr>
              <w:fldChar w:fldCharType="begin"/>
            </w:r>
            <w:r>
              <w:rPr>
                <w:webHidden/>
              </w:rPr>
              <w:instrText xml:space="preserve">PAGEREF _Toc229057931 \h</w:instrText>
            </w:r>
            <w:r>
              <w:rPr>
                <w:webHidden/>
              </w:rPr>
              <w:fldChar w:fldCharType="separate"/>
            </w:r>
            <w:r>
              <w:rPr>
                <w:rStyle w:val="IndexLink"/>
                <w:vanish w:val="false"/>
              </w:rPr>
              <w:tab/>
              <w:t>88</w:t>
            </w:r>
            <w:r>
              <w:rPr>
                <w:webHidden/>
              </w:rPr>
              <w:fldChar w:fldCharType="end"/>
            </w:r>
          </w:hyperlink>
        </w:p>
        <w:p>
          <w:pPr>
            <w:pStyle w:val="TOC2"/>
            <w:tabs>
              <w:tab w:val="clear" w:pos="708"/>
              <w:tab w:val="left" w:pos="800" w:leader="none"/>
              <w:tab w:val="right" w:pos="9061" w:leader="dot"/>
            </w:tabs>
            <w:rPr>
              <w:rFonts w:ascii="Calibri" w:hAnsi="Calibri" w:eastAsia="" w:asciiTheme="minorHAnsi" w:eastAsiaTheme="minorEastAsia" w:hAnsiTheme="minorHAnsi"/>
              <w:i w:val="false"/>
              <w:i w:val="false"/>
              <w:iCs w:val="false"/>
              <w:kern w:val="2"/>
              <w:sz w:val="24"/>
              <w:szCs w:val="24"/>
              <w:lang w:eastAsia="cs-CZ"/>
              <w14:ligatures w14:val="standardContextual"/>
            </w:rPr>
          </w:pPr>
          <w:hyperlink w:anchor="_Toc229057932">
            <w:r>
              <w:rPr>
                <w:webHidden/>
                <w:rStyle w:val="IndexLink"/>
                <w:vanish w:val="false"/>
              </w:rPr>
              <w:t>11.1</w:t>
            </w:r>
            <w:r>
              <w:rPr>
                <w:rStyle w:val="IndexLink"/>
                <w:rFonts w:eastAsia="" w:ascii="Calibri" w:hAnsi="Calibri" w:asciiTheme="minorHAnsi" w:eastAsiaTheme="minorEastAsia" w:hAnsiTheme="minorHAnsi"/>
                <w:i w:val="false"/>
                <w:iCs w:val="false"/>
                <w:kern w:val="2"/>
                <w:sz w:val="24"/>
                <w:szCs w:val="24"/>
                <w:lang w:eastAsia="cs-CZ"/>
                <w14:ligatures w14:val="standardContextual"/>
              </w:rPr>
              <w:tab/>
            </w:r>
            <w:r>
              <w:rPr>
                <w:rStyle w:val="IndexLink"/>
              </w:rPr>
              <w:t>Zjištění sektorového šetření</w:t>
            </w:r>
            <w:r>
              <w:rPr>
                <w:webHidden/>
              </w:rPr>
              <w:fldChar w:fldCharType="begin"/>
            </w:r>
            <w:r>
              <w:rPr>
                <w:webHidden/>
              </w:rPr>
              <w:instrText xml:space="preserve">PAGEREF _Toc229057932 \h</w:instrText>
            </w:r>
            <w:r>
              <w:rPr>
                <w:webHidden/>
              </w:rPr>
              <w:fldChar w:fldCharType="separate"/>
            </w:r>
            <w:r>
              <w:rPr>
                <w:rStyle w:val="IndexLink"/>
                <w:vanish w:val="false"/>
              </w:rPr>
              <w:tab/>
              <w:t>88</w:t>
            </w:r>
            <w:r>
              <w:rPr>
                <w:webHidden/>
              </w:rPr>
              <w:fldChar w:fldCharType="end"/>
            </w:r>
          </w:hyperlink>
        </w:p>
        <w:p>
          <w:pPr>
            <w:pStyle w:val="TOC2"/>
            <w:tabs>
              <w:tab w:val="clear" w:pos="708"/>
              <w:tab w:val="left" w:pos="800" w:leader="none"/>
              <w:tab w:val="right" w:pos="9061" w:leader="dot"/>
            </w:tabs>
            <w:rPr>
              <w:rFonts w:ascii="Calibri" w:hAnsi="Calibri" w:eastAsia="" w:asciiTheme="minorHAnsi" w:eastAsiaTheme="minorEastAsia" w:hAnsiTheme="minorHAnsi"/>
              <w:i w:val="false"/>
              <w:i w:val="false"/>
              <w:iCs w:val="false"/>
              <w:kern w:val="2"/>
              <w:sz w:val="24"/>
              <w:szCs w:val="24"/>
              <w:lang w:eastAsia="cs-CZ"/>
              <w14:ligatures w14:val="standardContextual"/>
            </w:rPr>
          </w:pPr>
          <w:hyperlink w:anchor="_Toc229057933">
            <w:r>
              <w:rPr>
                <w:webHidden/>
                <w:rStyle w:val="IndexLink"/>
                <w:vanish w:val="false"/>
              </w:rPr>
              <w:t>11.2</w:t>
            </w:r>
            <w:r>
              <w:rPr>
                <w:rStyle w:val="IndexLink"/>
                <w:rFonts w:eastAsia="" w:ascii="Calibri" w:hAnsi="Calibri" w:asciiTheme="minorHAnsi" w:eastAsiaTheme="minorEastAsia" w:hAnsiTheme="minorHAnsi"/>
                <w:i w:val="false"/>
                <w:iCs w:val="false"/>
                <w:kern w:val="2"/>
                <w:sz w:val="24"/>
                <w:szCs w:val="24"/>
                <w:lang w:eastAsia="cs-CZ"/>
                <w14:ligatures w14:val="standardContextual"/>
              </w:rPr>
              <w:tab/>
            </w:r>
            <w:r>
              <w:rPr>
                <w:rStyle w:val="IndexLink"/>
              </w:rPr>
              <w:t>Závěry sektorového šetření</w:t>
            </w:r>
            <w:r>
              <w:rPr>
                <w:webHidden/>
              </w:rPr>
              <w:fldChar w:fldCharType="begin"/>
            </w:r>
            <w:r>
              <w:rPr>
                <w:webHidden/>
              </w:rPr>
              <w:instrText xml:space="preserve">PAGEREF _Toc229057933 \h</w:instrText>
            </w:r>
            <w:r>
              <w:rPr>
                <w:webHidden/>
              </w:rPr>
              <w:fldChar w:fldCharType="separate"/>
            </w:r>
            <w:r>
              <w:rPr>
                <w:rStyle w:val="IndexLink"/>
                <w:vanish w:val="false"/>
              </w:rPr>
              <w:tab/>
              <w:t>89</w:t>
            </w:r>
            <w:r>
              <w:rPr>
                <w:webHidden/>
              </w:rPr>
              <w:fldChar w:fldCharType="end"/>
            </w:r>
          </w:hyperlink>
        </w:p>
        <w:p>
          <w:pPr>
            <w:pStyle w:val="TOC1"/>
            <w:tabs>
              <w:tab w:val="clear" w:pos="708"/>
              <w:tab w:val="right" w:pos="9061" w:leader="dot"/>
            </w:tabs>
            <w:rPr>
              <w:rFonts w:ascii="Calibri" w:hAnsi="Calibri" w:eastAsia="" w:asciiTheme="minorHAnsi" w:eastAsiaTheme="minorEastAsia" w:hAnsiTheme="minorHAnsi"/>
              <w:b w:val="false"/>
              <w:bCs w:val="false"/>
              <w:kern w:val="2"/>
              <w:sz w:val="24"/>
              <w:szCs w:val="24"/>
              <w:lang w:eastAsia="cs-CZ"/>
              <w14:ligatures w14:val="standardContextual"/>
            </w:rPr>
          </w:pPr>
          <w:hyperlink w:anchor="_Toc229057934">
            <w:r>
              <w:rPr>
                <w:webHidden/>
              </w:rPr>
              <w:fldChar w:fldCharType="begin"/>
            </w:r>
            <w:r>
              <w:rPr>
                <w:webHidden/>
              </w:rPr>
              <w:instrText xml:space="preserve">PAGEREF _Toc229057934 \h</w:instrText>
            </w:r>
            <w:r>
              <w:rPr>
                <w:webHidden/>
              </w:rPr>
              <w:fldChar w:fldCharType="separate"/>
            </w:r>
            <w:r>
              <w:rPr>
                <w:webHidden/>
                <w:rStyle w:val="IndexLink"/>
                <w:vanish w:val="false"/>
              </w:rPr>
              <w:t>Seznam grafů</w:t>
              <w:tab/>
              <w:t>i</w:t>
            </w:r>
            <w:r>
              <w:rPr>
                <w:webHidden/>
              </w:rPr>
              <w:fldChar w:fldCharType="end"/>
            </w:r>
          </w:hyperlink>
        </w:p>
        <w:p>
          <w:pPr>
            <w:pStyle w:val="TOC1"/>
            <w:tabs>
              <w:tab w:val="clear" w:pos="708"/>
              <w:tab w:val="right" w:pos="9061" w:leader="dot"/>
            </w:tabs>
            <w:rPr>
              <w:rFonts w:ascii="Calibri" w:hAnsi="Calibri" w:eastAsia="" w:asciiTheme="minorHAnsi" w:eastAsiaTheme="minorEastAsia" w:hAnsiTheme="minorHAnsi"/>
              <w:b w:val="false"/>
              <w:bCs w:val="false"/>
              <w:kern w:val="2"/>
              <w:sz w:val="24"/>
              <w:szCs w:val="24"/>
              <w:lang w:eastAsia="cs-CZ"/>
              <w14:ligatures w14:val="standardContextual"/>
            </w:rPr>
          </w:pPr>
          <w:hyperlink w:anchor="_Toc229057935">
            <w:r>
              <w:rPr>
                <w:webHidden/>
              </w:rPr>
              <w:fldChar w:fldCharType="begin"/>
            </w:r>
            <w:r>
              <w:rPr>
                <w:webHidden/>
              </w:rPr>
              <w:instrText xml:space="preserve">PAGEREF _Toc229057935 \h</w:instrText>
            </w:r>
            <w:r>
              <w:rPr>
                <w:webHidden/>
              </w:rPr>
              <w:fldChar w:fldCharType="separate"/>
            </w:r>
            <w:r>
              <w:rPr>
                <w:webHidden/>
                <w:rStyle w:val="IndexLink"/>
                <w:vanish w:val="false"/>
              </w:rPr>
              <w:t>List of Figures</w:t>
              <w:tab/>
              <w:t>iii</w:t>
            </w:r>
            <w:r>
              <w:rPr>
                <w:webHidden/>
              </w:rPr>
              <w:fldChar w:fldCharType="end"/>
            </w:r>
          </w:hyperlink>
        </w:p>
        <w:p>
          <w:pPr>
            <w:pStyle w:val="TOC1"/>
            <w:tabs>
              <w:tab w:val="clear" w:pos="708"/>
              <w:tab w:val="right" w:pos="9061" w:leader="dot"/>
            </w:tabs>
            <w:rPr>
              <w:rFonts w:ascii="Calibri" w:hAnsi="Calibri" w:eastAsia="" w:asciiTheme="minorHAnsi" w:eastAsiaTheme="minorEastAsia" w:hAnsiTheme="minorHAnsi"/>
              <w:b w:val="false"/>
              <w:bCs w:val="false"/>
              <w:kern w:val="2"/>
              <w:sz w:val="24"/>
              <w:szCs w:val="24"/>
              <w:lang w:eastAsia="cs-CZ"/>
              <w14:ligatures w14:val="standardContextual"/>
            </w:rPr>
          </w:pPr>
          <w:hyperlink w:anchor="_Toc229057936">
            <w:r>
              <w:rPr>
                <w:webHidden/>
              </w:rPr>
              <w:fldChar w:fldCharType="begin"/>
            </w:r>
            <w:r>
              <w:rPr>
                <w:webHidden/>
              </w:rPr>
              <w:instrText xml:space="preserve">PAGEREF _Toc229057936 \h</w:instrText>
            </w:r>
            <w:r>
              <w:rPr>
                <w:webHidden/>
              </w:rPr>
              <w:fldChar w:fldCharType="separate"/>
            </w:r>
            <w:r>
              <w:rPr>
                <w:webHidden/>
                <w:rStyle w:val="IndexLink"/>
                <w:vanish w:val="false"/>
              </w:rPr>
              <w:t>Seznam tabulek</w:t>
              <w:tab/>
              <w:t>iv</w:t>
            </w:r>
            <w:r>
              <w:rPr>
                <w:webHidden/>
              </w:rPr>
              <w:fldChar w:fldCharType="end"/>
            </w:r>
          </w:hyperlink>
        </w:p>
        <w:p>
          <w:pPr>
            <w:pStyle w:val="TOC1"/>
            <w:tabs>
              <w:tab w:val="clear" w:pos="708"/>
              <w:tab w:val="right" w:pos="9061" w:leader="dot"/>
            </w:tabs>
            <w:rPr>
              <w:rFonts w:ascii="Calibri" w:hAnsi="Calibri" w:eastAsia="" w:asciiTheme="minorHAnsi" w:eastAsiaTheme="minorEastAsia" w:hAnsiTheme="minorHAnsi"/>
              <w:b w:val="false"/>
              <w:bCs w:val="false"/>
              <w:kern w:val="2"/>
              <w:sz w:val="24"/>
              <w:szCs w:val="24"/>
              <w:lang w:eastAsia="cs-CZ"/>
              <w14:ligatures w14:val="standardContextual"/>
            </w:rPr>
          </w:pPr>
          <w:hyperlink w:anchor="_Toc229057937">
            <w:r>
              <w:rPr>
                <w:webHidden/>
              </w:rPr>
              <w:fldChar w:fldCharType="begin"/>
            </w:r>
            <w:r>
              <w:rPr>
                <w:webHidden/>
              </w:rPr>
              <w:instrText xml:space="preserve">PAGEREF _Toc229057937 \h</w:instrText>
            </w:r>
            <w:r>
              <w:rPr>
                <w:webHidden/>
              </w:rPr>
              <w:fldChar w:fldCharType="separate"/>
            </w:r>
            <w:r>
              <w:rPr>
                <w:webHidden/>
                <w:rStyle w:val="IndexLink"/>
                <w:vanish w:val="false"/>
              </w:rPr>
              <w:t>List of Tables</w:t>
              <w:tab/>
              <w:t>vi</w:t>
            </w:r>
            <w:r>
              <w:rPr>
                <w:webHidden/>
              </w:rPr>
              <w:fldChar w:fldCharType="end"/>
            </w:r>
          </w:hyperlink>
        </w:p>
        <w:p>
          <w:pPr>
            <w:pStyle w:val="TOC1"/>
            <w:tabs>
              <w:tab w:val="clear" w:pos="708"/>
              <w:tab w:val="right" w:pos="9061" w:leader="dot"/>
            </w:tabs>
            <w:rPr>
              <w:rFonts w:ascii="Calibri" w:hAnsi="Calibri" w:eastAsia="" w:asciiTheme="minorHAnsi" w:eastAsiaTheme="minorEastAsia" w:hAnsiTheme="minorHAnsi"/>
              <w:b w:val="false"/>
              <w:bCs w:val="false"/>
              <w:kern w:val="2"/>
              <w:sz w:val="24"/>
              <w:szCs w:val="24"/>
              <w:lang w:eastAsia="cs-CZ"/>
              <w14:ligatures w14:val="standardContextual"/>
            </w:rPr>
          </w:pPr>
          <w:hyperlink w:anchor="_Toc229057938">
            <w:r>
              <w:rPr>
                <w:webHidden/>
                <w:rStyle w:val="IndexLink"/>
                <w:vanish w:val="false"/>
              </w:rPr>
              <w:t xml:space="preserve">Zdroje / </w:t>
            </w:r>
            <w:r>
              <w:rPr>
                <w:rStyle w:val="IndexLink"/>
                <w:i/>
                <w:iCs/>
              </w:rPr>
              <w:t>Sources</w:t>
            </w:r>
            <w:r>
              <w:rPr>
                <w:webHidden/>
              </w:rPr>
              <w:fldChar w:fldCharType="begin"/>
            </w:r>
            <w:r>
              <w:rPr>
                <w:webHidden/>
              </w:rPr>
              <w:instrText xml:space="preserve">PAGEREF _Toc229057938 \h</w:instrText>
            </w:r>
            <w:r>
              <w:rPr>
                <w:webHidden/>
              </w:rPr>
              <w:fldChar w:fldCharType="separate"/>
            </w:r>
            <w:r>
              <w:rPr>
                <w:rStyle w:val="IndexLink"/>
                <w:vanish w:val="false"/>
              </w:rPr>
              <w:tab/>
              <w:t>vii</w:t>
            </w:r>
            <w:r>
              <w:rPr>
                <w:webHidden/>
              </w:rPr>
              <w:fldChar w:fldCharType="end"/>
            </w:r>
          </w:hyperlink>
        </w:p>
        <w:p>
          <w:pPr>
            <w:pStyle w:val="TOC1"/>
            <w:tabs>
              <w:tab w:val="clear" w:pos="708"/>
              <w:tab w:val="right" w:pos="9061" w:leader="dot"/>
            </w:tabs>
            <w:rPr>
              <w:rFonts w:ascii="Calibri" w:hAnsi="Calibri" w:eastAsia="" w:asciiTheme="minorHAnsi" w:eastAsiaTheme="minorEastAsia" w:hAnsiTheme="minorHAnsi"/>
              <w:b w:val="false"/>
              <w:bCs w:val="false"/>
              <w:kern w:val="2"/>
              <w:sz w:val="24"/>
              <w:szCs w:val="24"/>
              <w:lang w:eastAsia="cs-CZ"/>
              <w14:ligatures w14:val="standardContextual"/>
            </w:rPr>
          </w:pPr>
          <w:hyperlink w:anchor="_Toc229057939">
            <w:r>
              <w:rPr>
                <w:webHidden/>
                <w:rStyle w:val="IndexLink"/>
                <w:vanish w:val="false"/>
              </w:rPr>
              <w:t xml:space="preserve">Přílohy / </w:t>
            </w:r>
            <w:r>
              <w:rPr>
                <w:rStyle w:val="IndexLink"/>
                <w:i/>
                <w:iCs/>
              </w:rPr>
              <w:t>Annexes</w:t>
            </w:r>
            <w:r>
              <w:rPr>
                <w:webHidden/>
              </w:rPr>
              <w:fldChar w:fldCharType="begin"/>
            </w:r>
            <w:r>
              <w:rPr>
                <w:webHidden/>
              </w:rPr>
              <w:instrText xml:space="preserve">PAGEREF _Toc229057939 \h</w:instrText>
            </w:r>
            <w:r>
              <w:rPr>
                <w:webHidden/>
              </w:rPr>
              <w:fldChar w:fldCharType="separate"/>
            </w:r>
            <w:r>
              <w:rPr>
                <w:rStyle w:val="IndexLink"/>
                <w:vanish w:val="false"/>
              </w:rPr>
              <w:tab/>
              <w:t>ix</w:t>
            </w:r>
            <w:r>
              <w:rPr>
                <w:webHidden/>
              </w:rPr>
              <w:fldChar w:fldCharType="end"/>
            </w:r>
          </w:hyperlink>
        </w:p>
        <w:p>
          <w:pPr>
            <w:pStyle w:val="TOC2"/>
            <w:tabs>
              <w:tab w:val="clear" w:pos="708"/>
              <w:tab w:val="right" w:pos="9061" w:leader="dot"/>
            </w:tabs>
            <w:rPr>
              <w:rFonts w:ascii="Calibri" w:hAnsi="Calibri" w:eastAsia="" w:asciiTheme="minorHAnsi" w:eastAsiaTheme="minorEastAsia" w:hAnsiTheme="minorHAnsi"/>
              <w:i w:val="false"/>
              <w:i w:val="false"/>
              <w:iCs w:val="false"/>
              <w:kern w:val="2"/>
              <w:sz w:val="24"/>
              <w:szCs w:val="24"/>
              <w:lang w:eastAsia="cs-CZ"/>
              <w14:ligatures w14:val="standardContextual"/>
            </w:rPr>
          </w:pPr>
          <w:hyperlink w:anchor="_Toc229057940">
            <w:r>
              <w:rPr>
                <w:webHidden/>
              </w:rPr>
              <w:fldChar w:fldCharType="begin"/>
            </w:r>
            <w:r>
              <w:rPr>
                <w:webHidden/>
              </w:rPr>
              <w:instrText xml:space="preserve">PAGEREF _Toc229057940 \h</w:instrText>
            </w:r>
            <w:r>
              <w:rPr>
                <w:webHidden/>
              </w:rPr>
              <w:fldChar w:fldCharType="separate"/>
            </w:r>
            <w:r>
              <w:rPr>
                <w:webHidden/>
                <w:rStyle w:val="IndexLink"/>
                <w:vanish w:val="false"/>
              </w:rPr>
              <w:t>A. Vyžádání podkladů a informací od mobilních operátorů</w:t>
              <w:tab/>
              <w:t>ix</w:t>
            </w:r>
            <w:r>
              <w:rPr>
                <w:webHidden/>
              </w:rPr>
              <w:fldChar w:fldCharType="end"/>
            </w:r>
          </w:hyperlink>
        </w:p>
        <w:p>
          <w:pPr>
            <w:pStyle w:val="TOC2"/>
            <w:tabs>
              <w:tab w:val="clear" w:pos="708"/>
              <w:tab w:val="right" w:pos="9061" w:leader="dot"/>
            </w:tabs>
            <w:rPr>
              <w:rFonts w:ascii="Calibri" w:hAnsi="Calibri" w:eastAsia="" w:asciiTheme="minorHAnsi" w:eastAsiaTheme="minorEastAsia" w:hAnsiTheme="minorHAnsi"/>
              <w:i w:val="false"/>
              <w:i w:val="false"/>
              <w:iCs w:val="false"/>
              <w:kern w:val="2"/>
              <w:sz w:val="24"/>
              <w:szCs w:val="24"/>
              <w:lang w:eastAsia="cs-CZ"/>
              <w14:ligatures w14:val="standardContextual"/>
            </w:rPr>
          </w:pPr>
          <w:hyperlink w:anchor="_Toc229057941">
            <w:r>
              <w:rPr>
                <w:webHidden/>
                <w:rStyle w:val="IndexLink"/>
                <w:vanish w:val="false"/>
                <w:lang w:eastAsia="cs-CZ"/>
              </w:rPr>
              <w:t>B. Upravené vyžádání podkladů a informací</w:t>
            </w:r>
            <w:r>
              <w:rPr>
                <w:webHidden/>
              </w:rPr>
              <w:fldChar w:fldCharType="begin"/>
            </w:r>
            <w:r>
              <w:rPr>
                <w:webHidden/>
              </w:rPr>
              <w:instrText xml:space="preserve">PAGEREF _Toc229057941 \h</w:instrText>
            </w:r>
            <w:r>
              <w:rPr>
                <w:webHidden/>
              </w:rPr>
              <w:fldChar w:fldCharType="separate"/>
            </w:r>
            <w:r>
              <w:rPr>
                <w:rStyle w:val="IndexLink"/>
                <w:vanish w:val="false"/>
              </w:rPr>
              <w:tab/>
              <w:t>x</w:t>
            </w:r>
            <w:r>
              <w:rPr>
                <w:webHidden/>
              </w:rPr>
              <w:fldChar w:fldCharType="end"/>
            </w:r>
          </w:hyperlink>
        </w:p>
        <w:p>
          <w:pPr>
            <w:pStyle w:val="TOC2"/>
            <w:tabs>
              <w:tab w:val="clear" w:pos="708"/>
              <w:tab w:val="right" w:pos="9061" w:leader="dot"/>
            </w:tabs>
            <w:rPr>
              <w:rFonts w:ascii="Calibri" w:hAnsi="Calibri" w:eastAsia="" w:asciiTheme="minorHAnsi" w:eastAsiaTheme="minorEastAsia" w:hAnsiTheme="minorHAnsi"/>
              <w:i w:val="false"/>
              <w:i w:val="false"/>
              <w:iCs w:val="false"/>
              <w:kern w:val="2"/>
              <w:sz w:val="24"/>
              <w:szCs w:val="24"/>
              <w:lang w:eastAsia="cs-CZ"/>
              <w14:ligatures w14:val="standardContextual"/>
            </w:rPr>
          </w:pPr>
          <w:hyperlink w:anchor="_Toc229057942">
            <w:r>
              <w:rPr>
                <w:webHidden/>
                <w:rStyle w:val="IndexLink"/>
                <w:vanish w:val="false"/>
                <w:lang w:eastAsia="cs-CZ"/>
              </w:rPr>
              <w:t>C. Vyžádání podkladů a informací od virtuálních operátorů</w:t>
            </w:r>
            <w:r>
              <w:rPr>
                <w:webHidden/>
              </w:rPr>
              <w:fldChar w:fldCharType="begin"/>
            </w:r>
            <w:r>
              <w:rPr>
                <w:webHidden/>
              </w:rPr>
              <w:instrText xml:space="preserve">PAGEREF _Toc229057942 \h</w:instrText>
            </w:r>
            <w:r>
              <w:rPr>
                <w:webHidden/>
              </w:rPr>
              <w:fldChar w:fldCharType="separate"/>
            </w:r>
            <w:r>
              <w:rPr>
                <w:rStyle w:val="IndexLink"/>
                <w:vanish w:val="false"/>
              </w:rPr>
              <w:tab/>
              <w:t>x</w:t>
            </w:r>
            <w:r>
              <w:rPr>
                <w:webHidden/>
              </w:rPr>
              <w:fldChar w:fldCharType="end"/>
            </w:r>
          </w:hyperlink>
        </w:p>
        <w:p>
          <w:pPr>
            <w:pStyle w:val="TOC2"/>
            <w:tabs>
              <w:tab w:val="clear" w:pos="708"/>
              <w:tab w:val="right" w:pos="9061" w:leader="dot"/>
            </w:tabs>
            <w:rPr>
              <w:rFonts w:ascii="Calibri" w:hAnsi="Calibri" w:eastAsia="" w:asciiTheme="minorHAnsi" w:eastAsiaTheme="minorEastAsia" w:hAnsiTheme="minorHAnsi"/>
              <w:i w:val="false"/>
              <w:i w:val="false"/>
              <w:iCs w:val="false"/>
              <w:kern w:val="2"/>
              <w:sz w:val="24"/>
              <w:szCs w:val="24"/>
              <w:lang w:eastAsia="cs-CZ"/>
              <w14:ligatures w14:val="standardContextual"/>
            </w:rPr>
          </w:pPr>
          <w:hyperlink w:anchor="_Toc229057943">
            <w:r>
              <w:rPr>
                <w:webHidden/>
                <w:rStyle w:val="IndexLink"/>
                <w:vanish w:val="false"/>
              </w:rPr>
              <w:t xml:space="preserve">X. Seznam proměnných shromážděných v sektorovém šetření / </w:t>
            </w:r>
            <w:r>
              <w:rPr>
                <w:rStyle w:val="IndexLink"/>
                <w:lang w:val="en-GB"/>
              </w:rPr>
              <w:t>List of variables assembled in the sector inquiry</w:t>
            </w:r>
            <w:r>
              <w:rPr>
                <w:webHidden/>
              </w:rPr>
              <w:fldChar w:fldCharType="begin"/>
            </w:r>
            <w:r>
              <w:rPr>
                <w:webHidden/>
              </w:rPr>
              <w:instrText xml:space="preserve">PAGEREF _Toc229057943 \h</w:instrText>
            </w:r>
            <w:r>
              <w:rPr>
                <w:webHidden/>
              </w:rPr>
              <w:fldChar w:fldCharType="separate"/>
            </w:r>
            <w:r>
              <w:rPr>
                <w:rStyle w:val="IndexLink"/>
                <w:vanish w:val="false"/>
              </w:rPr>
              <w:tab/>
              <w:t>x</w:t>
            </w:r>
            <w:r>
              <w:rPr>
                <w:webHidden/>
              </w:rPr>
              <w:fldChar w:fldCharType="end"/>
            </w:r>
          </w:hyperlink>
          <w:r>
            <w:rPr>
              <w:rStyle w:val="IndexLink"/>
              <w:vanish w:val="false"/>
            </w:rPr>
            <w:fldChar w:fldCharType="end"/>
          </w:r>
        </w:p>
      </w:sdtContent>
    </w:sdt>
    <w:p>
      <w:pPr>
        <w:pStyle w:val="Normal"/>
        <w:widowControl/>
        <w:bidi w:val="0"/>
        <w:spacing w:lineRule="auto" w:line="240" w:before="120" w:after="120"/>
        <w:ind w:left="284" w:right="283"/>
        <w:jc w:val="both"/>
        <w:rPr>
          <w:rFonts w:ascii="Czechia Sans" w:hAnsi="Czechia Sans"/>
          <w:sz w:val="20"/>
        </w:rPr>
      </w:pPr>
      <w:r>
        <w:rPr>
          <w:sz w:val="20"/>
        </w:rPr>
      </w:r>
      <w:r>
        <w:br w:type="page"/>
      </w:r>
    </w:p>
    <w:p>
      <w:pPr>
        <w:pStyle w:val="Textprost"/>
        <w:spacing w:before="0" w:after="160"/>
        <w:rPr/>
      </w:pPr>
      <w:r>
        <w:rPr/>
      </w:r>
    </w:p>
    <w:p>
      <w:pPr>
        <w:pStyle w:val="Heading1"/>
        <w:numPr>
          <w:ilvl w:val="0"/>
          <w:numId w:val="0"/>
        </w:numPr>
        <w:ind w:hanging="0" w:left="114" w:right="284"/>
        <w:rPr/>
      </w:pPr>
      <w:bookmarkStart w:id="14" w:name="_Toc229057777"/>
      <w:r>
        <w:rPr/>
        <w:t>Seznam použitých zkratek /</w:t>
        <w:br/>
      </w:r>
      <w:r>
        <w:rPr>
          <w:i/>
          <w:iCs/>
          <w:sz w:val="36"/>
          <w:szCs w:val="36"/>
        </w:rPr>
        <w:t>List of Acronyms and Abbreviations</w:t>
      </w:r>
      <w:bookmarkEnd w:id="14"/>
      <w:r>
        <w:rPr>
          <w:rFonts w:eastAsia="Calibri" w:cs="" w:cstheme="minorBidi" w:eastAsiaTheme="minorHAnsi"/>
          <w:color w:val="auto"/>
          <w:kern w:val="0"/>
          <w:sz w:val="20"/>
          <w:szCs w:val="22"/>
          <w:lang w:val="cs-CZ" w:eastAsia="en-US" w:bidi="ar-SA"/>
        </w:rPr>
        <w:t>[[^OT]]</w:t>
      </w:r>
    </w:p>
    <w:tbl>
      <w:tblPr>
        <w:tblStyle w:val="TableGrid"/>
        <w:tblW w:w="906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17"/>
        <w:gridCol w:w="1418"/>
        <w:gridCol w:w="3112"/>
        <w:gridCol w:w="3113"/>
      </w:tblGrid>
      <w:tr>
        <w:trPr/>
        <w:tc>
          <w:tcPr>
            <w:tcW w:w="1417" w:type="dxa"/>
            <w:tcBorders>
              <w:top w:val="nil"/>
              <w:left w:val="nil"/>
              <w:bottom w:val="single" w:sz="4" w:space="0" w:color="0C1838"/>
              <w:right w:val="nil"/>
            </w:tcBorders>
          </w:tcPr>
          <w:p>
            <w:pPr>
              <w:pStyle w:val="Tabulkatext"/>
              <w:widowControl/>
              <w:suppressAutoHyphens w:val="true"/>
              <w:rPr>
                <w:kern w:val="0"/>
                <w:lang w:val="cs-CZ" w:bidi="ar-SA"/>
              </w:rPr>
            </w:pPr>
            <w:r>
              <w:rPr>
                <w:kern w:val="0"/>
                <w:lang w:val="cs-CZ" w:bidi="ar-SA"/>
              </w:rPr>
              <w:t>Zkratka</w:t>
            </w:r>
          </w:p>
        </w:tc>
        <w:tc>
          <w:tcPr>
            <w:tcW w:w="1418" w:type="dxa"/>
            <w:tcBorders>
              <w:top w:val="nil"/>
              <w:left w:val="nil"/>
              <w:bottom w:val="single" w:sz="4" w:space="0" w:color="0C1838"/>
              <w:right w:val="single" w:sz="4" w:space="0" w:color="0C1838"/>
            </w:tcBorders>
          </w:tcPr>
          <w:p>
            <w:pPr>
              <w:pStyle w:val="Tabulkatext"/>
              <w:widowControl/>
              <w:suppressAutoHyphens w:val="true"/>
              <w:rPr>
                <w:kern w:val="0"/>
                <w:lang w:val="cs-CZ" w:bidi="ar-SA"/>
              </w:rPr>
            </w:pPr>
            <w:r>
              <w:rPr>
                <w:kern w:val="0"/>
                <w:lang w:val="cs-CZ" w:bidi="ar-SA"/>
              </w:rPr>
              <w:t>Abbreviation</w:t>
            </w:r>
          </w:p>
        </w:tc>
        <w:tc>
          <w:tcPr>
            <w:tcW w:w="3112" w:type="dxa"/>
            <w:tcBorders>
              <w:top w:val="nil"/>
              <w:left w:val="single" w:sz="4" w:space="0" w:color="0C1838"/>
              <w:bottom w:val="single" w:sz="4" w:space="0" w:color="0C1838"/>
              <w:right w:val="nil"/>
            </w:tcBorders>
          </w:tcPr>
          <w:p>
            <w:pPr>
              <w:pStyle w:val="Tabulkatext"/>
              <w:widowControl/>
              <w:suppressAutoHyphens w:val="true"/>
              <w:rPr>
                <w:kern w:val="0"/>
                <w:lang w:val="cs-CZ" w:bidi="ar-SA"/>
              </w:rPr>
            </w:pPr>
            <w:r>
              <w:rPr>
                <w:kern w:val="0"/>
                <w:lang w:val="cs-CZ" w:bidi="ar-SA"/>
              </w:rPr>
              <w:t>Význam</w:t>
            </w:r>
          </w:p>
        </w:tc>
        <w:tc>
          <w:tcPr>
            <w:tcW w:w="3113" w:type="dxa"/>
            <w:tcBorders>
              <w:top w:val="nil"/>
              <w:left w:val="nil"/>
              <w:bottom w:val="single" w:sz="4" w:space="0" w:color="0C1838"/>
              <w:right w:val="nil"/>
            </w:tcBorders>
          </w:tcPr>
          <w:p>
            <w:pPr>
              <w:pStyle w:val="Tabulkatext"/>
              <w:widowControl/>
              <w:suppressAutoHyphens w:val="true"/>
              <w:rPr>
                <w:kern w:val="0"/>
                <w:lang w:val="cs-CZ" w:bidi="ar-SA"/>
              </w:rPr>
            </w:pPr>
            <w:r>
              <w:rPr>
                <w:kern w:val="0"/>
                <w:lang w:val="cs-CZ" w:bidi="ar-SA"/>
              </w:rPr>
              <w:t>Meaning</w:t>
            </w:r>
          </w:p>
        </w:tc>
      </w:tr>
      <w:tr>
        <w:trPr/>
        <w:tc>
          <w:tcPr>
            <w:tcW w:w="1417" w:type="dxa"/>
            <w:tcBorders>
              <w:top w:val="single" w:sz="4" w:space="0" w:color="0C1838"/>
              <w:left w:val="nil"/>
              <w:bottom w:val="nil"/>
              <w:right w:val="nil"/>
            </w:tcBorders>
          </w:tcPr>
          <w:p>
            <w:pPr>
              <w:pStyle w:val="Tabulkatext"/>
              <w:widowControl/>
              <w:suppressAutoHyphens w:val="true"/>
              <w:rPr>
                <w:kern w:val="0"/>
                <w:lang w:val="cs-CZ" w:bidi="ar-SA"/>
              </w:rPr>
            </w:pPr>
            <w:r>
              <w:rPr>
                <w:kern w:val="0"/>
                <w:lang w:val="cs-CZ" w:bidi="ar-SA"/>
              </w:rPr>
              <w:t>ČTÚ</w:t>
            </w:r>
          </w:p>
        </w:tc>
        <w:tc>
          <w:tcPr>
            <w:tcW w:w="1418" w:type="dxa"/>
            <w:tcBorders>
              <w:top w:val="single" w:sz="4" w:space="0" w:color="0C1838"/>
              <w:left w:val="nil"/>
              <w:bottom w:val="nil"/>
              <w:right w:val="single" w:sz="4" w:space="0" w:color="0C1838"/>
            </w:tcBorders>
          </w:tcPr>
          <w:p>
            <w:pPr>
              <w:pStyle w:val="Tabulkatext"/>
              <w:widowControl/>
              <w:suppressAutoHyphens w:val="true"/>
              <w:rPr>
                <w:kern w:val="0"/>
                <w:lang w:val="cs-CZ" w:bidi="ar-SA"/>
              </w:rPr>
            </w:pPr>
            <w:r>
              <w:rPr>
                <w:kern w:val="0"/>
                <w:lang w:val="cs-CZ" w:bidi="ar-SA"/>
              </w:rPr>
              <w:t>ČTÚ</w:t>
            </w:r>
          </w:p>
        </w:tc>
        <w:tc>
          <w:tcPr>
            <w:tcW w:w="3112" w:type="dxa"/>
            <w:tcBorders>
              <w:top w:val="single" w:sz="4" w:space="0" w:color="0C1838"/>
              <w:left w:val="single" w:sz="4" w:space="0" w:color="0C1838"/>
              <w:bottom w:val="nil"/>
              <w:right w:val="nil"/>
            </w:tcBorders>
          </w:tcPr>
          <w:p>
            <w:pPr>
              <w:pStyle w:val="Tabulkatext"/>
              <w:widowControl/>
              <w:suppressAutoHyphens w:val="true"/>
              <w:rPr>
                <w:kern w:val="0"/>
                <w:lang w:val="cs-CZ" w:bidi="ar-SA"/>
              </w:rPr>
            </w:pPr>
            <w:r>
              <w:rPr>
                <w:kern w:val="0"/>
                <w:lang w:val="cs-CZ" w:bidi="ar-SA"/>
              </w:rPr>
              <w:t>Český telekomunikační úřad</w:t>
            </w:r>
          </w:p>
        </w:tc>
        <w:tc>
          <w:tcPr>
            <w:tcW w:w="3113" w:type="dxa"/>
            <w:tcBorders>
              <w:top w:val="single" w:sz="4" w:space="0" w:color="0C1838"/>
              <w:left w:val="nil"/>
              <w:bottom w:val="nil"/>
              <w:right w:val="nil"/>
            </w:tcBorders>
          </w:tcPr>
          <w:p>
            <w:pPr>
              <w:pStyle w:val="Tabulkatext"/>
              <w:widowControl/>
              <w:suppressAutoHyphens w:val="true"/>
              <w:rPr>
                <w:kern w:val="0"/>
                <w:lang w:val="cs-CZ" w:bidi="ar-SA"/>
              </w:rPr>
            </w:pPr>
            <w:r>
              <w:rPr>
                <w:kern w:val="0"/>
                <w:lang w:val="cs-CZ" w:bidi="ar-SA"/>
              </w:rPr>
              <w:t>Czech Telecommunication Office</w:t>
            </w:r>
          </w:p>
        </w:tc>
      </w:tr>
      <w:tr>
        <w:trPr/>
        <w:tc>
          <w:tcPr>
            <w:tcW w:w="1417" w:type="dxa"/>
            <w:tcBorders>
              <w:top w:val="nil"/>
              <w:left w:val="nil"/>
              <w:bottom w:val="nil"/>
              <w:right w:val="nil"/>
            </w:tcBorders>
          </w:tcPr>
          <w:p>
            <w:pPr>
              <w:pStyle w:val="Tabulkatext"/>
              <w:widowControl/>
              <w:suppressAutoHyphens w:val="true"/>
              <w:rPr>
                <w:kern w:val="0"/>
                <w:lang w:val="cs-CZ" w:bidi="ar-SA"/>
              </w:rPr>
            </w:pPr>
            <w:r>
              <w:rPr>
                <w:kern w:val="0"/>
                <w:lang w:val="cs-CZ" w:bidi="ar-SA"/>
              </w:rPr>
              <w:t>O2</w:t>
            </w:r>
          </w:p>
        </w:tc>
        <w:tc>
          <w:tcPr>
            <w:tcW w:w="1418" w:type="dxa"/>
            <w:tcBorders>
              <w:top w:val="nil"/>
              <w:left w:val="nil"/>
              <w:bottom w:val="nil"/>
              <w:right w:val="single" w:sz="4" w:space="0" w:color="0C1838"/>
            </w:tcBorders>
          </w:tcPr>
          <w:p>
            <w:pPr>
              <w:pStyle w:val="Tabulkatext"/>
              <w:widowControl/>
              <w:suppressAutoHyphens w:val="true"/>
              <w:rPr>
                <w:kern w:val="0"/>
                <w:lang w:val="cs-CZ" w:bidi="ar-SA"/>
              </w:rPr>
            </w:pPr>
            <w:r>
              <w:rPr>
                <w:kern w:val="0"/>
                <w:lang w:val="cs-CZ" w:bidi="ar-SA"/>
              </w:rPr>
              <w:t>O2</w:t>
            </w:r>
          </w:p>
        </w:tc>
        <w:tc>
          <w:tcPr>
            <w:tcW w:w="3112" w:type="dxa"/>
            <w:tcBorders>
              <w:top w:val="nil"/>
              <w:left w:val="single" w:sz="4" w:space="0" w:color="0C1838"/>
              <w:bottom w:val="nil"/>
              <w:right w:val="nil"/>
            </w:tcBorders>
          </w:tcPr>
          <w:p>
            <w:pPr>
              <w:pStyle w:val="Tabulkatext"/>
              <w:widowControl/>
              <w:suppressAutoHyphens w:val="true"/>
              <w:rPr>
                <w:kern w:val="0"/>
                <w:lang w:val="cs-CZ" w:bidi="ar-SA"/>
              </w:rPr>
            </w:pPr>
            <w:r>
              <w:rPr>
                <w:kern w:val="0"/>
                <w:lang w:val="cs-CZ" w:bidi="ar-SA"/>
              </w:rPr>
            </w:r>
          </w:p>
        </w:tc>
        <w:tc>
          <w:tcPr>
            <w:tcW w:w="3113" w:type="dxa"/>
            <w:tcBorders>
              <w:top w:val="nil"/>
              <w:left w:val="nil"/>
              <w:bottom w:val="nil"/>
              <w:right w:val="nil"/>
            </w:tcBorders>
          </w:tcPr>
          <w:p>
            <w:pPr>
              <w:pStyle w:val="Tabulkatext"/>
              <w:widowControl/>
              <w:suppressAutoHyphens w:val="true"/>
              <w:rPr>
                <w:kern w:val="0"/>
                <w:lang w:val="cs-CZ" w:bidi="ar-SA"/>
              </w:rPr>
            </w:pPr>
            <w:r>
              <w:rPr>
                <w:kern w:val="0"/>
                <w:lang w:val="cs-CZ" w:bidi="ar-SA"/>
              </w:rPr>
            </w:r>
          </w:p>
        </w:tc>
      </w:tr>
      <w:tr>
        <w:trPr/>
        <w:tc>
          <w:tcPr>
            <w:tcW w:w="1417" w:type="dxa"/>
            <w:tcBorders>
              <w:top w:val="nil"/>
              <w:left w:val="nil"/>
              <w:bottom w:val="nil"/>
              <w:right w:val="nil"/>
            </w:tcBorders>
          </w:tcPr>
          <w:p>
            <w:pPr>
              <w:pStyle w:val="Tabulkatext"/>
              <w:widowControl/>
              <w:suppressAutoHyphens w:val="true"/>
              <w:rPr>
                <w:kern w:val="0"/>
                <w:lang w:val="cs-CZ" w:bidi="ar-SA"/>
              </w:rPr>
            </w:pPr>
            <w:r>
              <w:rPr>
                <w:kern w:val="0"/>
                <w:lang w:val="cs-CZ" w:bidi="ar-SA"/>
              </w:rPr>
              <w:t>T-Mobile</w:t>
            </w:r>
          </w:p>
        </w:tc>
        <w:tc>
          <w:tcPr>
            <w:tcW w:w="1418" w:type="dxa"/>
            <w:tcBorders>
              <w:top w:val="nil"/>
              <w:left w:val="nil"/>
              <w:bottom w:val="nil"/>
              <w:right w:val="single" w:sz="4" w:space="0" w:color="0C1838"/>
            </w:tcBorders>
          </w:tcPr>
          <w:p>
            <w:pPr>
              <w:pStyle w:val="Tabulkatext"/>
              <w:widowControl/>
              <w:suppressAutoHyphens w:val="true"/>
              <w:rPr>
                <w:kern w:val="0"/>
                <w:lang w:val="cs-CZ" w:bidi="ar-SA"/>
              </w:rPr>
            </w:pPr>
            <w:r>
              <w:rPr>
                <w:kern w:val="0"/>
                <w:lang w:val="cs-CZ" w:bidi="ar-SA"/>
              </w:rPr>
              <w:t>T-Mobile</w:t>
            </w:r>
          </w:p>
        </w:tc>
        <w:tc>
          <w:tcPr>
            <w:tcW w:w="3112" w:type="dxa"/>
            <w:tcBorders>
              <w:top w:val="nil"/>
              <w:left w:val="single" w:sz="4" w:space="0" w:color="0C1838"/>
              <w:bottom w:val="nil"/>
              <w:right w:val="nil"/>
            </w:tcBorders>
          </w:tcPr>
          <w:p>
            <w:pPr>
              <w:pStyle w:val="Tabulkatext"/>
              <w:widowControl/>
              <w:suppressAutoHyphens w:val="true"/>
              <w:rPr>
                <w:kern w:val="0"/>
                <w:lang w:val="cs-CZ" w:bidi="ar-SA"/>
              </w:rPr>
            </w:pPr>
            <w:r>
              <w:rPr>
                <w:kern w:val="0"/>
                <w:lang w:val="cs-CZ" w:bidi="ar-SA"/>
              </w:rPr>
            </w:r>
          </w:p>
        </w:tc>
        <w:tc>
          <w:tcPr>
            <w:tcW w:w="3113" w:type="dxa"/>
            <w:tcBorders>
              <w:top w:val="nil"/>
              <w:left w:val="nil"/>
              <w:bottom w:val="nil"/>
              <w:right w:val="nil"/>
            </w:tcBorders>
          </w:tcPr>
          <w:p>
            <w:pPr>
              <w:pStyle w:val="Tabulkatext"/>
              <w:widowControl/>
              <w:suppressAutoHyphens w:val="true"/>
              <w:rPr>
                <w:kern w:val="0"/>
                <w:lang w:val="cs-CZ" w:bidi="ar-SA"/>
              </w:rPr>
            </w:pPr>
            <w:r>
              <w:rPr>
                <w:kern w:val="0"/>
                <w:lang w:val="cs-CZ" w:bidi="ar-SA"/>
              </w:rPr>
            </w:r>
          </w:p>
        </w:tc>
      </w:tr>
      <w:tr>
        <w:trPr/>
        <w:tc>
          <w:tcPr>
            <w:tcW w:w="1417" w:type="dxa"/>
            <w:tcBorders>
              <w:top w:val="nil"/>
              <w:left w:val="nil"/>
              <w:bottom w:val="nil"/>
              <w:right w:val="nil"/>
            </w:tcBorders>
          </w:tcPr>
          <w:p>
            <w:pPr>
              <w:pStyle w:val="Tabulkatext"/>
              <w:widowControl/>
              <w:suppressAutoHyphens w:val="true"/>
              <w:rPr>
                <w:kern w:val="0"/>
                <w:lang w:val="cs-CZ" w:bidi="ar-SA"/>
              </w:rPr>
            </w:pPr>
            <w:r>
              <w:rPr>
                <w:kern w:val="0"/>
                <w:lang w:val="cs-CZ" w:bidi="ar-SA"/>
              </w:rPr>
              <w:t>ÚOOÚ</w:t>
            </w:r>
          </w:p>
        </w:tc>
        <w:tc>
          <w:tcPr>
            <w:tcW w:w="1418" w:type="dxa"/>
            <w:tcBorders>
              <w:top w:val="nil"/>
              <w:left w:val="nil"/>
              <w:bottom w:val="nil"/>
              <w:right w:val="single" w:sz="4" w:space="0" w:color="0C1838"/>
            </w:tcBorders>
          </w:tcPr>
          <w:p>
            <w:pPr>
              <w:pStyle w:val="Tabulkatext"/>
              <w:widowControl/>
              <w:suppressAutoHyphens w:val="true"/>
              <w:rPr>
                <w:kern w:val="0"/>
                <w:lang w:val="cs-CZ" w:bidi="ar-SA"/>
              </w:rPr>
            </w:pPr>
            <w:r>
              <w:rPr>
                <w:kern w:val="0"/>
                <w:lang w:val="cs-CZ" w:bidi="ar-SA"/>
              </w:rPr>
              <w:t>ÚOOÚ</w:t>
            </w:r>
          </w:p>
        </w:tc>
        <w:tc>
          <w:tcPr>
            <w:tcW w:w="3112" w:type="dxa"/>
            <w:tcBorders>
              <w:top w:val="nil"/>
              <w:left w:val="single" w:sz="4" w:space="0" w:color="0C1838"/>
              <w:bottom w:val="nil"/>
              <w:right w:val="nil"/>
            </w:tcBorders>
          </w:tcPr>
          <w:p>
            <w:pPr>
              <w:pStyle w:val="Tabulkatext"/>
              <w:widowControl/>
              <w:suppressAutoHyphens w:val="true"/>
              <w:rPr>
                <w:kern w:val="0"/>
                <w:lang w:val="cs-CZ" w:bidi="ar-SA"/>
              </w:rPr>
            </w:pPr>
            <w:r>
              <w:rPr>
                <w:kern w:val="0"/>
                <w:lang w:val="cs-CZ" w:bidi="ar-SA"/>
              </w:rPr>
            </w:r>
          </w:p>
        </w:tc>
        <w:tc>
          <w:tcPr>
            <w:tcW w:w="3113" w:type="dxa"/>
            <w:tcBorders>
              <w:top w:val="nil"/>
              <w:left w:val="nil"/>
              <w:bottom w:val="nil"/>
              <w:right w:val="nil"/>
            </w:tcBorders>
          </w:tcPr>
          <w:p>
            <w:pPr>
              <w:pStyle w:val="Tabulkatext"/>
              <w:widowControl/>
              <w:suppressAutoHyphens w:val="true"/>
              <w:rPr>
                <w:kern w:val="0"/>
                <w:lang w:val="cs-CZ" w:bidi="ar-SA"/>
              </w:rPr>
            </w:pPr>
            <w:r>
              <w:rPr>
                <w:kern w:val="0"/>
                <w:lang w:val="cs-CZ" w:bidi="ar-SA"/>
              </w:rPr>
            </w:r>
          </w:p>
        </w:tc>
      </w:tr>
      <w:tr>
        <w:trPr/>
        <w:tc>
          <w:tcPr>
            <w:tcW w:w="1417" w:type="dxa"/>
            <w:tcBorders>
              <w:top w:val="nil"/>
              <w:left w:val="nil"/>
              <w:bottom w:val="nil"/>
              <w:right w:val="nil"/>
            </w:tcBorders>
          </w:tcPr>
          <w:p>
            <w:pPr>
              <w:pStyle w:val="Tabulkatext"/>
              <w:widowControl/>
              <w:suppressAutoHyphens w:val="true"/>
              <w:rPr>
                <w:kern w:val="0"/>
                <w:lang w:val="cs-CZ" w:bidi="ar-SA"/>
              </w:rPr>
            </w:pPr>
            <w:r>
              <w:rPr>
                <w:rFonts w:eastAsia="Calibri" w:cs="" w:cstheme="minorBidi" w:eastAsiaTheme="minorHAnsi"/>
                <w:kern w:val="0"/>
                <w:szCs w:val="22"/>
                <w:lang w:val="cs-CZ" w:eastAsia="en-US" w:bidi="ar-SA"/>
              </w:rPr>
              <w:t>Úřad</w:t>
            </w:r>
          </w:p>
        </w:tc>
        <w:tc>
          <w:tcPr>
            <w:tcW w:w="1418" w:type="dxa"/>
            <w:tcBorders>
              <w:top w:val="nil"/>
              <w:left w:val="nil"/>
              <w:bottom w:val="nil"/>
              <w:right w:val="single" w:sz="4" w:space="0" w:color="0C1838"/>
            </w:tcBorders>
          </w:tcPr>
          <w:p>
            <w:pPr>
              <w:pStyle w:val="Tabulkatext"/>
              <w:widowControl/>
              <w:suppressAutoHyphens w:val="true"/>
              <w:rPr>
                <w:kern w:val="0"/>
                <w:lang w:val="cs-CZ" w:bidi="ar-SA"/>
              </w:rPr>
            </w:pPr>
            <w:r>
              <w:rPr>
                <w:kern w:val="0"/>
                <w:lang w:val="cs-CZ" w:bidi="ar-SA"/>
              </w:rPr>
              <w:t>The Office</w:t>
            </w:r>
          </w:p>
        </w:tc>
        <w:tc>
          <w:tcPr>
            <w:tcW w:w="3112" w:type="dxa"/>
            <w:tcBorders>
              <w:top w:val="nil"/>
              <w:left w:val="single" w:sz="4" w:space="0" w:color="0C1838"/>
              <w:bottom w:val="nil"/>
              <w:right w:val="nil"/>
            </w:tcBorders>
          </w:tcPr>
          <w:p>
            <w:pPr>
              <w:pStyle w:val="Tabulkatext"/>
              <w:widowControl/>
              <w:suppressAutoHyphens w:val="true"/>
              <w:rPr>
                <w:kern w:val="0"/>
                <w:lang w:val="cs-CZ" w:bidi="ar-SA"/>
              </w:rPr>
            </w:pPr>
            <w:r>
              <w:rPr>
                <w:kern w:val="0"/>
                <w:lang w:val="cs-CZ" w:bidi="ar-SA"/>
              </w:rPr>
              <w:t>Úřad pro ochranu hospodářské soutěže</w:t>
            </w:r>
          </w:p>
        </w:tc>
        <w:tc>
          <w:tcPr>
            <w:tcW w:w="3113" w:type="dxa"/>
            <w:tcBorders>
              <w:top w:val="nil"/>
              <w:left w:val="nil"/>
              <w:bottom w:val="nil"/>
              <w:right w:val="nil"/>
            </w:tcBorders>
          </w:tcPr>
          <w:p>
            <w:pPr>
              <w:pStyle w:val="Tabulkatext"/>
              <w:widowControl/>
              <w:suppressAutoHyphens w:val="true"/>
              <w:rPr>
                <w:kern w:val="0"/>
                <w:lang w:val="cs-CZ" w:bidi="ar-SA"/>
              </w:rPr>
            </w:pPr>
            <w:r>
              <w:rPr>
                <w:kern w:val="0"/>
                <w:lang w:val="cs-CZ" w:bidi="ar-SA"/>
              </w:rPr>
              <w:t>Office for the Protection of Competition</w:t>
            </w:r>
          </w:p>
        </w:tc>
      </w:tr>
      <w:tr>
        <w:trPr/>
        <w:tc>
          <w:tcPr>
            <w:tcW w:w="1417" w:type="dxa"/>
            <w:tcBorders>
              <w:top w:val="nil"/>
              <w:left w:val="nil"/>
              <w:bottom w:val="nil"/>
              <w:right w:val="nil"/>
            </w:tcBorders>
          </w:tcPr>
          <w:p>
            <w:pPr>
              <w:pStyle w:val="Tabulkatext"/>
              <w:widowControl/>
              <w:suppressAutoHyphens w:val="true"/>
              <w:rPr>
                <w:kern w:val="0"/>
                <w:lang w:val="cs-CZ" w:bidi="ar-SA"/>
              </w:rPr>
            </w:pPr>
            <w:r>
              <w:rPr>
                <w:kern w:val="0"/>
                <w:lang w:val="cs-CZ" w:bidi="ar-SA"/>
              </w:rPr>
              <w:t>Vodafone</w:t>
            </w:r>
          </w:p>
        </w:tc>
        <w:tc>
          <w:tcPr>
            <w:tcW w:w="1418" w:type="dxa"/>
            <w:tcBorders>
              <w:top w:val="nil"/>
              <w:left w:val="nil"/>
              <w:bottom w:val="nil"/>
              <w:right w:val="single" w:sz="4" w:space="0" w:color="0C1838"/>
            </w:tcBorders>
          </w:tcPr>
          <w:p>
            <w:pPr>
              <w:pStyle w:val="Tabulkatext"/>
              <w:widowControl/>
              <w:suppressAutoHyphens w:val="true"/>
              <w:rPr>
                <w:kern w:val="0"/>
                <w:lang w:val="cs-CZ" w:bidi="ar-SA"/>
              </w:rPr>
            </w:pPr>
            <w:r>
              <w:rPr>
                <w:kern w:val="0"/>
                <w:lang w:val="cs-CZ" w:bidi="ar-SA"/>
              </w:rPr>
              <w:t>Vodafone</w:t>
            </w:r>
          </w:p>
        </w:tc>
        <w:tc>
          <w:tcPr>
            <w:tcW w:w="3112" w:type="dxa"/>
            <w:tcBorders>
              <w:top w:val="nil"/>
              <w:left w:val="single" w:sz="4" w:space="0" w:color="0C1838"/>
              <w:bottom w:val="nil"/>
              <w:right w:val="nil"/>
            </w:tcBorders>
          </w:tcPr>
          <w:p>
            <w:pPr>
              <w:pStyle w:val="Tabulkatext"/>
              <w:widowControl/>
              <w:suppressAutoHyphens w:val="true"/>
              <w:rPr>
                <w:kern w:val="0"/>
                <w:lang w:val="cs-CZ" w:bidi="ar-SA"/>
              </w:rPr>
            </w:pPr>
            <w:r>
              <w:rPr>
                <w:kern w:val="0"/>
                <w:lang w:val="cs-CZ" w:bidi="ar-SA"/>
              </w:rPr>
            </w:r>
          </w:p>
        </w:tc>
        <w:tc>
          <w:tcPr>
            <w:tcW w:w="3113" w:type="dxa"/>
            <w:tcBorders>
              <w:top w:val="nil"/>
              <w:left w:val="nil"/>
              <w:bottom w:val="nil"/>
              <w:right w:val="nil"/>
            </w:tcBorders>
          </w:tcPr>
          <w:p>
            <w:pPr>
              <w:pStyle w:val="Tabulkatext"/>
              <w:widowControl/>
              <w:suppressAutoHyphens w:val="true"/>
              <w:rPr>
                <w:kern w:val="0"/>
                <w:lang w:val="cs-CZ" w:bidi="ar-SA"/>
              </w:rPr>
            </w:pPr>
            <w:r>
              <w:rPr>
                <w:kern w:val="0"/>
                <w:lang w:val="cs-CZ" w:bidi="ar-SA"/>
              </w:rPr>
            </w:r>
          </w:p>
        </w:tc>
      </w:tr>
      <w:tr>
        <w:trPr/>
        <w:tc>
          <w:tcPr>
            <w:tcW w:w="1417" w:type="dxa"/>
            <w:tcBorders>
              <w:top w:val="nil"/>
            </w:tcBorders>
          </w:tcPr>
          <w:p>
            <w:pPr>
              <w:pStyle w:val="Tabulkatext"/>
              <w:widowControl/>
              <w:suppressAutoHyphens w:val="true"/>
              <w:rPr>
                <w:kern w:val="0"/>
                <w:lang w:val="cs-CZ" w:bidi="ar-SA"/>
              </w:rPr>
            </w:pPr>
            <w:r>
              <w:rPr>
                <w:kern w:val="0"/>
                <w:lang w:val="cs-CZ" w:bidi="ar-SA"/>
              </w:rPr>
            </w:r>
          </w:p>
        </w:tc>
        <w:tc>
          <w:tcPr>
            <w:tcW w:w="1418" w:type="dxa"/>
            <w:tcBorders>
              <w:top w:val="nil"/>
            </w:tcBorders>
          </w:tcPr>
          <w:p>
            <w:pPr>
              <w:pStyle w:val="Tabulkatext"/>
              <w:widowControl/>
              <w:suppressAutoHyphens w:val="true"/>
              <w:rPr>
                <w:kern w:val="0"/>
                <w:lang w:val="cs-CZ" w:bidi="ar-SA"/>
              </w:rPr>
            </w:pPr>
            <w:r>
              <w:rPr>
                <w:kern w:val="0"/>
                <w:lang w:val="cs-CZ" w:bidi="ar-SA"/>
              </w:rPr>
            </w:r>
          </w:p>
        </w:tc>
        <w:tc>
          <w:tcPr>
            <w:tcW w:w="3112" w:type="dxa"/>
            <w:tcBorders>
              <w:top w:val="nil"/>
            </w:tcBorders>
          </w:tcPr>
          <w:p>
            <w:pPr>
              <w:pStyle w:val="Tabulkatext"/>
              <w:widowControl/>
              <w:suppressAutoHyphens w:val="true"/>
              <w:rPr>
                <w:kern w:val="0"/>
                <w:lang w:val="cs-CZ" w:bidi="ar-SA"/>
              </w:rPr>
            </w:pPr>
            <w:r>
              <w:rPr>
                <w:kern w:val="0"/>
                <w:lang w:val="cs-CZ" w:bidi="ar-SA"/>
              </w:rPr>
            </w:r>
          </w:p>
        </w:tc>
        <w:tc>
          <w:tcPr>
            <w:tcW w:w="3113" w:type="dxa"/>
            <w:tcBorders>
              <w:top w:val="nil"/>
            </w:tcBorders>
          </w:tcPr>
          <w:p>
            <w:pPr>
              <w:pStyle w:val="Tabulkatext"/>
              <w:widowControl/>
              <w:suppressAutoHyphens w:val="true"/>
              <w:rPr>
                <w:kern w:val="0"/>
                <w:lang w:val="cs-CZ" w:bidi="ar-SA"/>
              </w:rPr>
            </w:pPr>
            <w:r>
              <w:rPr>
                <w:kern w:val="0"/>
                <w:lang w:val="cs-CZ" w:bidi="ar-SA"/>
              </w:rPr>
            </w:r>
          </w:p>
        </w:tc>
      </w:tr>
      <w:tr>
        <w:trPr/>
        <w:tc>
          <w:tcPr>
            <w:tcW w:w="1417" w:type="dxa"/>
            <w:tcBorders>
              <w:top w:val="nil"/>
            </w:tcBorders>
          </w:tcPr>
          <w:p>
            <w:pPr>
              <w:pStyle w:val="Tabulkatext"/>
              <w:widowControl/>
              <w:suppressAutoHyphens w:val="true"/>
              <w:rPr>
                <w:kern w:val="0"/>
                <w:lang w:val="cs-CZ" w:bidi="ar-SA"/>
              </w:rPr>
            </w:pPr>
            <w:r>
              <w:rPr>
                <w:kern w:val="0"/>
                <w:lang w:val="cs-CZ" w:bidi="ar-SA"/>
              </w:rPr>
            </w:r>
          </w:p>
        </w:tc>
        <w:tc>
          <w:tcPr>
            <w:tcW w:w="1418" w:type="dxa"/>
            <w:tcBorders>
              <w:top w:val="nil"/>
            </w:tcBorders>
          </w:tcPr>
          <w:p>
            <w:pPr>
              <w:pStyle w:val="Tabulkatext"/>
              <w:widowControl/>
              <w:suppressAutoHyphens w:val="true"/>
              <w:rPr>
                <w:kern w:val="0"/>
                <w:lang w:val="cs-CZ" w:bidi="ar-SA"/>
              </w:rPr>
            </w:pPr>
            <w:r>
              <w:rPr>
                <w:kern w:val="0"/>
                <w:lang w:val="cs-CZ" w:bidi="ar-SA"/>
              </w:rPr>
            </w:r>
          </w:p>
        </w:tc>
        <w:tc>
          <w:tcPr>
            <w:tcW w:w="3112" w:type="dxa"/>
            <w:tcBorders>
              <w:top w:val="nil"/>
            </w:tcBorders>
          </w:tcPr>
          <w:p>
            <w:pPr>
              <w:pStyle w:val="Tabulkatext"/>
              <w:widowControl/>
              <w:suppressAutoHyphens w:val="true"/>
              <w:rPr>
                <w:kern w:val="0"/>
                <w:lang w:val="cs-CZ" w:bidi="ar-SA"/>
              </w:rPr>
            </w:pPr>
            <w:r>
              <w:rPr>
                <w:kern w:val="0"/>
                <w:lang w:val="cs-CZ" w:bidi="ar-SA"/>
              </w:rPr>
            </w:r>
          </w:p>
        </w:tc>
        <w:tc>
          <w:tcPr>
            <w:tcW w:w="3113" w:type="dxa"/>
            <w:tcBorders>
              <w:top w:val="nil"/>
            </w:tcBorders>
          </w:tcPr>
          <w:p>
            <w:pPr>
              <w:pStyle w:val="Tabulkatext"/>
              <w:widowControl/>
              <w:suppressAutoHyphens w:val="true"/>
              <w:rPr>
                <w:kern w:val="0"/>
                <w:lang w:val="cs-CZ" w:bidi="ar-SA"/>
              </w:rPr>
            </w:pPr>
            <w:r>
              <w:rPr>
                <w:kern w:val="0"/>
                <w:lang w:val="cs-CZ" w:bidi="ar-SA"/>
              </w:rPr>
            </w:r>
          </w:p>
        </w:tc>
      </w:tr>
      <w:tr>
        <w:trPr/>
        <w:tc>
          <w:tcPr>
            <w:tcW w:w="1417" w:type="dxa"/>
            <w:tcBorders>
              <w:top w:val="nil"/>
            </w:tcBorders>
          </w:tcPr>
          <w:p>
            <w:pPr>
              <w:pStyle w:val="Tabulkatext"/>
              <w:widowControl/>
              <w:suppressAutoHyphens w:val="true"/>
              <w:rPr>
                <w:kern w:val="0"/>
                <w:lang w:val="cs-CZ" w:bidi="ar-SA"/>
              </w:rPr>
            </w:pPr>
            <w:r>
              <w:rPr>
                <w:kern w:val="0"/>
                <w:lang w:val="cs-CZ" w:bidi="ar-SA"/>
              </w:rPr>
            </w:r>
          </w:p>
        </w:tc>
        <w:tc>
          <w:tcPr>
            <w:tcW w:w="1418" w:type="dxa"/>
            <w:tcBorders>
              <w:top w:val="nil"/>
            </w:tcBorders>
          </w:tcPr>
          <w:p>
            <w:pPr>
              <w:pStyle w:val="Tabulkatext"/>
              <w:widowControl/>
              <w:suppressAutoHyphens w:val="true"/>
              <w:rPr>
                <w:kern w:val="0"/>
                <w:lang w:val="cs-CZ" w:bidi="ar-SA"/>
              </w:rPr>
            </w:pPr>
            <w:r>
              <w:rPr>
                <w:kern w:val="0"/>
                <w:lang w:val="cs-CZ" w:bidi="ar-SA"/>
              </w:rPr>
            </w:r>
          </w:p>
        </w:tc>
        <w:tc>
          <w:tcPr>
            <w:tcW w:w="3112" w:type="dxa"/>
            <w:tcBorders>
              <w:top w:val="nil"/>
            </w:tcBorders>
          </w:tcPr>
          <w:p>
            <w:pPr>
              <w:pStyle w:val="Tabulkatext"/>
              <w:widowControl/>
              <w:suppressAutoHyphens w:val="true"/>
              <w:rPr>
                <w:kern w:val="0"/>
                <w:lang w:val="cs-CZ" w:bidi="ar-SA"/>
              </w:rPr>
            </w:pPr>
            <w:r>
              <w:rPr>
                <w:kern w:val="0"/>
                <w:lang w:val="cs-CZ" w:bidi="ar-SA"/>
              </w:rPr>
            </w:r>
          </w:p>
        </w:tc>
        <w:tc>
          <w:tcPr>
            <w:tcW w:w="3113" w:type="dxa"/>
            <w:tcBorders>
              <w:top w:val="nil"/>
            </w:tcBorders>
          </w:tcPr>
          <w:p>
            <w:pPr>
              <w:pStyle w:val="Tabulkatext"/>
              <w:widowControl/>
              <w:suppressAutoHyphens w:val="true"/>
              <w:rPr>
                <w:kern w:val="0"/>
                <w:lang w:val="cs-CZ" w:bidi="ar-SA"/>
              </w:rPr>
            </w:pPr>
            <w:r>
              <w:rPr>
                <w:kern w:val="0"/>
                <w:lang w:val="cs-CZ" w:bidi="ar-SA"/>
              </w:rPr>
            </w:r>
          </w:p>
        </w:tc>
      </w:tr>
      <w:tr>
        <w:trPr/>
        <w:tc>
          <w:tcPr>
            <w:tcW w:w="1417" w:type="dxa"/>
            <w:tcBorders>
              <w:top w:val="nil"/>
            </w:tcBorders>
          </w:tcPr>
          <w:p>
            <w:pPr>
              <w:pStyle w:val="Tabulkatext"/>
              <w:widowControl/>
              <w:suppressAutoHyphens w:val="true"/>
              <w:rPr>
                <w:kern w:val="0"/>
                <w:lang w:val="cs-CZ" w:bidi="ar-SA"/>
              </w:rPr>
            </w:pPr>
            <w:r>
              <w:rPr>
                <w:kern w:val="0"/>
                <w:lang w:val="cs-CZ" w:bidi="ar-SA"/>
              </w:rPr>
            </w:r>
          </w:p>
        </w:tc>
        <w:tc>
          <w:tcPr>
            <w:tcW w:w="1418" w:type="dxa"/>
            <w:tcBorders>
              <w:top w:val="nil"/>
            </w:tcBorders>
          </w:tcPr>
          <w:p>
            <w:pPr>
              <w:pStyle w:val="Tabulkatext"/>
              <w:widowControl/>
              <w:suppressAutoHyphens w:val="true"/>
              <w:rPr>
                <w:kern w:val="0"/>
                <w:lang w:val="cs-CZ" w:bidi="ar-SA"/>
              </w:rPr>
            </w:pPr>
            <w:r>
              <w:rPr>
                <w:kern w:val="0"/>
                <w:lang w:val="cs-CZ" w:bidi="ar-SA"/>
              </w:rPr>
            </w:r>
          </w:p>
        </w:tc>
        <w:tc>
          <w:tcPr>
            <w:tcW w:w="3112" w:type="dxa"/>
            <w:tcBorders>
              <w:top w:val="nil"/>
            </w:tcBorders>
          </w:tcPr>
          <w:p>
            <w:pPr>
              <w:pStyle w:val="Tabulkatext"/>
              <w:widowControl/>
              <w:suppressAutoHyphens w:val="true"/>
              <w:rPr>
                <w:kern w:val="0"/>
                <w:lang w:val="cs-CZ" w:bidi="ar-SA"/>
              </w:rPr>
            </w:pPr>
            <w:r>
              <w:rPr>
                <w:kern w:val="0"/>
                <w:lang w:val="cs-CZ" w:bidi="ar-SA"/>
              </w:rPr>
            </w:r>
          </w:p>
        </w:tc>
        <w:tc>
          <w:tcPr>
            <w:tcW w:w="3113" w:type="dxa"/>
            <w:tcBorders>
              <w:top w:val="nil"/>
            </w:tcBorders>
          </w:tcPr>
          <w:p>
            <w:pPr>
              <w:pStyle w:val="Tabulkatext"/>
              <w:widowControl/>
              <w:suppressAutoHyphens w:val="true"/>
              <w:rPr>
                <w:kern w:val="0"/>
                <w:lang w:val="cs-CZ" w:bidi="ar-SA"/>
              </w:rPr>
            </w:pPr>
            <w:r>
              <w:rPr>
                <w:kern w:val="0"/>
                <w:lang w:val="cs-CZ" w:bidi="ar-SA"/>
              </w:rPr>
            </w:r>
          </w:p>
        </w:tc>
      </w:tr>
      <w:tr>
        <w:trPr/>
        <w:tc>
          <w:tcPr>
            <w:tcW w:w="1417" w:type="dxa"/>
            <w:tcBorders>
              <w:top w:val="nil"/>
            </w:tcBorders>
          </w:tcPr>
          <w:p>
            <w:pPr>
              <w:pStyle w:val="Tabulkatext"/>
              <w:widowControl/>
              <w:suppressAutoHyphens w:val="true"/>
              <w:rPr>
                <w:kern w:val="0"/>
                <w:lang w:val="cs-CZ" w:bidi="ar-SA"/>
              </w:rPr>
            </w:pPr>
            <w:r>
              <w:rPr>
                <w:kern w:val="0"/>
                <w:lang w:val="cs-CZ" w:bidi="ar-SA"/>
              </w:rPr>
            </w:r>
          </w:p>
        </w:tc>
        <w:tc>
          <w:tcPr>
            <w:tcW w:w="1418" w:type="dxa"/>
            <w:tcBorders>
              <w:top w:val="nil"/>
            </w:tcBorders>
          </w:tcPr>
          <w:p>
            <w:pPr>
              <w:pStyle w:val="Tabulkatext"/>
              <w:widowControl/>
              <w:suppressAutoHyphens w:val="true"/>
              <w:rPr>
                <w:kern w:val="0"/>
                <w:lang w:val="cs-CZ" w:bidi="ar-SA"/>
              </w:rPr>
            </w:pPr>
            <w:r>
              <w:rPr>
                <w:kern w:val="0"/>
                <w:lang w:val="cs-CZ" w:bidi="ar-SA"/>
              </w:rPr>
            </w:r>
          </w:p>
        </w:tc>
        <w:tc>
          <w:tcPr>
            <w:tcW w:w="3112" w:type="dxa"/>
            <w:tcBorders>
              <w:top w:val="nil"/>
            </w:tcBorders>
          </w:tcPr>
          <w:p>
            <w:pPr>
              <w:pStyle w:val="Tabulkatext"/>
              <w:widowControl/>
              <w:suppressAutoHyphens w:val="true"/>
              <w:rPr>
                <w:kern w:val="0"/>
                <w:lang w:val="cs-CZ" w:bidi="ar-SA"/>
              </w:rPr>
            </w:pPr>
            <w:r>
              <w:rPr>
                <w:kern w:val="0"/>
                <w:lang w:val="cs-CZ" w:bidi="ar-SA"/>
              </w:rPr>
            </w:r>
          </w:p>
        </w:tc>
        <w:tc>
          <w:tcPr>
            <w:tcW w:w="3113" w:type="dxa"/>
            <w:tcBorders>
              <w:top w:val="nil"/>
            </w:tcBorders>
          </w:tcPr>
          <w:p>
            <w:pPr>
              <w:pStyle w:val="Tabulkatext"/>
              <w:widowControl/>
              <w:suppressAutoHyphens w:val="true"/>
              <w:rPr>
                <w:kern w:val="0"/>
                <w:lang w:val="cs-CZ" w:bidi="ar-SA"/>
              </w:rPr>
            </w:pPr>
            <w:r>
              <w:rPr>
                <w:kern w:val="0"/>
                <w:lang w:val="cs-CZ" w:bidi="ar-SA"/>
              </w:rPr>
            </w:r>
          </w:p>
        </w:tc>
      </w:tr>
      <w:tr>
        <w:trPr/>
        <w:tc>
          <w:tcPr>
            <w:tcW w:w="1417" w:type="dxa"/>
            <w:tcBorders>
              <w:top w:val="nil"/>
            </w:tcBorders>
          </w:tcPr>
          <w:p>
            <w:pPr>
              <w:pStyle w:val="Tabulkatext"/>
              <w:widowControl/>
              <w:suppressAutoHyphens w:val="true"/>
              <w:rPr>
                <w:kern w:val="0"/>
                <w:lang w:val="cs-CZ" w:bidi="ar-SA"/>
              </w:rPr>
            </w:pPr>
            <w:r>
              <w:rPr>
                <w:kern w:val="0"/>
                <w:lang w:val="cs-CZ" w:bidi="ar-SA"/>
              </w:rPr>
            </w:r>
          </w:p>
        </w:tc>
        <w:tc>
          <w:tcPr>
            <w:tcW w:w="1418" w:type="dxa"/>
            <w:tcBorders>
              <w:top w:val="nil"/>
            </w:tcBorders>
          </w:tcPr>
          <w:p>
            <w:pPr>
              <w:pStyle w:val="Tabulkatext"/>
              <w:widowControl/>
              <w:suppressAutoHyphens w:val="true"/>
              <w:rPr>
                <w:kern w:val="0"/>
                <w:lang w:val="cs-CZ" w:bidi="ar-SA"/>
              </w:rPr>
            </w:pPr>
            <w:r>
              <w:rPr>
                <w:kern w:val="0"/>
                <w:lang w:val="cs-CZ" w:bidi="ar-SA"/>
              </w:rPr>
            </w:r>
          </w:p>
        </w:tc>
        <w:tc>
          <w:tcPr>
            <w:tcW w:w="3112" w:type="dxa"/>
            <w:tcBorders>
              <w:top w:val="nil"/>
            </w:tcBorders>
          </w:tcPr>
          <w:p>
            <w:pPr>
              <w:pStyle w:val="Tabulkatext"/>
              <w:widowControl/>
              <w:suppressAutoHyphens w:val="true"/>
              <w:rPr>
                <w:kern w:val="0"/>
                <w:lang w:val="cs-CZ" w:bidi="ar-SA"/>
              </w:rPr>
            </w:pPr>
            <w:r>
              <w:rPr>
                <w:kern w:val="0"/>
                <w:lang w:val="cs-CZ" w:bidi="ar-SA"/>
              </w:rPr>
            </w:r>
          </w:p>
        </w:tc>
        <w:tc>
          <w:tcPr>
            <w:tcW w:w="3113" w:type="dxa"/>
            <w:tcBorders>
              <w:top w:val="nil"/>
            </w:tcBorders>
          </w:tcPr>
          <w:p>
            <w:pPr>
              <w:pStyle w:val="Tabulkatext"/>
              <w:widowControl/>
              <w:suppressAutoHyphens w:val="true"/>
              <w:rPr>
                <w:kern w:val="0"/>
                <w:lang w:val="cs-CZ" w:bidi="ar-SA"/>
              </w:rPr>
            </w:pPr>
            <w:r>
              <w:rPr>
                <w:kern w:val="0"/>
                <w:lang w:val="cs-CZ" w:bidi="ar-SA"/>
              </w:rPr>
            </w:r>
          </w:p>
        </w:tc>
      </w:tr>
      <w:tr>
        <w:trPr/>
        <w:tc>
          <w:tcPr>
            <w:tcW w:w="1417" w:type="dxa"/>
            <w:tcBorders>
              <w:top w:val="nil"/>
            </w:tcBorders>
          </w:tcPr>
          <w:p>
            <w:pPr>
              <w:pStyle w:val="Tabulkatext"/>
              <w:widowControl/>
              <w:suppressAutoHyphens w:val="true"/>
              <w:rPr>
                <w:kern w:val="0"/>
                <w:lang w:val="cs-CZ" w:bidi="ar-SA"/>
              </w:rPr>
            </w:pPr>
            <w:r>
              <w:rPr>
                <w:kern w:val="0"/>
                <w:lang w:val="cs-CZ" w:bidi="ar-SA"/>
              </w:rPr>
            </w:r>
          </w:p>
        </w:tc>
        <w:tc>
          <w:tcPr>
            <w:tcW w:w="1418" w:type="dxa"/>
            <w:tcBorders>
              <w:top w:val="nil"/>
            </w:tcBorders>
          </w:tcPr>
          <w:p>
            <w:pPr>
              <w:pStyle w:val="Tabulkatext"/>
              <w:widowControl/>
              <w:suppressAutoHyphens w:val="true"/>
              <w:rPr>
                <w:kern w:val="0"/>
                <w:lang w:val="cs-CZ" w:bidi="ar-SA"/>
              </w:rPr>
            </w:pPr>
            <w:r>
              <w:rPr>
                <w:kern w:val="0"/>
                <w:lang w:val="cs-CZ" w:bidi="ar-SA"/>
              </w:rPr>
            </w:r>
          </w:p>
        </w:tc>
        <w:tc>
          <w:tcPr>
            <w:tcW w:w="3112" w:type="dxa"/>
            <w:tcBorders>
              <w:top w:val="nil"/>
            </w:tcBorders>
          </w:tcPr>
          <w:p>
            <w:pPr>
              <w:pStyle w:val="Tabulkatext"/>
              <w:widowControl/>
              <w:suppressAutoHyphens w:val="true"/>
              <w:rPr>
                <w:kern w:val="0"/>
                <w:lang w:val="cs-CZ" w:bidi="ar-SA"/>
              </w:rPr>
            </w:pPr>
            <w:r>
              <w:rPr>
                <w:kern w:val="0"/>
                <w:lang w:val="cs-CZ" w:bidi="ar-SA"/>
              </w:rPr>
            </w:r>
          </w:p>
        </w:tc>
        <w:tc>
          <w:tcPr>
            <w:tcW w:w="3113" w:type="dxa"/>
            <w:tcBorders>
              <w:top w:val="nil"/>
            </w:tcBorders>
          </w:tcPr>
          <w:p>
            <w:pPr>
              <w:pStyle w:val="Tabulkatext"/>
              <w:widowControl/>
              <w:suppressAutoHyphens w:val="true"/>
              <w:rPr>
                <w:kern w:val="0"/>
                <w:lang w:val="cs-CZ" w:bidi="ar-SA"/>
              </w:rPr>
            </w:pPr>
            <w:r>
              <w:rPr>
                <w:kern w:val="0"/>
                <w:lang w:val="cs-CZ" w:bidi="ar-SA"/>
              </w:rPr>
            </w:r>
          </w:p>
        </w:tc>
      </w:tr>
      <w:tr>
        <w:trPr/>
        <w:tc>
          <w:tcPr>
            <w:tcW w:w="1417" w:type="dxa"/>
            <w:tcBorders/>
          </w:tcPr>
          <w:p>
            <w:pPr>
              <w:pStyle w:val="Tabulkatext"/>
              <w:widowControl/>
              <w:suppressAutoHyphens w:val="true"/>
              <w:rPr>
                <w:kern w:val="0"/>
                <w:lang w:val="cs-CZ" w:bidi="ar-SA"/>
              </w:rPr>
            </w:pPr>
            <w:r>
              <w:rPr>
                <w:kern w:val="0"/>
                <w:lang w:val="cs-CZ" w:bidi="ar-SA"/>
              </w:rPr>
            </w:r>
          </w:p>
        </w:tc>
        <w:tc>
          <w:tcPr>
            <w:tcW w:w="1418" w:type="dxa"/>
            <w:tcBorders/>
          </w:tcPr>
          <w:p>
            <w:pPr>
              <w:pStyle w:val="Tabulkatext"/>
              <w:widowControl/>
              <w:suppressAutoHyphens w:val="true"/>
              <w:rPr>
                <w:kern w:val="0"/>
                <w:lang w:val="cs-CZ" w:bidi="ar-SA"/>
              </w:rPr>
            </w:pPr>
            <w:r>
              <w:rPr>
                <w:kern w:val="0"/>
                <w:lang w:val="cs-CZ" w:bidi="ar-SA"/>
              </w:rPr>
            </w:r>
          </w:p>
        </w:tc>
        <w:tc>
          <w:tcPr>
            <w:tcW w:w="3112" w:type="dxa"/>
            <w:tcBorders/>
          </w:tcPr>
          <w:p>
            <w:pPr>
              <w:pStyle w:val="Tabulkatext"/>
              <w:widowControl/>
              <w:suppressAutoHyphens w:val="true"/>
              <w:rPr>
                <w:kern w:val="0"/>
                <w:lang w:val="cs-CZ" w:bidi="ar-SA"/>
              </w:rPr>
            </w:pPr>
            <w:r>
              <w:rPr>
                <w:kern w:val="0"/>
                <w:lang w:val="cs-CZ" w:bidi="ar-SA"/>
              </w:rPr>
            </w:r>
          </w:p>
        </w:tc>
        <w:tc>
          <w:tcPr>
            <w:tcW w:w="3113" w:type="dxa"/>
            <w:tcBorders/>
          </w:tcPr>
          <w:p>
            <w:pPr>
              <w:pStyle w:val="Tabulkatext"/>
              <w:widowControl/>
              <w:suppressAutoHyphens w:val="true"/>
              <w:rPr>
                <w:kern w:val="0"/>
                <w:lang w:val="cs-CZ" w:bidi="ar-SA"/>
              </w:rPr>
            </w:pPr>
            <w:r>
              <w:rPr>
                <w:kern w:val="0"/>
                <w:lang w:val="cs-CZ" w:bidi="ar-SA"/>
              </w:rPr>
            </w:r>
          </w:p>
        </w:tc>
      </w:tr>
      <w:tr>
        <w:trPr/>
        <w:tc>
          <w:tcPr>
            <w:tcW w:w="1417" w:type="dxa"/>
            <w:tcBorders/>
          </w:tcPr>
          <w:p>
            <w:pPr>
              <w:pStyle w:val="Tabulkatext"/>
              <w:widowControl/>
              <w:suppressAutoHyphens w:val="true"/>
              <w:rPr>
                <w:kern w:val="0"/>
                <w:lang w:val="cs-CZ" w:bidi="ar-SA"/>
              </w:rPr>
            </w:pPr>
            <w:r>
              <w:rPr>
                <w:kern w:val="0"/>
                <w:lang w:val="cs-CZ" w:bidi="ar-SA"/>
              </w:rPr>
            </w:r>
          </w:p>
        </w:tc>
        <w:tc>
          <w:tcPr>
            <w:tcW w:w="1418" w:type="dxa"/>
            <w:tcBorders/>
          </w:tcPr>
          <w:p>
            <w:pPr>
              <w:pStyle w:val="Tabulkatext"/>
              <w:widowControl/>
              <w:suppressAutoHyphens w:val="true"/>
              <w:rPr>
                <w:kern w:val="0"/>
                <w:lang w:val="cs-CZ" w:bidi="ar-SA"/>
              </w:rPr>
            </w:pPr>
            <w:r>
              <w:rPr>
                <w:kern w:val="0"/>
                <w:lang w:val="cs-CZ" w:bidi="ar-SA"/>
              </w:rPr>
            </w:r>
          </w:p>
        </w:tc>
        <w:tc>
          <w:tcPr>
            <w:tcW w:w="3112" w:type="dxa"/>
            <w:tcBorders/>
          </w:tcPr>
          <w:p>
            <w:pPr>
              <w:pStyle w:val="Tabulkatext"/>
              <w:widowControl/>
              <w:suppressAutoHyphens w:val="true"/>
              <w:rPr>
                <w:kern w:val="0"/>
                <w:lang w:val="cs-CZ" w:bidi="ar-SA"/>
              </w:rPr>
            </w:pPr>
            <w:r>
              <w:rPr>
                <w:kern w:val="0"/>
                <w:lang w:val="cs-CZ" w:bidi="ar-SA"/>
              </w:rPr>
            </w:r>
          </w:p>
        </w:tc>
        <w:tc>
          <w:tcPr>
            <w:tcW w:w="3113" w:type="dxa"/>
            <w:tcBorders/>
          </w:tcPr>
          <w:p>
            <w:pPr>
              <w:pStyle w:val="Tabulkatext"/>
              <w:widowControl/>
              <w:suppressAutoHyphens w:val="true"/>
              <w:rPr>
                <w:kern w:val="0"/>
                <w:lang w:val="cs-CZ" w:bidi="ar-SA"/>
              </w:rPr>
            </w:pPr>
            <w:r>
              <w:rPr>
                <w:kern w:val="0"/>
                <w:lang w:val="cs-CZ" w:bidi="ar-SA"/>
              </w:rPr>
            </w:r>
          </w:p>
        </w:tc>
      </w:tr>
      <w:tr>
        <w:trPr/>
        <w:tc>
          <w:tcPr>
            <w:tcW w:w="1417" w:type="dxa"/>
            <w:tcBorders/>
          </w:tcPr>
          <w:p>
            <w:pPr>
              <w:pStyle w:val="Tabulkatext"/>
              <w:widowControl/>
              <w:suppressAutoHyphens w:val="true"/>
              <w:rPr>
                <w:kern w:val="0"/>
                <w:lang w:val="cs-CZ" w:bidi="ar-SA"/>
              </w:rPr>
            </w:pPr>
            <w:r>
              <w:rPr>
                <w:kern w:val="0"/>
                <w:lang w:val="cs-CZ" w:bidi="ar-SA"/>
              </w:rPr>
            </w:r>
          </w:p>
        </w:tc>
        <w:tc>
          <w:tcPr>
            <w:tcW w:w="1418" w:type="dxa"/>
            <w:tcBorders/>
          </w:tcPr>
          <w:p>
            <w:pPr>
              <w:pStyle w:val="Tabulkatext"/>
              <w:widowControl/>
              <w:suppressAutoHyphens w:val="true"/>
              <w:rPr>
                <w:kern w:val="0"/>
                <w:lang w:val="cs-CZ" w:bidi="ar-SA"/>
              </w:rPr>
            </w:pPr>
            <w:r>
              <w:rPr>
                <w:kern w:val="0"/>
                <w:lang w:val="cs-CZ" w:bidi="ar-SA"/>
              </w:rPr>
            </w:r>
          </w:p>
        </w:tc>
        <w:tc>
          <w:tcPr>
            <w:tcW w:w="3112" w:type="dxa"/>
            <w:tcBorders/>
          </w:tcPr>
          <w:p>
            <w:pPr>
              <w:pStyle w:val="Tabulkatext"/>
              <w:widowControl/>
              <w:suppressAutoHyphens w:val="true"/>
              <w:rPr>
                <w:kern w:val="0"/>
                <w:lang w:val="cs-CZ" w:bidi="ar-SA"/>
              </w:rPr>
            </w:pPr>
            <w:r>
              <w:rPr>
                <w:kern w:val="0"/>
                <w:lang w:val="cs-CZ" w:bidi="ar-SA"/>
              </w:rPr>
            </w:r>
          </w:p>
        </w:tc>
        <w:tc>
          <w:tcPr>
            <w:tcW w:w="3113" w:type="dxa"/>
            <w:tcBorders/>
          </w:tcPr>
          <w:p>
            <w:pPr>
              <w:pStyle w:val="Tabulkatext"/>
              <w:widowControl/>
              <w:suppressAutoHyphens w:val="true"/>
              <w:rPr>
                <w:kern w:val="0"/>
                <w:lang w:val="cs-CZ" w:bidi="ar-SA"/>
              </w:rPr>
            </w:pPr>
            <w:r>
              <w:rPr>
                <w:kern w:val="0"/>
                <w:lang w:val="cs-CZ" w:bidi="ar-SA"/>
              </w:rPr>
            </w:r>
          </w:p>
        </w:tc>
      </w:tr>
      <w:tr>
        <w:trPr/>
        <w:tc>
          <w:tcPr>
            <w:tcW w:w="1417" w:type="dxa"/>
            <w:tcBorders/>
          </w:tcPr>
          <w:p>
            <w:pPr>
              <w:pStyle w:val="Tabulkatext"/>
              <w:widowControl/>
              <w:suppressAutoHyphens w:val="true"/>
              <w:rPr>
                <w:kern w:val="0"/>
                <w:lang w:val="cs-CZ" w:bidi="ar-SA"/>
              </w:rPr>
            </w:pPr>
            <w:r>
              <w:rPr>
                <w:kern w:val="0"/>
                <w:lang w:val="cs-CZ" w:bidi="ar-SA"/>
              </w:rPr>
            </w:r>
          </w:p>
        </w:tc>
        <w:tc>
          <w:tcPr>
            <w:tcW w:w="1418" w:type="dxa"/>
            <w:tcBorders/>
          </w:tcPr>
          <w:p>
            <w:pPr>
              <w:pStyle w:val="Tabulkatext"/>
              <w:widowControl/>
              <w:suppressAutoHyphens w:val="true"/>
              <w:rPr>
                <w:kern w:val="0"/>
                <w:lang w:val="cs-CZ" w:bidi="ar-SA"/>
              </w:rPr>
            </w:pPr>
            <w:r>
              <w:rPr>
                <w:kern w:val="0"/>
                <w:lang w:val="cs-CZ" w:bidi="ar-SA"/>
              </w:rPr>
            </w:r>
          </w:p>
        </w:tc>
        <w:tc>
          <w:tcPr>
            <w:tcW w:w="3112" w:type="dxa"/>
            <w:tcBorders/>
          </w:tcPr>
          <w:p>
            <w:pPr>
              <w:pStyle w:val="Tabulkatext"/>
              <w:widowControl/>
              <w:suppressAutoHyphens w:val="true"/>
              <w:rPr>
                <w:kern w:val="0"/>
                <w:lang w:val="cs-CZ" w:bidi="ar-SA"/>
              </w:rPr>
            </w:pPr>
            <w:r>
              <w:rPr>
                <w:kern w:val="0"/>
                <w:lang w:val="cs-CZ" w:bidi="ar-SA"/>
              </w:rPr>
            </w:r>
          </w:p>
        </w:tc>
        <w:tc>
          <w:tcPr>
            <w:tcW w:w="3113" w:type="dxa"/>
            <w:tcBorders/>
          </w:tcPr>
          <w:p>
            <w:pPr>
              <w:pStyle w:val="Tabulkatext"/>
              <w:widowControl/>
              <w:suppressAutoHyphens w:val="true"/>
              <w:rPr>
                <w:kern w:val="0"/>
                <w:lang w:val="cs-CZ" w:bidi="ar-SA"/>
              </w:rPr>
            </w:pPr>
            <w:r>
              <w:rPr>
                <w:kern w:val="0"/>
                <w:lang w:val="cs-CZ" w:bidi="ar-SA"/>
              </w:rPr>
            </w:r>
          </w:p>
        </w:tc>
      </w:tr>
    </w:tbl>
    <w:p>
      <w:pPr>
        <w:pStyle w:val="Textprost"/>
        <w:rPr/>
      </w:pPr>
      <w:r>
        <w:rPr/>
      </w:r>
    </w:p>
    <w:p>
      <w:pPr>
        <w:pStyle w:val="Normal"/>
        <w:spacing w:lineRule="auto" w:line="259" w:before="0" w:after="160"/>
        <w:ind w:left="0" w:right="0"/>
        <w:jc w:val="left"/>
        <w:rPr/>
      </w:pPr>
      <w:r>
        <w:rPr/>
        <w:t>[[/OT]][[censorText2]]</w:t>
      </w:r>
      <w:r>
        <w:br w:type="page"/>
      </w:r>
    </w:p>
    <w:p>
      <w:pPr>
        <w:pStyle w:val="Textprost"/>
        <w:spacing w:before="0" w:after="160"/>
        <w:rPr/>
      </w:pPr>
      <w:r>
        <w:rPr/>
      </w:r>
    </w:p>
    <w:p>
      <w:pPr>
        <w:pStyle w:val="Heading1"/>
        <w:numPr>
          <w:ilvl w:val="0"/>
          <w:numId w:val="0"/>
        </w:numPr>
        <w:ind w:hanging="0" w:left="114" w:right="284"/>
        <w:rPr/>
      </w:pPr>
      <w:bookmarkStart w:id="15" w:name="_Toc229057778"/>
      <w:r>
        <w:rPr/>
        <w:t>Úvodní slovo předsedy Úřadu /</w:t>
        <w:br/>
      </w:r>
      <w:r>
        <w:rPr>
          <w:i/>
          <w:iCs/>
          <w:sz w:val="36"/>
          <w:szCs w:val="36"/>
        </w:rPr>
        <w:t>Foreword by the Chairman of the Office</w:t>
      </w:r>
      <w:bookmarkEnd w:id="15"/>
    </w:p>
    <w:p>
      <w:pPr>
        <w:pStyle w:val="Textkol"/>
        <w:rPr/>
      </w:pPr>
      <w:r>
        <w:rPr/>
        <w:t>Měl by být nějaký obsáhlejší text na cca 2-3 strany</w:t>
      </w:r>
    </w:p>
    <w:p>
      <w:pPr>
        <w:pStyle w:val="Normal"/>
        <w:spacing w:lineRule="auto" w:line="259" w:before="0" w:after="160"/>
        <w:ind w:left="0" w:right="0"/>
        <w:jc w:val="left"/>
        <w:rPr/>
      </w:pPr>
      <w:r>
        <w:rPr/>
      </w:r>
      <w:r>
        <w:br w:type="page"/>
      </w:r>
    </w:p>
    <w:p>
      <w:pPr>
        <w:pStyle w:val="Textprost"/>
        <w:spacing w:before="0" w:after="160"/>
        <w:rPr/>
      </w:pPr>
      <w:r>
        <w:rPr/>
      </w:r>
    </w:p>
    <w:p>
      <w:pPr>
        <w:pStyle w:val="Heading1"/>
        <w:numPr>
          <w:ilvl w:val="0"/>
          <w:numId w:val="0"/>
        </w:numPr>
        <w:ind w:hanging="0" w:left="114" w:right="284"/>
        <w:rPr/>
      </w:pPr>
      <w:bookmarkStart w:id="16" w:name="_Toc229057779"/>
      <w:r>
        <w:rPr/>
        <w:t>Akademická předmluva /</w:t>
        <w:br/>
      </w:r>
      <w:r>
        <w:rPr>
          <w:i/>
          <w:iCs/>
          <w:sz w:val="36"/>
          <w:szCs w:val="36"/>
        </w:rPr>
        <w:t>Academic Foreword</w:t>
      </w:r>
      <w:bookmarkEnd w:id="16"/>
    </w:p>
    <w:p>
      <w:pPr>
        <w:pStyle w:val="Textkol"/>
        <w:rPr/>
      </w:pPr>
      <w:r>
        <w:rPr/>
        <w:t>Profesor Kvizda ESF MUNI bude u dobíječek. Tady by bylo dobré dohledat někoho, kdo se telekomunikacím dlouhodobě věnuje + je aspoň profesor; ev. bych mohl vyzkoušet Heski Bar (uni of toronto)? Fuchs?</w:t>
      </w:r>
    </w:p>
    <w:p>
      <w:pPr>
        <w:pStyle w:val="Normal"/>
        <w:spacing w:lineRule="auto" w:line="259" w:before="0" w:after="160"/>
        <w:ind w:left="0" w:right="0"/>
        <w:jc w:val="left"/>
        <w:rPr/>
      </w:pPr>
      <w:r>
        <w:rPr/>
      </w:r>
      <w:r>
        <w:br w:type="page"/>
      </w:r>
    </w:p>
    <w:p>
      <w:pPr>
        <w:pStyle w:val="Textprost"/>
        <w:spacing w:before="0" w:after="160"/>
        <w:rPr/>
      </w:pPr>
      <w:r>
        <w:rPr/>
      </w:r>
    </w:p>
    <w:p>
      <w:pPr>
        <w:pStyle w:val="Heading1"/>
        <w:numPr>
          <w:ilvl w:val="0"/>
          <w:numId w:val="0"/>
        </w:numPr>
        <w:ind w:hanging="0" w:left="114" w:right="284"/>
        <w:rPr/>
      </w:pPr>
      <w:bookmarkStart w:id="17" w:name="_Toc229057780"/>
      <w:r>
        <w:rPr/>
        <w:t>Manažerské shrnutí</w:t>
      </w:r>
      <w:bookmarkEnd w:id="17"/>
    </w:p>
    <w:p>
      <w:pPr>
        <w:pStyle w:val="Textprost"/>
        <w:rPr/>
      </w:pPr>
      <w:r>
        <w:rPr/>
        <w:t>Fdgh</w:t>
      </w:r>
    </w:p>
    <w:p>
      <w:pPr>
        <w:pStyle w:val="Textprost"/>
        <w:rPr/>
      </w:pPr>
      <w:r>
        <w:rPr/>
        <w:t>Aerg</w:t>
      </w:r>
    </w:p>
    <w:p>
      <w:pPr>
        <w:pStyle w:val="Heading2"/>
        <w:numPr>
          <w:ilvl w:val="0"/>
          <w:numId w:val="0"/>
        </w:numPr>
        <w:ind w:hanging="0" w:left="114" w:right="284"/>
        <w:rPr/>
      </w:pPr>
      <w:bookmarkStart w:id="18" w:name="_Toc229057781"/>
      <w:r>
        <w:rPr/>
        <w:t>Průběh šetření</w:t>
      </w:r>
      <w:bookmarkEnd w:id="18"/>
    </w:p>
    <w:p>
      <w:pPr>
        <w:pStyle w:val="Textprost"/>
        <w:rPr/>
      </w:pPr>
      <w:r>
        <w:rPr/>
        <w:t>Sadrh</w:t>
      </w:r>
    </w:p>
    <w:p>
      <w:pPr>
        <w:pStyle w:val="Heading2"/>
        <w:numPr>
          <w:ilvl w:val="0"/>
          <w:numId w:val="0"/>
        </w:numPr>
        <w:ind w:hanging="0" w:left="114" w:right="284"/>
        <w:rPr/>
      </w:pPr>
      <w:bookmarkStart w:id="19" w:name="_Toc229057782"/>
      <w:r>
        <w:rPr/>
        <w:t>Metodika</w:t>
      </w:r>
      <w:bookmarkEnd w:id="19"/>
    </w:p>
    <w:p>
      <w:pPr>
        <w:pStyle w:val="Textprost"/>
        <w:rPr/>
      </w:pPr>
      <w:commentRangeStart w:id="0"/>
      <w:r>
        <w:rPr/>
        <w:t>Aby byl schopen Úřad situaci ve zkoumané oblasti řádně vyhodnotit přistoupil nejprve k relativnímu hodnocení. Pro účely tohoto relativního hodnocení a s ohledem na tři tržní subjekty obsluhující téměř celý trh nebo trhy zvolil jako nejvhodnější benchmark pro toto relativní srovnání co možná nejširší kategorii ekonomik, a to konkrétně státy EU.</w:t>
      </w:r>
      <w:commentRangeEnd w:id="0"/>
      <w:r>
        <w:commentReference w:id="0"/>
      </w:r>
      <w:r>
        <w:rPr/>
      </w:r>
    </w:p>
    <w:p>
      <w:pPr>
        <w:pStyle w:val="Textprost"/>
        <w:rPr/>
      </w:pPr>
      <w:r>
        <w:rPr/>
        <w:t>Při relativním srovnání nejprve vycházel z údajů Eurostatu ohledně cenového vývoje v oblasti telekomunikací v EU a posuzoval relativní akceleraci nebo deceleraci cenové úrovně ve zkoumané oblasti. V rámci srovnání Úřad přistoupil ke dvěma vlastním sběrům dat zahrnujícím ceny a obsah mobilních tarifních služeb v EU, aby mohl provést tzv. hedonický rozklad ceny běžně používaný na trzích s heterogenní produkcí a posoudit možnou cenovou excesi tržních cen v ČR. Následně tato data vyhodnotil i kvalitativně. V neposlední řadě Úřad odhadl za pomocí dat BEREC výši tzv. cenové mezery v ČR, aby mohl posoudit relativní velikost informační asymetrie a s ní spojeného oslabování informační funkce tržních cen. Hedonický rozklad ceníkových cen tarifních služeb pak doplnil ekonometrickým modelem zahrnujícím i proměnné reflektující lokální, tzn. národní, specifika mající vliv na úroveň cen.</w:t>
      </w:r>
    </w:p>
    <w:p>
      <w:pPr>
        <w:pStyle w:val="Textprost"/>
        <w:rPr/>
      </w:pPr>
      <w:r>
        <w:rPr/>
      </w:r>
    </w:p>
    <w:p>
      <w:pPr>
        <w:pStyle w:val="Textprost"/>
        <w:rPr/>
      </w:pPr>
      <w:r>
        <w:rPr/>
      </w:r>
    </w:p>
    <w:p>
      <w:pPr>
        <w:pStyle w:val="Textprost"/>
        <w:rPr/>
      </w:pPr>
      <w:r>
        <w:rPr/>
        <w:t>Aůoedrgh</w:t>
      </w:r>
    </w:p>
    <w:p>
      <w:pPr>
        <w:pStyle w:val="Heading2"/>
        <w:numPr>
          <w:ilvl w:val="0"/>
          <w:numId w:val="0"/>
        </w:numPr>
        <w:ind w:hanging="0" w:left="114" w:right="284"/>
        <w:rPr/>
      </w:pPr>
      <w:bookmarkStart w:id="20" w:name="_Toc229057783"/>
      <w:r>
        <w:rPr/>
        <w:t>Zjištění a závěry</w:t>
      </w:r>
      <w:bookmarkEnd w:id="20"/>
    </w:p>
    <w:p>
      <w:pPr>
        <w:pStyle w:val="Textprost"/>
        <w:rPr/>
      </w:pPr>
      <w:r>
        <w:rPr/>
        <w:t>aseth</w:t>
      </w:r>
    </w:p>
    <w:p>
      <w:pPr>
        <w:pStyle w:val="Heading2"/>
        <w:numPr>
          <w:ilvl w:val="0"/>
          <w:numId w:val="0"/>
        </w:numPr>
        <w:ind w:hanging="0" w:left="114" w:right="284"/>
        <w:rPr/>
      </w:pPr>
      <w:bookmarkStart w:id="21" w:name="_Toc229057784"/>
      <w:commentRangeStart w:id="1"/>
      <w:r>
        <w:rPr/>
        <w:t>Doporučení Úřadu</w:t>
      </w:r>
      <w:bookmarkEnd w:id="21"/>
      <w:commentRangeEnd w:id="1"/>
      <w:r>
        <w:commentReference w:id="1"/>
      </w:r>
      <w:r>
        <w:rPr/>
      </w:r>
    </w:p>
    <w:p>
      <w:pPr>
        <w:pStyle w:val="Textprost"/>
        <w:rPr/>
      </w:pPr>
      <w:r>
        <w:rPr/>
        <w:t>Sdrth</w:t>
      </w:r>
    </w:p>
    <w:p>
      <w:pPr>
        <w:pStyle w:val="Textprost"/>
        <w:rPr/>
      </w:pPr>
      <w:r>
        <w:rPr/>
        <w:t>Srthsr</w:t>
      </w:r>
    </w:p>
    <w:p>
      <w:pPr>
        <w:pStyle w:val="Textprost"/>
        <w:rPr/>
      </w:pPr>
      <w:r>
        <w:rPr/>
        <w:t>Rth</w:t>
      </w:r>
    </w:p>
    <w:p>
      <w:pPr>
        <w:sectPr>
          <w:headerReference w:type="default" r:id="rId9"/>
          <w:footerReference w:type="default" r:id="rId10"/>
          <w:footerReference w:type="first" r:id="rId11"/>
          <w:type w:val="nextPage"/>
          <w:pgSz w:w="11906" w:h="16838"/>
          <w:pgMar w:left="1474" w:right="1361" w:gutter="0" w:header="709" w:top="766" w:footer="709" w:bottom="766"/>
          <w:pgNumType w:start="1" w:fmt="lowerRoman"/>
          <w:formProt w:val="false"/>
          <w:textDirection w:val="lrTb"/>
          <w:docGrid w:type="default" w:linePitch="360" w:charSpace="0"/>
        </w:sectPr>
        <w:pStyle w:val="Normal"/>
        <w:spacing w:lineRule="auto" w:line="259" w:before="0" w:after="160"/>
        <w:ind w:left="0" w:right="0"/>
        <w:jc w:val="left"/>
        <w:rPr/>
      </w:pPr>
      <w:r>
        <w:rPr/>
      </w:r>
      <w:r>
        <w:br w:type="page"/>
      </w:r>
    </w:p>
    <w:p>
      <w:pPr>
        <w:pStyle w:val="Normal"/>
        <w:spacing w:before="0" w:after="120"/>
        <w:rPr/>
      </w:pPr>
      <w:r>
        <w:rPr/>
      </w:r>
    </w:p>
    <w:p>
      <w:pPr>
        <w:pStyle w:val="Heading1"/>
        <w:ind w:hanging="1135" w:left="142" w:right="284"/>
        <w:rPr/>
      </w:pPr>
      <w:bookmarkStart w:id="22" w:name="_Toc229057785"/>
      <w:commentRangeStart w:id="2"/>
      <w:r>
        <w:rPr/>
        <w:t>Úvod</w:t>
      </w:r>
      <w:r>
        <w:rPr/>
      </w:r>
      <w:commentRangeEnd w:id="2"/>
      <w:r>
        <w:commentReference w:id="2"/>
      </w:r>
      <w:r>
        <w:rPr/>
        <w:t xml:space="preserve"> /</w:t>
        <w:br/>
      </w:r>
      <w:r>
        <w:rPr>
          <w:i/>
          <w:iCs/>
          <w:sz w:val="36"/>
          <w:szCs w:val="36"/>
        </w:rPr>
        <w:t>Introducti</w:t>
      </w:r>
      <w:bookmarkEnd w:id="22"/>
      <w:r>
        <w:rPr>
          <w:i/>
          <w:iCs/>
          <w:sz w:val="36"/>
          <w:szCs w:val="36"/>
        </w:rPr>
        <w:t>on</w:t>
      </w:r>
    </w:p>
    <w:p>
      <w:pPr>
        <w:pStyle w:val="Textprost"/>
        <w:rPr/>
      </w:pPr>
      <w:r>
        <w:rPr/>
        <w:t>Ayůseiurgb</w:t>
      </w:r>
    </w:p>
    <w:p>
      <w:pPr>
        <w:pStyle w:val="Textkol"/>
        <w:rPr/>
      </w:pPr>
      <w:r>
        <w:rPr/>
        <w:t>Zazkratkovat již zde ČTÚ</w:t>
      </w:r>
    </w:p>
    <w:p>
      <w:pPr>
        <w:pStyle w:val="Textprost"/>
        <w:rPr/>
      </w:pPr>
      <w:r>
        <w:rPr/>
      </w:r>
    </w:p>
    <w:p>
      <w:pPr>
        <w:pStyle w:val="Normal"/>
        <w:spacing w:lineRule="auto" w:line="259" w:before="0" w:after="160"/>
        <w:ind w:left="0" w:right="0"/>
        <w:jc w:val="left"/>
        <w:rPr/>
      </w:pPr>
      <w:r>
        <w:rPr/>
      </w:r>
      <w:r>
        <w:br w:type="page"/>
      </w:r>
    </w:p>
    <w:p>
      <w:pPr>
        <w:pStyle w:val="Textprost"/>
        <w:spacing w:before="0" w:after="160"/>
        <w:rPr/>
      </w:pPr>
      <w:r>
        <w:rPr/>
      </w:r>
    </w:p>
    <w:p>
      <w:pPr>
        <w:pStyle w:val="Heading1"/>
        <w:ind w:hanging="1135" w:left="142" w:right="284"/>
        <w:rPr/>
      </w:pPr>
      <w:bookmarkStart w:id="23" w:name="_Toc229057786"/>
      <w:r>
        <w:rPr/>
        <w:t>Východiska sektorového šetření /</w:t>
        <w:br/>
      </w:r>
      <w:r>
        <w:rPr>
          <w:i/>
          <w:iCs/>
          <w:sz w:val="36"/>
          <w:szCs w:val="36"/>
        </w:rPr>
        <w:t>Grounds for the Sector Inquiry</w:t>
      </w:r>
      <w:bookmarkEnd w:id="23"/>
    </w:p>
    <w:p>
      <w:pPr>
        <w:pStyle w:val="Textprost"/>
        <w:rPr/>
      </w:pPr>
      <w:r>
        <w:rPr/>
        <w:t>Úřad dle § 20 odst. 2 zákona č. 143/2001 Sb., o ochraně hospodářské soutěže a o změně některých zákonů (zákon o ochraně hospodářské soutěže), ve znění pozdějších předpisů (dále jen „</w:t>
      </w:r>
      <w:r>
        <w:rPr>
          <w:b/>
          <w:bCs/>
        </w:rPr>
        <w:t>zákon</w:t>
      </w:r>
      <w:r>
        <w:rPr/>
        <w:t>“) provádí na trzích, kde situace naznačuje možné narušení hospodářské soutěže, šetření soutěžních podmínek, tj. sektorové šetření. Sektorové šetření představuje standardní vyšetřovací nástroj využívaný soutěžními úřady pro plošné šetření soutěžních podmínek ve vybraných odvětvích. Úřad šetření zpravidla zahajuje v okamžiku, kdy má za to, že existují náznaky dysfunkčnosti trhu nebo trhů a k danému stavu by mohla přispívat možná porušení soutěžních pravidel, nedisponuje však jasnou indicií ohledně konkrétního protisoutěžního jednání.</w:t>
      </w:r>
    </w:p>
    <w:p>
      <w:pPr>
        <w:pStyle w:val="Textprost"/>
        <w:rPr/>
      </w:pPr>
      <w:r>
        <w:rPr/>
        <w:t>Důvodová zpráva k zákonu č. 155/2009 Sb., kterým se mění zákon, ve Zvláštní části v bodě 28 uvádí,</w:t>
      </w:r>
      <w:r>
        <w:rPr>
          <w:rStyle w:val="FootnoteReference"/>
        </w:rPr>
        <w:footnoteReference w:id="2"/>
      </w:r>
      <w:r>
        <w:rPr/>
        <w:t xml:space="preserve"> že „</w:t>
      </w:r>
      <w:r>
        <w:rPr>
          <w:i/>
          <w:iCs/>
        </w:rPr>
        <w:t>Navrhovaná úprava specifikuje pravomoc Úřadu provádět šetření soutěžních podmínek na jednotlivých trzích (tzv. sektorová šetření) a navrhovat opatření k jejich zlepšení a odpovídá možnosti provádět sektorová šetření, jež má Komise ES na základě článku 17 odst. 1 Nařízení č. 1</w:t>
      </w:r>
      <w:r>
        <w:rPr>
          <w:i/>
        </w:rPr>
        <w:t xml:space="preserve">. </w:t>
      </w:r>
      <w:r>
        <w:rPr>
          <w:i/>
          <w:iCs/>
        </w:rPr>
        <w:t>Cílem tohoto ustanovení je výslovně založit pravomoc Úřadu monitorovat určité trhy, tedy provádět obecná šetření; tato pravomoc nicméně již nyní vyplývá z jeho obecné dozorové kompetence podle ustanovení § 20 zákona.</w:t>
      </w:r>
      <w:r>
        <w:rPr/>
        <w:t>“ K samotným trhům dále specifikuje, že se má jednat zejména o trhy, u nichž existuje podezření na omezení hospodářské soutěže vzhledem k vnějším aspektům, které takový trh vykazuje, a dále trhy, jež jsou náchylnější k protisoutěžním jednáním.</w:t>
      </w:r>
    </w:p>
    <w:p>
      <w:pPr>
        <w:pStyle w:val="Textprost"/>
        <w:rPr/>
      </w:pPr>
      <w:r>
        <w:rPr/>
        <w:t>Za takové trhy lze zpravidla označit trhy, jejichž strukturální, institucionální a behaviorální charakteristiky zvyšují pravděpodobnost vzniku, udržování nebo usnadnění protisoutěžního jednání. Může se jednat zejména o vysokou míru koncentrace, existenci významných bariér vstupu nebo expanzi, omezenou diferenciaci produktů, vysokou transparentnost tržních podmínek, stabilitu poptávky a nabídky, symetrii soutěžitelů, absenci dostatečně silné vyvažující kupní síly apod. Dané faktory samostatně či v kombinaci snižují intenzitu konkurenčního tlaku a usnadňují narušení hospodářské soutěže.</w:t>
      </w:r>
    </w:p>
    <w:p>
      <w:pPr>
        <w:pStyle w:val="Textprost"/>
        <w:rPr/>
      </w:pPr>
      <w:r>
        <w:rPr/>
        <w:t>Cílem sektorového šetření je obecně analyzovat soutěžní podmínky ve vybraném odvětví, sektoru nebo uceleném souboru dílčích trhů a případně navrhnout opatření k jejich zlepšení. Za tímto účelem Úřad zpravidla zasílá soutěžitelům písemnou výzvu se žádostí o poskytnutí informací a podkladů, nezbytných pro provedení takové analýzy. Oslovení soutěžitelé jsou ve stanovené lhůtě povinni předložit úplné, správné a pravdivé podklady a informace pod hrozbou sankce až do výše 300 000 Kč nebo 1 % z čistého obratu dosaženého soutěžitelem za poslední ukončené účetní období (§ 21e ve spojení s § 22a odst. 3 zákona). Vedle toho může Úřad dle § 20 odst. 3 zákona přiměřeně využít i jiné v zákoně definované instituty, jako je šetření na místě, a je-li to nezbytné, zahájit řízení z moci úřední. Úřad získané podklady vyhodnocuje a v případě nutnosti je oprávněn si vyžádat doplňující informace.</w:t>
      </w:r>
    </w:p>
    <w:p>
      <w:pPr>
        <w:pStyle w:val="Textprost"/>
        <w:rPr/>
      </w:pPr>
      <w:r>
        <w:rPr/>
        <w:t>Následující část kapitoly předkládá náznaky vedoucí Úřad k zahájení sektorového šetření v oblasti mobilních telekomunikačních služeb poskytovaných domácnostem v České republice za období od roku 2018 do 31. 10. 2025.</w:t>
      </w:r>
    </w:p>
    <w:p>
      <w:pPr>
        <w:pStyle w:val="Heading2"/>
        <w:ind w:hanging="1135" w:left="142" w:right="284"/>
        <w:rPr/>
      </w:pPr>
      <w:bookmarkStart w:id="24" w:name="_Toc229057787"/>
      <w:r>
        <w:rPr/>
        <w:t>Náznaky možného narušení hospodářské soutěže /</w:t>
        <w:br/>
      </w:r>
      <w:r>
        <w:rPr>
          <w:i/>
          <w:sz w:val="24"/>
          <w:szCs w:val="24"/>
          <w:lang w:val="en-GB"/>
        </w:rPr>
        <w:t>Indications of a Possible Distortion of Competition</w:t>
      </w:r>
      <w:bookmarkEnd w:id="24"/>
    </w:p>
    <w:p>
      <w:pPr>
        <w:pStyle w:val="Textprost"/>
        <w:rPr/>
      </w:pPr>
      <w:r>
        <w:rPr/>
        <w:t>Úřad přistoupil k zahájení sektorového šetření v oblasti poskytování mobilních telekomunikačních služeb v České republice, tj. volání, textových zpráv a dat včetně souvisejících služeb</w:t>
      </w:r>
      <w:r>
        <w:rPr>
          <w:rStyle w:val="FootnoteReference"/>
        </w:rPr>
        <w:footnoteReference w:id="3"/>
      </w:r>
      <w:r>
        <w:rPr/>
        <w:t>, a to zejména na základě těchto jím zjištěných náznaků:</w:t>
      </w:r>
    </w:p>
    <w:p>
      <w:pPr>
        <w:pStyle w:val="Textslovan"/>
        <w:numPr>
          <w:ilvl w:val="0"/>
          <w:numId w:val="8"/>
        </w:numPr>
        <w:ind w:hanging="357" w:left="456" w:right="0"/>
        <w:rPr/>
      </w:pPr>
      <w:r>
        <w:rPr/>
        <w:t>výsledků plynoucích ze společné analýzy zpracované Úřadem ve spolupráci s ČTÚ,</w:t>
      </w:r>
      <w:commentRangeStart w:id="3"/>
      <w:r>
        <w:rPr>
          <w:rStyle w:val="FootnoteReference"/>
        </w:rPr>
        <w:footnoteReference w:id="4"/>
      </w:r>
      <w:commentRangeEnd w:id="3"/>
      <w:r>
        <w:commentReference w:id="3"/>
      </w:r>
      <w:r>
        <w:rPr/>
      </w:r>
    </w:p>
    <w:p>
      <w:pPr>
        <w:pStyle w:val="Textslovan"/>
        <w:numPr>
          <w:ilvl w:val="0"/>
          <w:numId w:val="8"/>
        </w:numPr>
        <w:ind w:hanging="357" w:left="456" w:right="0"/>
        <w:rPr/>
      </w:pPr>
      <w:r>
        <w:rPr/>
        <w:t>koncentrace trhu nebo trhů mobilních telekomunikačních služeb,</w:t>
      </w:r>
    </w:p>
    <w:p>
      <w:pPr>
        <w:pStyle w:val="Textslovan"/>
        <w:numPr>
          <w:ilvl w:val="0"/>
          <w:numId w:val="8"/>
        </w:numPr>
        <w:ind w:hanging="357" w:left="456" w:right="0"/>
        <w:rPr/>
      </w:pPr>
      <w:r>
        <w:rPr/>
        <w:t>významných rozdílů mezi průměrným příjmem na aktivního uživatele (dále jen „</w:t>
      </w:r>
      <w:r>
        <w:rPr>
          <w:b/>
        </w:rPr>
        <w:t>ARPU</w:t>
      </w:r>
      <w:r>
        <w:rPr/>
        <w:t>“</w:t>
      </w:r>
      <w:r>
        <w:rPr>
          <w:rStyle w:val="FootnoteReference"/>
        </w:rPr>
        <w:footnoteReference w:id="5"/>
      </w:r>
      <w:r>
        <w:rPr/>
        <w:t>) a ceníkovými cenami v České republice,</w:t>
      </w:r>
    </w:p>
    <w:p>
      <w:pPr>
        <w:pStyle w:val="Textslovan"/>
        <w:numPr>
          <w:ilvl w:val="0"/>
          <w:numId w:val="8"/>
        </w:numPr>
        <w:ind w:hanging="357" w:left="456" w:right="0"/>
        <w:rPr/>
      </w:pPr>
      <w:r>
        <w:rPr/>
        <w:t>výsledků průzkumu mezi spotřebiteli provedeného občanským sdružením IstroAnalytica Advisory v roce 2023 pro ČTÚ (dále jen „</w:t>
      </w:r>
      <w:r>
        <w:rPr>
          <w:b/>
          <w:bCs/>
        </w:rPr>
        <w:t>Studie preferencí</w:t>
      </w:r>
      <w:r>
        <w:rPr/>
        <w:t>“)</w:t>
      </w:r>
      <w:r>
        <w:rPr>
          <w:rStyle w:val="FootnoteReference"/>
        </w:rPr>
        <w:footnoteReference w:id="6"/>
      </w:r>
      <w:r>
        <w:rPr/>
        <w:t xml:space="preserve"> a</w:t>
      </w:r>
    </w:p>
    <w:p>
      <w:pPr>
        <w:pStyle w:val="Textslovan"/>
        <w:numPr>
          <w:ilvl w:val="0"/>
          <w:numId w:val="8"/>
        </w:numPr>
        <w:ind w:hanging="357" w:left="456" w:right="0"/>
        <w:rPr/>
      </w:pPr>
      <w:r>
        <w:rPr/>
        <w:t>zjištění obsažených v odborné literatuře.</w:t>
      </w:r>
    </w:p>
    <w:p>
      <w:pPr>
        <w:pStyle w:val="Textprost"/>
        <w:rPr/>
      </w:pPr>
      <w:r>
        <w:rPr/>
        <w:t>Vedle zjištěných náznaků Úřadu mělo sektorové šetření i tyto soutěžně relevantní souvislosti:</w:t>
      </w:r>
    </w:p>
    <w:p>
      <w:pPr>
        <w:pStyle w:val="Textslovan"/>
        <w:numPr>
          <w:ilvl w:val="0"/>
          <w:numId w:val="8"/>
        </w:numPr>
        <w:ind w:hanging="357" w:left="456" w:right="0"/>
        <w:rPr/>
      </w:pPr>
      <w:r>
        <w:rPr/>
        <w:t xml:space="preserve">návaznost na předchozí sektorové šetření Úřadu a jeho </w:t>
      </w:r>
      <w:r>
        <w:rPr>
          <w:i/>
          <w:iCs/>
        </w:rPr>
        <w:t>ex-post</w:t>
      </w:r>
      <w:r>
        <w:rPr/>
        <w:t xml:space="preserve"> hodnocení a</w:t>
      </w:r>
    </w:p>
    <w:p>
      <w:pPr>
        <w:pStyle w:val="Textslovan"/>
        <w:numPr>
          <w:ilvl w:val="0"/>
          <w:numId w:val="8"/>
        </w:numPr>
        <w:ind w:hanging="357" w:left="456" w:right="0"/>
        <w:rPr/>
      </w:pPr>
      <w:r>
        <w:rPr/>
        <w:t>významné fúze v odvětví mající potenciální dlouhodobý dopad na zkoumaný trh nebo trhy.</w:t>
      </w:r>
    </w:p>
    <w:p>
      <w:pPr>
        <w:pStyle w:val="Textprost"/>
        <w:rPr/>
      </w:pPr>
      <w:r>
        <w:rPr/>
        <w:t>Z předběžně zjištěných tržních podílů vyplynulo, že zkoumaný sektor charakterizuje stabilní vysoká koncentrace na straně mobilních operátorů. Relativní cenové srovnání mezi cenovými údaji poskytnutými mobilními operátory ČTÚ a veřejnými ceníkovými cenami naznačilo, že v předmětné oblasti hraje neveřejná cenová strategie mobilních operátorů významnou roli ve vztahu k potenciální újmě spotřebitelů, a to v důsledku působení možné zvýšené informační asymetrie, snížené informační funkce cen a/nebo excesivních cen účtovaných spotřebitelům bez retenční nabídky.</w:t>
      </w:r>
    </w:p>
    <w:p>
      <w:pPr>
        <w:pStyle w:val="Textprost"/>
        <w:rPr/>
      </w:pPr>
      <w:r>
        <w:rPr/>
        <w:t>Na základě excesivní retenční cenové politiky v kombinaci s balíčkováním může vznikat takto zavázaným spotřebitelům</w:t>
      </w:r>
      <w:r>
        <w:rPr>
          <w:rStyle w:val="FootnoteReference"/>
        </w:rPr>
        <w:footnoteReference w:id="7"/>
      </w:r>
      <w:r>
        <w:rPr/>
        <w:t xml:space="preserve"> újma v podobě odčerpávání části přebytku spotřebitele ve formě </w:t>
      </w:r>
      <w:r>
        <w:rPr>
          <w:i/>
          <w:iCs/>
        </w:rPr>
        <w:t>lock-in</w:t>
      </w:r>
      <w:r>
        <w:rPr/>
        <w:t xml:space="preserve"> renty</w:t>
      </w:r>
      <w:r>
        <w:rPr>
          <w:rStyle w:val="FootnoteReference"/>
        </w:rPr>
        <w:footnoteReference w:id="8"/>
      </w:r>
      <w:r>
        <w:rPr/>
        <w:t xml:space="preserve">. Úřad na datech poskytnutých ČTÚ provedl dílčí analýzu naznačující, že v dotčené oblasti mohl </w:t>
      </w:r>
      <w:r>
        <w:rPr>
          <w:i/>
          <w:iCs/>
        </w:rPr>
        <w:t>lock-in</w:t>
      </w:r>
      <w:r>
        <w:rPr/>
        <w:t xml:space="preserve"> efekt způsobit fragmentaci trhu nebo trhů, a tím pádem mohlo dojít k vytvoření trhů jednotlivých mobilních operátorů a jejich služeb. Tito operátoři by následně pro svou zákaznickou bázi představovali soutěžitele s monopolním postavením, a to bez objektivně odůvodnitelných příčin.</w:t>
      </w:r>
      <w:r>
        <w:rPr>
          <w:rStyle w:val="FootnoteReference"/>
        </w:rPr>
        <w:footnoteReference w:id="9"/>
      </w:r>
      <w:r>
        <w:rPr/>
        <w:t xml:space="preserve"> Spotřebitelský průzkum provedený pro ČTÚ občanským sdružením IstroAnalytica Advisory naznačil, že rozsah neveřejných cen se může týkat významné části zákaznické/spotřebitelské báze a že informační funkce ceny značně erodovala.</w:t>
      </w:r>
    </w:p>
    <w:p>
      <w:pPr>
        <w:pStyle w:val="Textprost"/>
        <w:rPr/>
      </w:pPr>
      <w:r>
        <w:rPr/>
        <w:t xml:space="preserve">Toto sektorové šetření také navazuje na Úřadem provedené sektorové šetření zaměřené na retenční nabídky v kontextu možného koluzivního jednání, a představuje tedy i jakési </w:t>
      </w:r>
      <w:r>
        <w:rPr>
          <w:i/>
          <w:iCs/>
        </w:rPr>
        <w:t>ex-post</w:t>
      </w:r>
      <w:r>
        <w:rPr/>
        <w:t xml:space="preserve"> vyhodnocení, zda jsou dřívější závěry Úřadu v souvislosti s retenčními nabídkami v tomto novém kontextu stále platné.</w:t>
      </w:r>
    </w:p>
    <w:p>
      <w:pPr>
        <w:pStyle w:val="Textprost"/>
        <w:rPr/>
      </w:pPr>
      <w:r>
        <w:rPr/>
        <w:t>Ve zkoumaném sektoru se v nedávné době uskutečnilo pod podmínkou splnění závazků i několik významných spojení soutěžitelů, přičemž význam konkurenčního lemu ve formě alternativních (virtuálních) mobilních operátorů na trzích v České republice dlouhodobě klesá.</w:t>
      </w:r>
    </w:p>
    <w:p>
      <w:pPr>
        <w:pStyle w:val="Textprost"/>
        <w:rPr/>
      </w:pPr>
      <w:r>
        <w:rPr/>
        <w:t>Úřad tedy v rámci tohoto sektorového šetření zamýšlel zejména prověřit, zda a jaký vliv na trh/trhy a jeho/jejich konsolidaci mělo případné potlačení nebo neutralizace nástrojů cenové a necenové konkurence v důsledku využívání retenčních a neveřejných nabídek a nepřímo i jaký vliv na fungování hospodářské soutěže může mít balíčkování služeb elektronických komunikací.</w:t>
      </w:r>
    </w:p>
    <w:p>
      <w:pPr>
        <w:pStyle w:val="Textprost"/>
        <w:rPr/>
      </w:pPr>
      <w:r>
        <w:rPr/>
        <w:t>Následující část závěrečné zprávy se blíže věnuje konkrétním náznakům možného narušení fungování hospodářské soutěže, kterými Úřad disponoval před zahájením sektorového šetření.</w:t>
      </w:r>
    </w:p>
    <w:p>
      <w:pPr>
        <w:pStyle w:val="Heading3"/>
        <w:ind w:hanging="1134" w:left="142" w:right="284"/>
        <w:rPr/>
      </w:pPr>
      <w:bookmarkStart w:id="25" w:name="_Toc229057788"/>
      <w:r>
        <w:rPr/>
        <w:t>Společná analýza dílčích aspektů fungování hospodářské soutěže s ČTÚ /</w:t>
        <w:br/>
      </w:r>
      <w:r>
        <w:rPr>
          <w:i/>
          <w:sz w:val="20"/>
          <w:lang w:val="en-GB"/>
        </w:rPr>
        <w:t>Joint Analysis of Specific Aspects of the Functioning of Competition with the CTU</w:t>
      </w:r>
      <w:bookmarkEnd w:id="25"/>
    </w:p>
    <w:p>
      <w:pPr>
        <w:pStyle w:val="Textprost"/>
        <w:rPr/>
      </w:pPr>
      <w:r>
        <w:rPr/>
        <w:t>Nejen z důvodu velkého významu mobilních telekomunikačních služeb a znepokojivých zpráv ve veřejném prostoru přistoupily ČTÚ a Úřad v roce 2025 ke Společné analýze v dotčené oblasti. S ohledem na minimalizaci zásahů do sféry soutěžitelů se vycházelo z dat, kterými ČTÚ již disponoval, a bylo využito know-how obou úřadů. Přirozenou oblastí zájmu byl zásadní aspekt konkurence v podobě cenové konkurence na straně nabídky. Jako ideální data pro předběžné posouzení byly identifikovány pololetní údaje o ARPU</w:t>
      </w:r>
      <w:r>
        <w:rPr>
          <w:rStyle w:val="FootnoteReference"/>
        </w:rPr>
        <w:footnoteReference w:id="10"/>
      </w:r>
      <w:r>
        <w:rPr/>
        <w:t xml:space="preserve"> na uživatele aktivní SIM karty, počty těchto uživatelů a průměrné spotřeby jednotlivých služeb. Úřady postupovaly zcela běžným způsobem od jednoduchých modelů ke složitějším,</w:t>
      </w:r>
      <w:r>
        <w:rPr>
          <w:rStyle w:val="FootnoteReference"/>
        </w:rPr>
        <w:footnoteReference w:id="11"/>
      </w:r>
      <w:r>
        <w:rPr/>
        <w:t xml:space="preserve"> aby ověřily v prvé řadě výskyt běžných ekonomických jevů spojených s nástroji cenové konkurence na straně nabídky.</w:t>
      </w:r>
      <w:r>
        <w:rPr>
          <w:rStyle w:val="FootnoteReference"/>
        </w:rPr>
        <w:footnoteReference w:id="12"/>
      </w:r>
      <w:r>
        <w:rPr/>
        <w:t xml:space="preserve"> Společná analýza sledovala členění po jednotlivých full mobilních operátorech, ale vzala v úvahu i konkurenční lem jako celek. Zohlednila členění na jednotlivé segmenty firem a domácností. Výsledky následně ověřila i na dvou alternativních cenových údajích, a to na hypotetickém cenovém indexu mobilních služeb jako celku a modelováním 100 scénářů pro různé míry ochoty mobilních operátorů ke změnám cen, tj. ARPU.</w:t>
      </w:r>
    </w:p>
    <w:p>
      <w:pPr>
        <w:pStyle w:val="Textprost"/>
        <w:rPr/>
      </w:pPr>
      <w:r>
        <w:rPr/>
        <w:t xml:space="preserve">Úřad provedenou analýzu považuje za objektivní, neboť úřady v jejím hlavním textu vždy explicitně upozornily na nespolehlivé výsledky v situaci, kdy testy předpokladů jednotlivých modelů naznačovaly potenciální problémy nebo výsledky odhadnutých koeficientů nedosahovaly potřebné hladiny statistické významnosti. V této souvislosti je přitom nezbytné zdůraznit, že takové dílčí nespolehlivosti nevedou k nespolehlivosti ostatních nebo jiných výsledků. Pokud by totiž statisticky nevýznamný výsledek automaticky negoval statisticky významné výsledky jiných odhadovaných koeficientů (nebo dokonce celých odlišných modelů), vedlo by to k absurdnímu závěru, že jeden statisticky nevýznamný odhadovaný koeficient znehodnocuje všechny modely odhadované na daných datech, a tím pádem celý datový podklad. Takové tvrzení je však v přímém rozporu se statistickou a s ekonometrickou teorií i praxí a v obecné rovině neguje drtivou většinu myšlenek ekonomické vědy jako takové. </w:t>
      </w:r>
    </w:p>
    <w:p>
      <w:pPr>
        <w:pStyle w:val="Textprost"/>
        <w:rPr/>
      </w:pPr>
      <w:r>
        <w:rPr/>
        <w:t>Úřad má proto za to, že Společná analýza naplňuje akademické standardy a je zcela replikovatelná. Subjekt disponující podkladovými daty a postupující způsobem detailně uvedeným v metodické části dané analýzy musí za využití ekonometrického softwaru nutně dojít k totožným výsledkům, tj. závěrům jako úřady.</w:t>
      </w:r>
    </w:p>
    <w:p>
      <w:pPr>
        <w:pStyle w:val="Textprost"/>
        <w:rPr/>
      </w:pPr>
      <w:r>
        <w:rPr/>
        <w:t>Z výsledků Společné analýzy konkrétně vyplynulo, že mobilní služby poskytované segmentu domácností doprovází jiné výsledky ve srovnání s firemním segmentem. Úřad se proto domníval, že segment domácností tvoří samostatný relevantní trh nebo trhy, přičemž nevyloučil, že následující zkoumání může poukázat na rozpad předmětného segmentu na další oddělené dílčí trhy, resp. potenciální relevantní trhy. Výsledky tedy bez důvodných pochybností naznačily absenci konkurenčních vztahů mezi jednotlivými operátory,</w:t>
      </w:r>
      <w:r>
        <w:rPr>
          <w:rStyle w:val="FootnoteReference"/>
        </w:rPr>
        <w:footnoteReference w:id="13"/>
      </w:r>
      <w:r>
        <w:rPr/>
        <w:t xml:space="preserve"> jejich jednostrannost</w:t>
      </w:r>
      <w:r>
        <w:rPr>
          <w:rStyle w:val="FootnoteReference"/>
        </w:rPr>
        <w:footnoteReference w:id="14"/>
      </w:r>
      <w:r>
        <w:rPr/>
        <w:t xml:space="preserve"> nebo možnou existenci neelastických individuálních poptávek.</w:t>
      </w:r>
      <w:r>
        <w:rPr>
          <w:rStyle w:val="FootnoteReference"/>
        </w:rPr>
        <w:footnoteReference w:id="15"/>
      </w:r>
      <w:r>
        <w:rPr/>
        <w:t xml:space="preserve"> Jinými slovy absentovaly očekávatelné substituční efekty, které by byly projevem fungující hospodářské soutěže, a vyskytovaly se komplementární efekty naznačující fragmentaci trhů.</w:t>
      </w:r>
    </w:p>
    <w:p>
      <w:pPr>
        <w:pStyle w:val="Heading3"/>
        <w:ind w:hanging="1134" w:left="142" w:right="284"/>
        <w:rPr/>
      </w:pPr>
      <w:bookmarkStart w:id="26" w:name="_Toc229057789"/>
      <w:r>
        <w:rPr/>
        <w:t>Vysoká koncentrace /</w:t>
        <w:br/>
      </w:r>
      <w:r>
        <w:rPr>
          <w:i/>
          <w:iCs/>
          <w:sz w:val="20"/>
        </w:rPr>
        <w:t>High Concentration</w:t>
      </w:r>
      <w:bookmarkEnd w:id="26"/>
    </w:p>
    <w:p>
      <w:pPr>
        <w:pStyle w:val="Textprost"/>
        <w:rPr/>
      </w:pPr>
      <w:r>
        <w:rPr/>
        <w:t>Ve zkoumané oblasti působí tři full mobilní operátoři, kteří mají mimo jiné informační povinnost vůči ČTÚ. Dne 19. 2. 2025 poskytl ČTÚ Úřadu data, z nichž Úřad vypočítal tržní podíly těchto operátorů dle počtu provozovaných SIM karet. Úřadem vypočtené tržní podíly zobrazuje Graf č. XXX.</w:t>
      </w:r>
    </w:p>
    <w:p>
      <w:pPr>
        <w:pStyle w:val="Graf"/>
        <w:numPr>
          <w:ilvl w:val="0"/>
          <w:numId w:val="2"/>
        </w:numPr>
        <w:ind w:hanging="1418" w:left="1418" w:right="0"/>
        <w:rPr/>
      </w:pPr>
      <w:bookmarkStart w:id="27" w:name="_Toc229058006"/>
      <w:r>
        <w:rPr/>
        <w:t>Tržní podíly MNO</w:t>
      </w:r>
      <w:r>
        <w:rPr>
          <w:rStyle w:val="FootnoteReference"/>
        </w:rPr>
        <w:footnoteReference w:id="16"/>
      </w:r>
      <w:r>
        <w:rPr/>
        <w:t xml:space="preserve"> dle počtu aktivních SIM karet (v %)</w:t>
      </w:r>
      <w:bookmarkEnd w:id="27"/>
    </w:p>
    <w:p>
      <w:pPr>
        <w:pStyle w:val="GrafvAJ"/>
        <w:ind w:hanging="0" w:left="1418" w:right="0"/>
        <w:rPr>
          <w:lang w:val="en-GB"/>
        </w:rPr>
      </w:pPr>
      <w:r>
        <w:rPr>
          <w:lang w:val="en-GB" w:eastAsia="cs-CZ"/>
        </w:rPr>
        <w:t>Market shares of MNOs by the number of active SIM cards (in %)</w:t>
      </w:r>
    </w:p>
    <w:p>
      <w:pPr>
        <w:pStyle w:val="Graftabulka"/>
        <w:rPr/>
      </w:pPr>
      <w:r>
        <w:rPr/>
        <w:t>[[%img{“filename“:“img/CTU/naznaky_trzni_podily_dle_SIM.png“}]]</w:t>
      </w:r>
    </w:p>
    <w:p>
      <w:pPr>
        <w:pStyle w:val="Zdroj"/>
        <w:rPr/>
      </w:pPr>
      <w:r>
        <w:rPr/>
        <w:t>Zdroj / Source: data ČTÚ / CTU data.</w:t>
      </w:r>
    </w:p>
    <w:p>
      <w:pPr>
        <w:pStyle w:val="Textprost"/>
        <w:rPr/>
      </w:pPr>
      <w:r>
        <w:rPr/>
        <w:t>Struktura sektoru vykazovala dlouhodobě znaky vysoké stability tržních podílů, přičemž větší změny byly zjevně spíše důsledkem majetkových změn než přesunu uživatelů SIM karet mezi jednotlivými operátory. Pro lepší přehlednost Úřad uvádí předmětná data i v procentních změnách tržních podílů.</w:t>
      </w:r>
    </w:p>
    <w:p>
      <w:pPr>
        <w:pStyle w:val="Graf"/>
        <w:numPr>
          <w:ilvl w:val="0"/>
          <w:numId w:val="2"/>
        </w:numPr>
        <w:ind w:hanging="1418" w:left="1418" w:right="0"/>
        <w:rPr/>
      </w:pPr>
      <w:bookmarkStart w:id="28" w:name="_Toc229058007"/>
      <w:r>
        <w:rPr/>
        <w:t>Změny tržních podílů MNO dle počtu aktivních SIM karet (v p.b.)</w:t>
      </w:r>
      <w:bookmarkEnd w:id="28"/>
      <w:r>
        <w:rPr/>
        <w:t xml:space="preserve"> </w:t>
      </w:r>
    </w:p>
    <w:p>
      <w:pPr>
        <w:pStyle w:val="GrafvAJ"/>
        <w:ind w:hanging="0" w:left="1418" w:right="0"/>
        <w:rPr>
          <w:lang w:val="en-GB"/>
        </w:rPr>
      </w:pPr>
      <w:r>
        <w:rPr>
          <w:lang w:val="en-GB"/>
        </w:rPr>
        <w:t>Changes in MNO market shares by the number of active SIM cards (in p.p.)</w:t>
      </w:r>
    </w:p>
    <w:p>
      <w:pPr>
        <w:pStyle w:val="Graftabulka"/>
        <w:rPr/>
      </w:pPr>
      <w:r>
        <w:rPr/>
        <w:t>[[%img{“filename“:“img/CTU/naznaky_zmeny_trzni_podily_dle_SIM.png“}]]</w:t>
      </w:r>
    </w:p>
    <w:p>
      <w:pPr>
        <w:pStyle w:val="Zdroj"/>
        <w:rPr/>
      </w:pPr>
      <w:r>
        <w:rPr/>
        <w:t>Zdroj / Source: data ČTÚ / CTU data.</w:t>
      </w:r>
    </w:p>
    <w:p>
      <w:pPr>
        <w:pStyle w:val="Textprost"/>
        <w:rPr/>
      </w:pPr>
      <w:r>
        <w:rPr/>
        <w:t>Situace v ČR naznačila, že zkoumaná oblast je silně koncentrovaná a vykazuje zjevně triopolní charakteristiku. Tři mobilní operátoři, konkrétně společnosti T-Mobile Czech Republic a.s. (dále jen „</w:t>
      </w:r>
      <w:r>
        <w:rPr>
          <w:b/>
          <w:bCs/>
        </w:rPr>
        <w:t>T-Mobile</w:t>
      </w:r>
      <w:r>
        <w:rPr/>
        <w:t>“), O2 Czech Republic a.s. (dále jen „</w:t>
      </w:r>
      <w:r>
        <w:rPr>
          <w:b/>
          <w:bCs/>
        </w:rPr>
        <w:t>O2</w:t>
      </w:r>
      <w:r>
        <w:rPr/>
        <w:t>“) a Vodafone Czech Republic a.s. (dále jen „</w:t>
      </w:r>
      <w:r>
        <w:rPr>
          <w:b/>
          <w:bCs/>
        </w:rPr>
        <w:t>Vodafone</w:t>
      </w:r>
      <w:r>
        <w:rPr/>
        <w:t>“), provozovali v období zachyceném v Grafu č. XXX přes 92 % aktivních SIM karet v ČR. Při započtení SIM karet provozovaných mobilními virtuálními operátory</w:t>
      </w:r>
      <w:r>
        <w:rPr>
          <w:rStyle w:val="FootnoteReference"/>
        </w:rPr>
        <w:footnoteReference w:id="17"/>
      </w:r>
      <w:r>
        <w:rPr/>
        <w:t xml:space="preserve"> majetkově propojenými s MNO společný tržní podíl přesahoval 96 %.</w:t>
      </w:r>
    </w:p>
    <w:p>
      <w:pPr>
        <w:pStyle w:val="Textkol"/>
        <w:rPr/>
      </w:pPr>
      <w:r>
        <w:rPr/>
        <w:t>Sem poprosím ten odstavec, který rozvádí větu z důvodovky ohledně koncentrace jako důvodu pro zahájení SŠ</w:t>
      </w:r>
    </w:p>
    <w:p>
      <w:pPr>
        <w:pStyle w:val="Textprost"/>
        <w:rPr/>
      </w:pPr>
      <w:r>
        <w:rPr/>
        <w:t>Tržní podíly MVNO v rozdělení na dvě skupiny podle majetkového propojení s MNO dle počtu provozovaných SIM karet zobrazuje Graf č. XXX.</w:t>
      </w:r>
    </w:p>
    <w:p>
      <w:pPr>
        <w:pStyle w:val="Graf"/>
        <w:numPr>
          <w:ilvl w:val="0"/>
          <w:numId w:val="2"/>
        </w:numPr>
        <w:ind w:hanging="1418" w:left="1418" w:right="0"/>
        <w:rPr/>
      </w:pPr>
      <w:bookmarkStart w:id="29" w:name="_Toc229058008"/>
      <w:r>
        <w:rPr/>
        <w:t>Tržní podíly MVNO dle počtu aktivních SIM karet a v rozdělení na majetkové propojení s MNO (v %)</w:t>
      </w:r>
      <w:bookmarkEnd w:id="29"/>
    </w:p>
    <w:p>
      <w:pPr>
        <w:pStyle w:val="GrafvAJ"/>
        <w:ind w:hanging="0" w:left="1418" w:right="0"/>
        <w:rPr>
          <w:lang w:val="en-GB"/>
        </w:rPr>
      </w:pPr>
      <w:r>
        <w:rPr>
          <w:lang w:val="en-GB" w:eastAsia="cs-CZ"/>
        </w:rPr>
        <w:t>MVNO market shares by the number of active SIM cards, broken down by ownership links to MNOs (in %)</w:t>
      </w:r>
    </w:p>
    <w:p>
      <w:pPr>
        <w:pStyle w:val="Graftabulka"/>
        <w:rPr/>
      </w:pPr>
      <w:r>
        <w:rPr/>
        <w:t>[[%img{“filename“:“img/CTU/naznaky_trzni_podily_MVNO_dle_SIM.png“}]]</w:t>
      </w:r>
    </w:p>
    <w:p>
      <w:pPr>
        <w:pStyle w:val="Zdroj"/>
        <w:rPr/>
      </w:pPr>
      <w:r>
        <w:rPr/>
        <w:t>Zdroj / Source: data ČTÚ / CTU data.</w:t>
      </w:r>
    </w:p>
    <w:p>
      <w:pPr>
        <w:pStyle w:val="Textprost"/>
        <w:rPr/>
      </w:pPr>
      <w:r>
        <w:rPr/>
        <w:t xml:space="preserve">Zkoumaný sektor mobilních služeb Úřad charakterizuje jako </w:t>
      </w:r>
      <w:r>
        <w:rPr>
          <w:b/>
        </w:rPr>
        <w:t>dlouhodobě fungující triopol s konkurenčním lemem</w:t>
      </w:r>
      <w:r>
        <w:rPr/>
        <w:t xml:space="preserve"> s tím, že význam konkurenčního lemu je nízký a v poslední době významně poklesl. Ve zkoumaném sektoru navíc dále dochází k nárůstu koncentrace největších subjektů. Graf č. XXX uvádí vývoj Herfindahl-Hirschmanova indexu (dále jen „</w:t>
      </w:r>
      <w:r>
        <w:rPr>
          <w:b/>
          <w:bCs/>
        </w:rPr>
        <w:t>HHI</w:t>
      </w:r>
      <w:r>
        <w:rPr/>
        <w:t>“) pro tři největší mobilní operátory.</w:t>
      </w:r>
    </w:p>
    <w:p>
      <w:pPr>
        <w:pStyle w:val="Graf"/>
        <w:numPr>
          <w:ilvl w:val="0"/>
          <w:numId w:val="2"/>
        </w:numPr>
        <w:ind w:hanging="1418" w:left="1418" w:right="0"/>
        <w:rPr/>
      </w:pPr>
      <w:bookmarkStart w:id="30" w:name="_Toc229058009"/>
      <w:r>
        <w:rPr/>
        <w:t>Vývoj HHI(3) sektoru a segmentů domácností a firem dle počtu aktivních SIM karet</w:t>
      </w:r>
      <w:bookmarkEnd w:id="30"/>
    </w:p>
    <w:p>
      <w:pPr>
        <w:pStyle w:val="GrafvAJ"/>
        <w:ind w:hanging="0" w:left="1418" w:right="0"/>
        <w:rPr>
          <w:lang w:val="en-GB"/>
        </w:rPr>
      </w:pPr>
      <w:r>
        <w:rPr>
          <w:lang w:val="en-GB" w:eastAsia="cs-CZ"/>
        </w:rPr>
        <w:t>Development of the HHI(3) of the sector and the household and business segments by the number of active SIM cards</w:t>
      </w:r>
    </w:p>
    <w:p>
      <w:pPr>
        <w:pStyle w:val="Graftabulka"/>
        <w:rPr/>
      </w:pPr>
      <w:r>
        <w:rPr/>
        <w:t>[[%img{“filename“:“img/CTU/naznaky_HHI3_dle_SIM.png“}]]</w:t>
      </w:r>
    </w:p>
    <w:p>
      <w:pPr>
        <w:pStyle w:val="Zdroj"/>
        <w:rPr/>
      </w:pPr>
      <w:r>
        <w:rPr/>
        <w:t>Zdroj/Source: údaje ČTÚ / ČTÚ data.</w:t>
      </w:r>
    </w:p>
    <w:p>
      <w:pPr>
        <w:pStyle w:val="Textprost"/>
        <w:rPr/>
      </w:pPr>
      <w:r>
        <w:rPr/>
        <w:t>Z grafu je zřejmé, že ve zkoumaném sektoru dochází postupně k nárůstu koncentrace, což samo o sobě představuje rizikové prostředí z hlediska fungování hospodářské soutěže. Jelikož míra koncentrace segmentu firem mírně klesá, plyne nárůst koncentrace sektoru převážně, a to zejména po roce 2018, ze segmentu domácností, což lze ilustrovat i rozdílem změn HHI(3) mezi segmenty domácností a firem spočítaným jako:</w:t>
      </w:r>
    </w:p>
    <w:p>
      <w:pPr>
        <w:pStyle w:val="Rovnice"/>
        <w:numPr>
          <w:ilvl w:val="0"/>
          <w:numId w:val="10"/>
        </w:numPr>
        <w:ind w:hanging="284" w:left="142" w:right="0"/>
        <w:rPr/>
      </w:pPr>
      <w:r>
        <w:rPr/>
        <w:t xml:space="preserve"> </w:t>
      </w:r>
      <w:r>
        <w:rPr/>
        <w:tab/>
        <w:t>[[% $HHI(3)_\Delta^S = \delta HHI(3)^D - \delta HHI(3)^F$]],</w:t>
      </w:r>
    </w:p>
    <w:p>
      <w:pPr>
        <w:pStyle w:val="Textprost"/>
        <w:rPr/>
      </w:pPr>
      <w:r>
        <w:rPr/>
        <w:t xml:space="preserve">kde </w:t>
      </w:r>
    </w:p>
    <w:p>
      <w:pPr>
        <w:pStyle w:val="Rovnice"/>
        <w:numPr>
          <w:ilvl w:val="0"/>
          <w:numId w:val="10"/>
        </w:numPr>
        <w:ind w:hanging="284" w:left="142" w:right="0"/>
        <w:rPr/>
      </w:pPr>
      <w:r>
        <w:rPr/>
        <w:t xml:space="preserve"> </w:t>
      </w:r>
      <w:r>
        <w:rPr/>
        <w:tab/>
        <w:t>[[% $\delta HHI(3)^X = HHI(3)_t^X – HHI(3)_{t-1}^X$]].</w:t>
      </w:r>
    </w:p>
    <w:p>
      <w:pPr>
        <w:pStyle w:val="Textprost"/>
        <w:rPr/>
      </w:pPr>
      <w:r>
        <w:rPr/>
        <w:t>Výsledky prezentuje Graf č. XXX.</w:t>
      </w:r>
    </w:p>
    <w:p>
      <w:pPr>
        <w:pStyle w:val="Graf"/>
        <w:numPr>
          <w:ilvl w:val="0"/>
          <w:numId w:val="2"/>
        </w:numPr>
        <w:ind w:hanging="1418" w:left="1418" w:right="0"/>
        <w:rPr/>
      </w:pPr>
      <w:bookmarkStart w:id="31" w:name="_Toc229058010"/>
      <w:r>
        <w:rPr/>
        <w:t>Rozdíl vývoje HHI(3) mezi segmenty domácností a firem</w:t>
      </w:r>
      <w:bookmarkEnd w:id="31"/>
    </w:p>
    <w:p>
      <w:pPr>
        <w:pStyle w:val="GrafvAJ"/>
        <w:ind w:hanging="0" w:left="1418" w:right="0"/>
        <w:rPr>
          <w:lang w:val="en-GB"/>
        </w:rPr>
      </w:pPr>
      <w:r>
        <w:rPr>
          <w:lang w:val="en-GB" w:eastAsia="cs-CZ"/>
        </w:rPr>
        <w:t>Difference in HHI(3) trends between the household and business segments</w:t>
      </w:r>
    </w:p>
    <w:p>
      <w:pPr>
        <w:pStyle w:val="Graftabulka"/>
        <w:rPr/>
      </w:pPr>
      <w:r>
        <w:rPr/>
        <w:t>[[%img{“filename“:“img/CTU/naznaky_HHI3_dle_SIM_segment_dif.png“}]]</w:t>
      </w:r>
    </w:p>
    <w:p>
      <w:pPr>
        <w:pStyle w:val="Zdroj"/>
        <w:rPr/>
      </w:pPr>
      <w:r>
        <w:rPr/>
        <w:t>Zdroj/Source: údaje ČTÚ / ČTÚ data.</w:t>
      </w:r>
    </w:p>
    <w:p>
      <w:pPr>
        <w:pStyle w:val="Textprost"/>
        <w:rPr/>
      </w:pPr>
      <w:r>
        <w:rPr/>
        <w:t>Minimálně od druhé poloviny roku 2019 docházelo k disproporčnímu nárůstu koncentrace v segmentu domácností.</w:t>
      </w:r>
    </w:p>
    <w:p>
      <w:pPr>
        <w:pStyle w:val="Heading3"/>
        <w:ind w:hanging="1134" w:left="142" w:right="284"/>
        <w:rPr/>
      </w:pPr>
      <w:bookmarkStart w:id="32" w:name="_Toc229057790"/>
      <w:r>
        <w:rPr/>
        <w:t>Relativní cenový vývoj ve srovnání s EU /</w:t>
        <w:br/>
      </w:r>
      <w:r>
        <w:rPr>
          <w:i/>
          <w:iCs/>
          <w:sz w:val="20"/>
          <w:lang w:val="en-GB"/>
        </w:rPr>
        <w:t>Relative Price Trends in Comparison with the EU</w:t>
      </w:r>
      <w:bookmarkEnd w:id="32"/>
    </w:p>
    <w:p>
      <w:pPr>
        <w:pStyle w:val="Textprost"/>
        <w:rPr/>
      </w:pPr>
      <w:r>
        <w:rPr/>
        <w:t>Úřad se také zajímal o relativní vývoj cen ve srovnání s ostatními státy EU sledovanými Eurostatem. Pro tyto účely využil statistické údaje harmonizovaného indexu spotřebitelských cen.</w:t>
      </w:r>
      <w:r>
        <w:rPr>
          <w:rStyle w:val="FootnoteReference"/>
        </w:rPr>
        <w:footnoteReference w:id="18"/>
      </w:r>
      <w:r>
        <w:rPr/>
        <w:t xml:space="preserve"> Konkrétně pracoval s částí spotřebitelských výdajů na komponentu „</w:t>
      </w:r>
      <w:r>
        <w:rPr>
          <w:i/>
          <w:iCs/>
        </w:rPr>
        <w:t>Communications</w:t>
      </w:r>
      <w:r>
        <w:rPr/>
        <w:t>“ (CP08).</w:t>
      </w:r>
    </w:p>
    <w:p>
      <w:pPr>
        <w:pStyle w:val="Graf"/>
        <w:numPr>
          <w:ilvl w:val="0"/>
          <w:numId w:val="2"/>
        </w:numPr>
        <w:ind w:hanging="1418" w:left="1418" w:right="0"/>
        <w:rPr/>
      </w:pPr>
      <w:bookmarkStart w:id="33" w:name="_Toc229058011"/>
      <w:r>
        <w:rPr/>
        <w:t>Vývoj HICP cenového indexu komponenty „komunikace“</w:t>
      </w:r>
      <w:bookmarkEnd w:id="33"/>
    </w:p>
    <w:p>
      <w:pPr>
        <w:pStyle w:val="GrafvAJ"/>
        <w:ind w:hanging="0" w:left="1418" w:right="0"/>
        <w:rPr>
          <w:lang w:val="en-GB"/>
        </w:rPr>
      </w:pPr>
      <w:r>
        <w:rPr>
          <w:lang w:val="en-GB" w:eastAsia="cs-CZ"/>
        </w:rPr>
        <w:t>Development of the HICP price index for the “Communications” component</w:t>
      </w:r>
    </w:p>
    <w:p>
      <w:pPr>
        <w:pStyle w:val="Graftabulka"/>
        <w:rPr/>
      </w:pPr>
      <w:r>
        <w:rPr/>
        <w:t>[[%img{“filename“:“img/HICP/naznaky_vyvoj_CZ.png“}]]</w:t>
      </w:r>
    </w:p>
    <w:p>
      <w:pPr>
        <w:pStyle w:val="Zdroj"/>
        <w:rPr/>
      </w:pPr>
      <w:r>
        <w:rPr/>
        <w:t>Zdroj/Source: údaje Eurostatu (HICP CP08) / EUROSTAT data (HICP CP08).</w:t>
      </w:r>
    </w:p>
    <w:p>
      <w:pPr>
        <w:pStyle w:val="Textprost"/>
        <w:rPr/>
      </w:pPr>
      <w:r>
        <w:rPr/>
        <w:t xml:space="preserve">Úřad z uvedeného indexu vypočítal pro všechny sledované státy EU meziměsíční a meziroční procentní změnu cenové úrovně služeb zkoumaného sektoru. Určil pro každé období procentní změnu pro zkoumané kvantily, a to </w:t>
      </w:r>
      <w:r>
        <w:rPr/>
      </w:r>
      <m:oMath xmlns:m="http://schemas.openxmlformats.org/officeDocument/2006/math">
        <m:sSub>
          <m:e>
            <m:r>
              <w:rPr>
                <w:rFonts w:ascii="Cambria Math" w:hAnsi="Cambria Math"/>
              </w:rPr>
              <m:t xml:space="preserve">Q</m:t>
            </m:r>
          </m:e>
          <m:sub>
            <m:r>
              <w:rPr>
                <w:rFonts w:ascii="Cambria Math" w:hAnsi="Cambria Math"/>
              </w:rPr>
              <m:t xml:space="preserve">0</m:t>
            </m:r>
            <m:r>
              <w:rPr>
                <w:rFonts w:ascii="Cambria Math" w:hAnsi="Cambria Math"/>
              </w:rPr>
              <m:t xml:space="preserve">,</m:t>
            </m:r>
            <m:r>
              <w:rPr>
                <w:rFonts w:ascii="Cambria Math" w:hAnsi="Cambria Math"/>
              </w:rPr>
              <m:t xml:space="preserve">25</m:t>
            </m:r>
          </m:sub>
        </m:sSub>
      </m:oMath>
      <w:r>
        <w:rPr>
          <w:rFonts w:eastAsia="" w:eastAsiaTheme="minorEastAsia"/>
        </w:rPr>
        <w:t xml:space="preserve">, </w:t>
      </w:r>
      <w:r>
        <w:rPr/>
      </w:r>
      <m:oMath xmlns:m="http://schemas.openxmlformats.org/officeDocument/2006/math">
        <m:sSub>
          <m:e>
            <m:r>
              <w:rPr>
                <w:rFonts w:ascii="Cambria Math" w:hAnsi="Cambria Math"/>
              </w:rPr>
              <m:t xml:space="preserve">Q</m:t>
            </m:r>
          </m:e>
          <m:sub>
            <m:r>
              <w:rPr>
                <w:rFonts w:ascii="Cambria Math" w:hAnsi="Cambria Math"/>
              </w:rPr>
              <m:t xml:space="preserve">0</m:t>
            </m:r>
            <m:r>
              <w:rPr>
                <w:rFonts w:ascii="Cambria Math" w:hAnsi="Cambria Math"/>
              </w:rPr>
              <m:t xml:space="preserve">,</m:t>
            </m:r>
            <m:r>
              <w:rPr>
                <w:rFonts w:ascii="Cambria Math" w:hAnsi="Cambria Math"/>
              </w:rPr>
              <m:t xml:space="preserve">5</m:t>
            </m:r>
          </m:sub>
        </m:sSub>
      </m:oMath>
      <w:r>
        <w:rPr>
          <w:rFonts w:eastAsia="" w:eastAsiaTheme="minorEastAsia"/>
        </w:rPr>
        <w:t xml:space="preserve"> a</w:t>
      </w:r>
      <w:r>
        <w:rPr/>
      </w:r>
      <m:oMath xmlns:m="http://schemas.openxmlformats.org/officeDocument/2006/math">
        <m:sSub>
          <m:e>
            <m:r>
              <w:rPr>
                <w:rFonts w:ascii="Cambria Math" w:hAnsi="Cambria Math"/>
              </w:rPr>
              <m:t xml:space="preserve">Q</m:t>
            </m:r>
          </m:e>
          <m:sub>
            <m:r>
              <w:rPr>
                <w:rFonts w:ascii="Cambria Math" w:hAnsi="Cambria Math"/>
              </w:rPr>
              <m:t xml:space="preserve">0</m:t>
            </m:r>
            <m:r>
              <w:rPr>
                <w:rFonts w:ascii="Cambria Math" w:hAnsi="Cambria Math"/>
              </w:rPr>
              <m:t xml:space="preserve">,</m:t>
            </m:r>
            <m:r>
              <w:rPr>
                <w:rFonts w:ascii="Cambria Math" w:hAnsi="Cambria Math"/>
              </w:rPr>
              <m:t xml:space="preserve">75</m:t>
            </m:r>
          </m:sub>
        </m:sSub>
      </m:oMath>
      <w:r>
        <w:rPr>
          <w:rFonts w:eastAsia="" w:eastAsiaTheme="minorEastAsia"/>
        </w:rPr>
        <w:t>, a nejnižší a nejvyšší procentní změnu</w:t>
      </w:r>
      <w:r>
        <w:rPr/>
        <w:t>. Úřad tak mohl lépe posoudit relativní dynamiku cenové úrovně v ČR ve srovnání s vývojem cenových úrovní v ostatních členských státech EU. Výsledky zkoumání tohoto náznaku zobrazují Grafy č. XXX a XXX.</w:t>
      </w:r>
    </w:p>
    <w:p>
      <w:pPr>
        <w:pStyle w:val="Graf"/>
        <w:numPr>
          <w:ilvl w:val="0"/>
          <w:numId w:val="2"/>
        </w:numPr>
        <w:ind w:hanging="1418" w:left="1418" w:right="0"/>
        <w:rPr/>
      </w:pPr>
      <w:bookmarkStart w:id="34" w:name="_Toc229058012"/>
      <w:r>
        <w:rPr/>
        <w:t>Vývoj relativní meziměsíční změny cenové úrovně komponenty „komunikace“ v ČR</w:t>
      </w:r>
      <w:bookmarkEnd w:id="34"/>
    </w:p>
    <w:p>
      <w:pPr>
        <w:pStyle w:val="GrafvAJ"/>
        <w:ind w:hanging="0" w:left="1418" w:right="0"/>
        <w:rPr/>
      </w:pPr>
      <w:r>
        <w:rPr>
          <w:lang w:eastAsia="cs-CZ"/>
        </w:rPr>
        <w:t>Development of the relative month-on-month change in the price level of the “Communications” component in the Czech Republic</w:t>
      </w:r>
    </w:p>
    <w:p>
      <w:pPr>
        <w:pStyle w:val="Graftabulka"/>
        <w:rPr/>
      </w:pPr>
      <w:r>
        <w:rPr/>
        <w:t>[[%img{“filename“:“img/HICP/naznaky_mezimesicni_zmena_HICP.png“}]]</w:t>
      </w:r>
    </w:p>
    <w:p>
      <w:pPr>
        <w:pStyle w:val="Zdroj"/>
        <w:rPr/>
      </w:pPr>
      <w:r>
        <w:rPr/>
        <w:t>Zdroj/Source: údaje Eurostatu (HICP CP08) / EUROSTAT data (HICP CP08).</w:t>
      </w:r>
    </w:p>
    <w:p>
      <w:pPr>
        <w:pStyle w:val="Textprost"/>
        <w:rPr/>
      </w:pPr>
      <w:r>
        <w:rPr/>
        <w:t>Meziměsíční změna je schopna graficky odrážet období extrémních krátkodobých změn. Jak vyplývá z grafu, lze identifikovat značné výkyvy cenové úrovně v ČR zejména v období na přelomu let 2016 a 2017, kdy došlo nejdříve v evropském srovnání k nestandardnímu poklesu a následně růstu cenové úrovně v ČR. Obdobný vývoj lze pozorovat i v období pandemie covid-19. Třetí nestandardní období charakteristické relativně většími vzestupy cenové úrovně lze identifikovat mezi lety 2022 a 2024.</w:t>
      </w:r>
    </w:p>
    <w:p>
      <w:pPr>
        <w:pStyle w:val="Textprost"/>
        <w:rPr/>
      </w:pPr>
      <w:r>
        <w:rPr/>
        <w:t>K tomu Úřad doplňuje, že se zároveň jedná o období charakteristická externím šokem pro zkoumaný sektor, přičemž v prvním uvedeném případě se lze domnívat, že tímto externím šokem bylo provádění sektorového šetření Úřadem v roce 2017, druhým byla pandemie covid-19 a třetím všeobecný vzestup cenové hladiny v ČR, který následoval po pandemické situaci.</w:t>
      </w:r>
    </w:p>
    <w:p>
      <w:pPr>
        <w:pStyle w:val="Textprost"/>
        <w:rPr/>
      </w:pPr>
      <w:r>
        <w:rPr/>
        <w:t>Středně až dlouhodobější pohled umožňuje analýza meziročních změn, která vyhlazuje krátkodobé nestandardní změny a ukazuje spíše trendový vývoj. Meziroční změnu cenové úrovně ilustruje Graf č. XXX.</w:t>
      </w:r>
    </w:p>
    <w:p>
      <w:pPr>
        <w:pStyle w:val="Graf"/>
        <w:numPr>
          <w:ilvl w:val="0"/>
          <w:numId w:val="2"/>
        </w:numPr>
        <w:ind w:hanging="1418" w:left="1418" w:right="0"/>
        <w:rPr/>
      </w:pPr>
      <w:bookmarkStart w:id="35" w:name="_Toc229058013"/>
      <w:r>
        <w:rPr/>
        <w:t>Vývoj relativní meziroční změny cenové úrovně komponenty „komunikace“ v ČR</w:t>
      </w:r>
      <w:bookmarkEnd w:id="35"/>
    </w:p>
    <w:p>
      <w:pPr>
        <w:pStyle w:val="GrafvAJ"/>
        <w:ind w:hanging="0" w:left="1418" w:right="0"/>
        <w:rPr>
          <w:lang w:val="en-GB"/>
        </w:rPr>
      </w:pPr>
      <w:r>
        <w:rPr>
          <w:lang w:val="en-GB" w:eastAsia="cs-CZ"/>
        </w:rPr>
        <w:t>Development of the relative year-on-year change in the price level of the “Communications” component in the Czech Republic</w:t>
      </w:r>
    </w:p>
    <w:p>
      <w:pPr>
        <w:pStyle w:val="Graftabulka"/>
        <w:rPr/>
      </w:pPr>
      <w:r>
        <w:rPr/>
        <w:t>[[%img{“filename“:“img/HICP/naznaky_mezirocni_zmena_HICP.png“}]]</w:t>
      </w:r>
    </w:p>
    <w:p>
      <w:pPr>
        <w:pStyle w:val="Zdroj"/>
        <w:rPr/>
      </w:pPr>
      <w:r>
        <w:rPr/>
        <w:t>Zdroj/Source: údaje Eurostatu (HICP CP08) / EUROSTAT data (HICP CP08).</w:t>
      </w:r>
    </w:p>
    <w:p>
      <w:pPr>
        <w:pStyle w:val="Textprost"/>
        <w:rPr/>
      </w:pPr>
      <w:r>
        <w:rPr/>
        <w:t>Vývoj cenové úrovně až do roku 2019 patřil spíše ke standardním v rámci evropského srovnání. Pandemie covid-19 vytvořila ve zkoumané oblasti v ČR značný cenotvorný tlak, přičemž působila deflačně na nominálně vyjádřené ceny.</w:t>
      </w:r>
      <w:r>
        <w:rPr>
          <w:rStyle w:val="FootnoteReference"/>
        </w:rPr>
        <w:footnoteReference w:id="19"/>
      </w:r>
      <w:r>
        <w:rPr/>
        <w:t xml:space="preserve"> Po krátkém období standardního cenového vývoje lze však ve zkoumané oblasti pozorovat relativně významnou akceleraci cen vrcholící mezi lety 2022 a 2024. Úřad k tomu podotýká, že post-pandemická inflační vlna nebyla omezena pouze na ČR, jak je z grafu patrné. Vývoj cenové úrovně ve zkoumané oblasti v ČR lze tak označit do určité míry za vysoce nestandardní.</w:t>
      </w:r>
    </w:p>
    <w:p>
      <w:pPr>
        <w:pStyle w:val="Textprost"/>
        <w:rPr/>
      </w:pPr>
      <w:r>
        <w:rPr/>
        <w:t>Cenový rozdíl za dvouleté období ilustruje</w:t>
      </w:r>
      <w:r>
        <w:rPr>
          <w:highlight w:val="yellow"/>
        </w:rPr>
        <w:t>, nad obecné trendy, i značně</w:t>
      </w:r>
      <w:r>
        <w:rPr/>
        <w:t xml:space="preserve"> systémový a strukturální vývoj. Z tohoto důvodu Úřad vypočetl vývoj relativní změny cenové úrovně za dvouleté období, aby ještě více vyhladil krátkodobé a střednědobé vlivy. Výsledky zobrazuje Graf č. XXX.</w:t>
      </w:r>
    </w:p>
    <w:p>
      <w:pPr>
        <w:pStyle w:val="Graf"/>
        <w:numPr>
          <w:ilvl w:val="0"/>
          <w:numId w:val="2"/>
        </w:numPr>
        <w:ind w:hanging="1418" w:left="1418" w:right="0"/>
        <w:rPr/>
      </w:pPr>
      <w:bookmarkStart w:id="36" w:name="_Toc229058014"/>
      <w:r>
        <w:rPr/>
        <w:t>Vývoj relativní změny cenové úrovně komponenty „komunikace“ v ČR za dvouleté období</w:t>
      </w:r>
      <w:bookmarkEnd w:id="36"/>
    </w:p>
    <w:p>
      <w:pPr>
        <w:pStyle w:val="GrafvAJ"/>
        <w:ind w:hanging="0" w:left="1418" w:right="0"/>
        <w:rPr>
          <w:lang w:val="en-GB"/>
        </w:rPr>
      </w:pPr>
      <w:r>
        <w:rPr>
          <w:lang w:val="en-GB" w:eastAsia="cs-CZ"/>
        </w:rPr>
        <w:t>Development of the relative change in the price level of the “Communications” component in the Czech Republic over a two-year period</w:t>
      </w:r>
    </w:p>
    <w:p>
      <w:pPr>
        <w:pStyle w:val="Graftabulka"/>
        <w:rPr/>
      </w:pPr>
      <w:r>
        <w:rPr/>
        <w:t>[[%img{“filename“:“img/HICP/naznaky_dvouleta_zmena_HICP.png“}]]</w:t>
      </w:r>
    </w:p>
    <w:p>
      <w:pPr>
        <w:pStyle w:val="Zdroj"/>
        <w:rPr/>
      </w:pPr>
      <w:r>
        <w:rPr/>
        <w:t>Zdroj/Source: údaje Eurostatu (HICP CP08) / EUROSTAT data (HICP CP08).</w:t>
      </w:r>
    </w:p>
    <w:p>
      <w:pPr>
        <w:pStyle w:val="Textprost"/>
        <w:rPr/>
      </w:pPr>
      <w:r>
        <w:rPr/>
        <w:t>Nestandardní relativní vývoj situace v ČR potvrzuje i zkoumání vývoje cenové úrovně napříč dvouletým obdobím, kdy se ČR od roku 2020 přesunula ze čtvrtiny států s nejnižšími změnami (toho času deflačními) cenové úrovně až ke čtvrtině států EU s její nejvyšší akcelerací. Jde tedy o významnou systémovou a strukturální změnu cenového vývoje ve zkoumané oblasti v ČR.</w:t>
      </w:r>
    </w:p>
    <w:p>
      <w:pPr>
        <w:pStyle w:val="Heading3"/>
        <w:ind w:hanging="1134" w:left="142" w:right="284"/>
        <w:rPr/>
      </w:pPr>
      <w:bookmarkStart w:id="37" w:name="_Toc229057791"/>
      <w:r>
        <w:rPr/>
        <w:t>Asymetrický vývoj ARPU v segmentu domácností po roce 2017 /</w:t>
        <w:br/>
      </w:r>
      <w:r>
        <w:rPr>
          <w:i/>
          <w:iCs/>
          <w:sz w:val="20"/>
          <w:lang w:val="en-GB"/>
        </w:rPr>
        <w:t>Asymmetric Development of ARPU in the Household Segment after 2017</w:t>
      </w:r>
      <w:bookmarkEnd w:id="37"/>
    </w:p>
    <w:p>
      <w:pPr>
        <w:pStyle w:val="Textprost"/>
        <w:rPr/>
      </w:pPr>
      <w:r>
        <w:rPr/>
        <w:t>Úřad při detailnějším zkoumání cenového vývoje v ČR vyšel z dat ČTÚ, a to konkrétně opět z výše ARPU. Cenový vývoj zachycený pomocí průměrného měsíčního ARPU v rozdělení dle jednotlivých segmentů zobrazuje Graf č. XXX.</w:t>
      </w:r>
    </w:p>
    <w:p>
      <w:pPr>
        <w:pStyle w:val="Graf"/>
        <w:numPr>
          <w:ilvl w:val="0"/>
          <w:numId w:val="2"/>
        </w:numPr>
        <w:ind w:hanging="1418" w:left="1418" w:right="0"/>
        <w:rPr/>
      </w:pPr>
      <w:bookmarkStart w:id="38" w:name="_Toc229058015"/>
      <w:r>
        <w:rPr/>
        <w:t>Vývoj průměrného měsíčního ARPU operátorů v jednotlivých segmentech (v Kč v běžných cenách)</w:t>
      </w:r>
      <w:bookmarkEnd w:id="38"/>
    </w:p>
    <w:p>
      <w:pPr>
        <w:pStyle w:val="GrafvAJ"/>
        <w:ind w:hanging="0" w:left="1418" w:right="0"/>
        <w:rPr/>
      </w:pPr>
      <w:r>
        <w:rPr>
          <w:lang w:val="en-GB" w:eastAsia="cs-CZ"/>
        </w:rPr>
        <w:t>Development of average monthly ARPU of operators by segment (in CZK, current prices)</w:t>
      </w:r>
    </w:p>
    <w:p>
      <w:pPr>
        <w:pStyle w:val="Graftabulka"/>
        <w:rPr/>
      </w:pPr>
      <w:r>
        <w:rPr/>
        <w:t>[[%img{“filename“:“img/CTU/naznaky_vyvoj_ARPU_segmenty.png“}]]</w:t>
      </w:r>
    </w:p>
    <w:p>
      <w:pPr>
        <w:pStyle w:val="Zdroj"/>
        <w:rPr/>
      </w:pPr>
      <w:r>
        <w:rPr/>
        <w:t>Zdroj/Source: údaje ČTÚ / ČTÚ data.</w:t>
      </w:r>
    </w:p>
    <w:p>
      <w:pPr>
        <w:pStyle w:val="Textprost"/>
        <w:rPr/>
      </w:pPr>
      <w:r>
        <w:rPr/>
        <w:t>Z cenového vývoje zřetelně vyplývá, že za zkoumané období byl vývoj ARPU, dle údajů ČTÚ, charakteristický svým nominálním nárůstem. Zároveň lze konstatovat, že při bližším zkoumání v rozdělení po segmentech se cenový vzestup od roku 2017 týká převážně segmentu domácností.</w:t>
      </w:r>
    </w:p>
    <w:p>
      <w:pPr>
        <w:pStyle w:val="Textprost"/>
        <w:rPr/>
      </w:pPr>
      <w:r>
        <w:rPr/>
        <w:t>Pro lepší srozumitelnost Úřad uvádí i podíl ARPU v segmentu domácností na segmentu firem v rozdělení dle jednotlivých mobilních operátorů a dle majetkově propojených a nepropojených MVNO souhrnně. Hodnota je vypočtena jako:</w:t>
      </w:r>
    </w:p>
    <w:p>
      <w:pPr>
        <w:pStyle w:val="Rovnice"/>
        <w:numPr>
          <w:ilvl w:val="0"/>
          <w:numId w:val="10"/>
        </w:numPr>
        <w:ind w:hanging="284" w:left="142" w:right="0"/>
        <w:rPr/>
      </w:pPr>
      <w:r>
        <w:rPr/>
        <w:t>.</w:t>
        <w:tab/>
        <w:t>[[% $p_{ARPU} = \frac{ARPU^D}{ARPU^F} * 100$]].</w:t>
      </w:r>
    </w:p>
    <w:p>
      <w:pPr>
        <w:pStyle w:val="Textprost"/>
        <w:rPr/>
      </w:pPr>
      <w:r>
        <w:rPr/>
        <w:t>Takto získané podíly zachycuje Graf č. XXX.</w:t>
      </w:r>
    </w:p>
    <w:p>
      <w:pPr>
        <w:pStyle w:val="Graf"/>
        <w:numPr>
          <w:ilvl w:val="0"/>
          <w:numId w:val="2"/>
        </w:numPr>
        <w:ind w:hanging="1418" w:left="1418" w:right="0"/>
        <w:rPr/>
      </w:pPr>
      <w:bookmarkStart w:id="39" w:name="_Toc229058016"/>
      <w:r>
        <w:rPr/>
        <w:t>ARPU segmentu domácností jako % ARPU segmentu firem dle jednotlivých operátorů a dle majetkového vztahu MVNO (v %)</w:t>
      </w:r>
      <w:bookmarkEnd w:id="39"/>
    </w:p>
    <w:p>
      <w:pPr>
        <w:pStyle w:val="GrafvAJ"/>
        <w:ind w:hanging="0" w:left="1418" w:right="0"/>
        <w:rPr>
          <w:lang w:val="en-GB"/>
        </w:rPr>
      </w:pPr>
      <w:r>
        <w:rPr>
          <w:lang w:val="en-GB" w:eastAsia="cs-CZ"/>
        </w:rPr>
        <w:t>Household segment ARPU as a percentage of business segment ARPU, by individual operators and by MVNO ownership links (in %)</w:t>
      </w:r>
    </w:p>
    <w:p>
      <w:pPr>
        <w:pStyle w:val="Graftabulka"/>
        <w:rPr/>
      </w:pPr>
      <w:r>
        <w:rPr/>
        <w:t>[[%img{“filename“:“img/CTU/naznaky_ARPU_jako_procento_segmenty.png“}]]</w:t>
      </w:r>
    </w:p>
    <w:p>
      <w:pPr>
        <w:pStyle w:val="Zdroj"/>
        <w:rPr/>
      </w:pPr>
      <w:r>
        <w:rPr/>
        <w:t>Zdroj/Source: údaje ČTÚ / ČTÚ data.</w:t>
      </w:r>
    </w:p>
    <w:p>
      <w:pPr>
        <w:pStyle w:val="Textprost"/>
        <w:rPr/>
      </w:pPr>
      <w:r>
        <w:rPr/>
        <w:t>Vyjde-li Úřad z toho, že mobilní služby jsou oběma segmentům poskytovány na stejné infrastruktuře a významnější nákladový rozdíl lze nalézt snad pouze v marketingových aktivitách a péči o zákazníky,</w:t>
      </w:r>
      <w:r>
        <w:rPr>
          <w:rStyle w:val="FootnoteReference"/>
        </w:rPr>
        <w:footnoteReference w:id="20"/>
      </w:r>
      <w:r>
        <w:rPr/>
        <w:t xml:space="preserve"> pak kontinuálně rostoucí rozdíl v ARPU může být způsoben rozdílným vývojem množství spotřebovávaných služeb. Tyto souvislosti budou zkoumány v samotném sektorovém šetření.</w:t>
      </w:r>
    </w:p>
    <w:p>
      <w:pPr>
        <w:pStyle w:val="Heading3"/>
        <w:ind w:hanging="1134" w:left="142" w:right="284"/>
        <w:rPr/>
      </w:pPr>
      <w:bookmarkStart w:id="40" w:name="_Toc229057792"/>
      <w:r>
        <w:rPr/>
        <w:t>Významný rozdíl mezi ARPU a ceníkovými cenami /</w:t>
        <w:br/>
      </w:r>
      <w:r>
        <w:rPr>
          <w:i/>
          <w:sz w:val="20"/>
          <w:lang w:val="en-GB"/>
        </w:rPr>
        <w:t>Significant Difference Between ARPU and List Prices</w:t>
      </w:r>
      <w:bookmarkEnd w:id="40"/>
    </w:p>
    <w:p>
      <w:pPr>
        <w:pStyle w:val="Textprost"/>
        <w:rPr/>
      </w:pPr>
      <w:r>
        <w:rPr/>
        <w:t>Pro ilustraci rozdílu mezi ARPU tří mobilních operátorů a ceníkových cen zjišťoval Úřad nejnižší ceníkovou nabídku paušálních tarifů</w:t>
      </w:r>
      <w:r>
        <w:rPr>
          <w:rStyle w:val="FootnoteReference"/>
        </w:rPr>
        <w:footnoteReference w:id="21"/>
      </w:r>
      <w:r>
        <w:rPr/>
        <w:t xml:space="preserve"> v ČR. Z veřejně dostupných informací vyplynulo, že nejlevnější ceníkové paušální tarify pro běžné spotřebitele v čase zkoumání Úřadu byly nabízeny za cenu 335 Kč u společnosti T-Mobile, 349 Kč u společnosti O2 a 499 Kč u společnosti Vodafone, přičemž průměrný měsíční ARPU v segmentu domácností nedosahoval 300 Kč, jak dokládá Graf č. </w:t>
      </w:r>
      <w:commentRangeStart w:id="4"/>
      <w:r>
        <w:rPr/>
        <w:t>XXX</w:t>
      </w:r>
      <w:r>
        <w:rPr/>
      </w:r>
      <w:commentRangeEnd w:id="4"/>
      <w:r>
        <w:commentReference w:id="4"/>
      </w:r>
      <w:r>
        <w:rPr/>
        <w:t>. Ze zjištěných informací bylo možné dovodit, že:</w:t>
      </w:r>
    </w:p>
    <w:p>
      <w:pPr>
        <w:pStyle w:val="Textslovan"/>
        <w:numPr>
          <w:ilvl w:val="0"/>
          <w:numId w:val="36"/>
        </w:numPr>
        <w:ind w:hanging="357" w:left="453" w:right="0"/>
        <w:rPr/>
      </w:pPr>
      <w:r>
        <w:rPr/>
        <w:t>paušální tarify jsou na trhu nebo trzích zcela okrajovou formou úhrady za mobilní služby poskytované spotřebitelům</w:t>
      </w:r>
      <w:commentRangeStart w:id="5"/>
      <w:r>
        <w:rPr>
          <w:rStyle w:val="FootnoteReference"/>
        </w:rPr>
        <w:footnoteReference w:id="22"/>
      </w:r>
      <w:r>
        <w:rPr/>
      </w:r>
      <w:commentRangeEnd w:id="5"/>
      <w:r>
        <w:commentReference w:id="5"/>
      </w:r>
      <w:r>
        <w:rPr/>
        <w:t xml:space="preserve"> nebo</w:t>
      </w:r>
    </w:p>
    <w:p>
      <w:pPr>
        <w:pStyle w:val="Textslovan"/>
        <w:numPr>
          <w:ilvl w:val="0"/>
          <w:numId w:val="8"/>
        </w:numPr>
        <w:ind w:hanging="357" w:left="456" w:right="0"/>
        <w:rPr/>
      </w:pPr>
      <w:r>
        <w:rPr/>
        <w:t>ceníkové nabídky jsou využívány významnou menšinou domácností.</w:t>
      </w:r>
    </w:p>
    <w:p>
      <w:pPr>
        <w:pStyle w:val="Textprost"/>
        <w:rPr/>
      </w:pPr>
      <w:r>
        <w:rPr/>
        <w:t xml:space="preserve">Vzhledem k tomu, že bylo možné se rozumně domnívat, že konstatování uvedené pod bodem 1 neodpovídá skutečnému fungování dotčeného trhu nebo trhů, Úřad dospěl k závěru, že cenová diskriminace nebo eroze informační funkce tržní ceny mohou být potenciálně významnými faktory majícími vliv na fungování hospodářské soutěže. Konstatování v bodě 2 přímo vedlo k závěru, že </w:t>
      </w:r>
      <w:r>
        <w:rPr>
          <w:b/>
        </w:rPr>
        <w:t>informační funkce tržních cen je ve zkoumané oblasti snížena</w:t>
      </w:r>
      <w:r>
        <w:rPr/>
        <w:t xml:space="preserve"> způsobem naznačujícím absenci nebo nedostatečnost konkurence na straně nabídky.</w:t>
      </w:r>
    </w:p>
    <w:p>
      <w:pPr>
        <w:pStyle w:val="Heading3"/>
        <w:ind w:hanging="1134" w:left="142" w:right="284"/>
        <w:rPr/>
      </w:pPr>
      <w:bookmarkStart w:id="41" w:name="_Toc229057793"/>
      <w:r>
        <w:rPr/>
        <w:t>Rozsah retenčních a neveřejných nabídek /</w:t>
        <w:br/>
      </w:r>
      <w:r>
        <w:rPr>
          <w:i/>
          <w:sz w:val="20"/>
          <w:lang w:val="en-GB"/>
        </w:rPr>
        <w:t>Scope of Retention and Non</w:t>
      </w:r>
      <w:r>
        <w:rPr>
          <w:rFonts w:cs="Cambria Math" w:ascii="Cambria Math" w:hAnsi="Cambria Math"/>
          <w:i/>
          <w:sz w:val="20"/>
          <w:lang w:val="en-GB"/>
        </w:rPr>
        <w:noBreakHyphen/>
      </w:r>
      <w:r>
        <w:rPr>
          <w:i/>
          <w:sz w:val="20"/>
          <w:lang w:val="en-GB"/>
        </w:rPr>
        <w:t>Public Offers</w:t>
      </w:r>
      <w:bookmarkEnd w:id="41"/>
    </w:p>
    <w:p>
      <w:pPr>
        <w:pStyle w:val="Textprost"/>
        <w:rPr/>
      </w:pPr>
      <w:r>
        <w:rPr/>
        <w:t>Pro účely předběžného posouzení rozsahu retenčních a neveřejných nabídek Úřad vycházel ze Studie preferencí provedené pro ČTÚ.</w:t>
      </w:r>
    </w:p>
    <w:p>
      <w:pPr>
        <w:pStyle w:val="Textprost"/>
        <w:rPr/>
      </w:pPr>
      <w:r>
        <w:rPr/>
        <w:t>Dle této studie 9 % respondentů uvedlo, že obdrželo neveřejnou slevu na mobilní telekomunikační služby,</w:t>
      </w:r>
      <w:r>
        <w:rPr>
          <w:rStyle w:val="FootnoteReference"/>
        </w:rPr>
        <w:footnoteReference w:id="23"/>
      </w:r>
      <w:r>
        <w:rPr/>
        <w:t xml:space="preserve"> přičemž přes 17 % z nich obdrželo slevu ve výši přesahující 30 %.</w:t>
      </w:r>
      <w:r>
        <w:rPr>
          <w:rStyle w:val="FootnoteReference"/>
        </w:rPr>
        <w:footnoteReference w:id="24"/>
      </w:r>
      <w:r>
        <w:rPr/>
        <w:t xml:space="preserve"> Nad to 59 % respondentů uvedlo, že za účelem získání lepší ceny mobilních telekomunikačních služeb musí na svého operátora „tlačit“.</w:t>
      </w:r>
      <w:r>
        <w:rPr>
          <w:rStyle w:val="FootnoteReference"/>
        </w:rPr>
        <w:footnoteReference w:id="25"/>
      </w:r>
      <w:r>
        <w:rPr/>
        <w:t xml:space="preserve"> Více než polovina segmentu domácností si je tedy vědoma, že ceníkové ceny nejsou cenami odpovídajícími daným službám. </w:t>
      </w:r>
      <w:r>
        <w:rPr>
          <w:b/>
          <w:bCs/>
        </w:rPr>
        <w:t>Pokles informační funkce cen proto Úřad hodnotil jako významný</w:t>
      </w:r>
      <w:r>
        <w:rPr/>
        <w:t>. Pokud cena ztrácí svou informační funkci, spotřebitelé se dle výsledků Studie preferencí nacházejí ve významné informační nevýhodě,</w:t>
      </w:r>
      <w:r>
        <w:rPr>
          <w:rStyle w:val="FootnoteReference"/>
        </w:rPr>
        <w:footnoteReference w:id="26"/>
      </w:r>
      <w:r>
        <w:rPr/>
        <w:t xml:space="preserve"> která potenciálně umožňuje mobilním operátorům s informační výhodou</w:t>
      </w:r>
      <w:r>
        <w:rPr>
          <w:rStyle w:val="FootnoteReference"/>
        </w:rPr>
        <w:footnoteReference w:id="27"/>
      </w:r>
      <w:r>
        <w:rPr/>
        <w:t xml:space="preserve"> těžit rentu na úkor spotřebitelů, a to uplatňováním cenové diskriminace prvního stupně.</w:t>
      </w:r>
      <w:r>
        <w:rPr>
          <w:rStyle w:val="FootnoteReference"/>
        </w:rPr>
        <w:footnoteReference w:id="28"/>
      </w:r>
    </w:p>
    <w:p>
      <w:pPr>
        <w:pStyle w:val="Textprost"/>
        <w:rPr/>
      </w:pPr>
      <w:r>
        <w:rPr/>
        <w:t xml:space="preserve">Daná situace také může vést ke stavu, kdy by role </w:t>
      </w:r>
      <w:r>
        <w:rPr>
          <w:i/>
          <w:iCs/>
        </w:rPr>
        <w:t>lock-in</w:t>
      </w:r>
      <w:r>
        <w:rPr/>
        <w:t xml:space="preserve"> efektu mohla hrát významnou roli ve zkoumaném sektoru,</w:t>
      </w:r>
      <w:r>
        <w:rPr>
          <w:rStyle w:val="FootnoteReference"/>
        </w:rPr>
        <w:footnoteReference w:id="29"/>
      </w:r>
      <w:r>
        <w:rPr/>
        <w:t xml:space="preserve"> což naznačují i výsledky Studie preferencí, v níž 69 % respondentů uvedlo, že využívají služby svého poskytovatele mobilních služeb déle než pět let a 90 % respondentů jej využívají déle než dva roky.</w:t>
      </w:r>
      <w:r>
        <w:rPr>
          <w:rStyle w:val="FootnoteReference"/>
        </w:rPr>
        <w:footnoteReference w:id="30"/>
      </w:r>
    </w:p>
    <w:p>
      <w:pPr>
        <w:pStyle w:val="Textprost"/>
        <w:rPr/>
      </w:pPr>
      <w:r>
        <w:rPr/>
        <w:t>Rozsah retenčních a neveřejných nabídek na zkoumaném trhu/trzích tak dle Úřadu může mít významný vliv na efektivní fungování hospodářské soutěže.</w:t>
      </w:r>
    </w:p>
    <w:p>
      <w:pPr>
        <w:pStyle w:val="Heading3"/>
        <w:ind w:hanging="1134" w:left="142" w:right="284"/>
        <w:rPr/>
      </w:pPr>
      <w:bookmarkStart w:id="42" w:name="_Toc229057794"/>
      <w:r>
        <w:rPr/>
        <w:t>Zahraniční sektorová šetření a odborná literatura /</w:t>
        <w:br/>
      </w:r>
      <w:r>
        <w:rPr>
          <w:i/>
          <w:sz w:val="20"/>
          <w:lang w:val="en-GB"/>
        </w:rPr>
        <w:t>Foreign Sector Inquiries and Academic Literature</w:t>
      </w:r>
      <w:bookmarkEnd w:id="42"/>
    </w:p>
    <w:p>
      <w:pPr>
        <w:pStyle w:val="Textprost"/>
        <w:rPr/>
      </w:pPr>
      <w:r>
        <w:rPr/>
        <w:t>V nedávné době byla ve zkoumané oblasti provedena sektorová šetření nebo studie například soutěžním úřadem v Portugalsku (dále jen „</w:t>
      </w:r>
      <w:r>
        <w:rPr>
          <w:b/>
          <w:bCs/>
        </w:rPr>
        <w:t>ANACOM</w:t>
      </w:r>
      <w:r>
        <w:rPr/>
        <w:t>“) v roce 2024,</w:t>
      </w:r>
      <w:r>
        <w:rPr>
          <w:rStyle w:val="FootnoteReference"/>
        </w:rPr>
        <w:footnoteReference w:id="31"/>
      </w:r>
      <w:r>
        <w:rPr/>
        <w:t xml:space="preserve"> soutěžním úřadem v Rakousku (dále jen „</w:t>
      </w:r>
      <w:r>
        <w:rPr>
          <w:b/>
          <w:bCs/>
        </w:rPr>
        <w:t>BWB</w:t>
      </w:r>
      <w:r>
        <w:rPr/>
        <w:t>“) v roce 2016</w:t>
      </w:r>
      <w:r>
        <w:rPr>
          <w:rStyle w:val="FootnoteReference"/>
        </w:rPr>
        <w:footnoteReference w:id="32"/>
      </w:r>
      <w:r>
        <w:rPr/>
        <w:t xml:space="preserve"> nebo např. studie ministerstva ekonomiky ve Francii (dále jen „</w:t>
      </w:r>
      <w:r>
        <w:rPr>
          <w:b/>
          <w:bCs/>
        </w:rPr>
        <w:t>francouzská studie</w:t>
      </w:r>
      <w:r>
        <w:rPr/>
        <w:t>“) v roce 2023.</w:t>
      </w:r>
      <w:r>
        <w:rPr>
          <w:rStyle w:val="FootnoteReference"/>
        </w:rPr>
        <w:footnoteReference w:id="33"/>
      </w:r>
    </w:p>
    <w:p>
      <w:pPr>
        <w:pStyle w:val="Textprost"/>
        <w:rPr/>
      </w:pPr>
      <w:r>
        <w:rPr/>
        <w:t>Sektorové šetření ANACOM se zaměřilo na celou oblast telekomunikací, vč. např. poštovních služeb. Předmětem jeho zájmu bylo zejména spotřební chování a jeho vývoj. Sledována byla kritéria jako např. počet provolaných minut, zaslaných SMS a množství využitých GB nebo penetrace jednotlivých služeb. Co se týče cen a cenových strategií, šetření ANACOM zkoumalo variabilitu v cenách jednotlivých telekomunikačních služeb a provedlo relativní cenové srovnání se zahraničím a s vývojem spotřebitelského indexu cen. Předmětné šetření však neprovedlo hlubší analýzu cenové strategie a vývoje cen.</w:t>
      </w:r>
    </w:p>
    <w:p>
      <w:pPr>
        <w:pStyle w:val="Textprost"/>
        <w:rPr/>
      </w:pPr>
      <w:r>
        <w:rPr/>
        <w:t xml:space="preserve">Šetření BWB probíhalo ve formě </w:t>
      </w:r>
      <w:r>
        <w:rPr>
          <w:i/>
          <w:iCs/>
        </w:rPr>
        <w:t>ex-post</w:t>
      </w:r>
      <w:r>
        <w:rPr/>
        <w:t xml:space="preserve"> vyhodnocení dopadů fúzí v telekomunikační oblasti, uskutečněné mezi společnostmi H3G a Orange a společnostmi TA a Yesss! Rakouský soutěžní úřad si od mobilních operátorů vyžádal i data k retenčním a akvizičním nabídkám. Daná data však byla využita pro šetření v souvislosti s mezními náklady. BWB prováděl zejména nákladovou analýzu a obdobně jako ve výše uvedeném případě se cenová strategie nebo informační asymetrie detailně nezkoumala. Předmětem tohoto šetření bylo zejména ověřit budoucí vývoj cen po realizovaných fúzích, kdy </w:t>
      </w:r>
      <w:r>
        <w:rPr>
          <w:i/>
          <w:iCs/>
        </w:rPr>
        <w:t>ex-post</w:t>
      </w:r>
      <w:r>
        <w:rPr/>
        <w:t xml:space="preserve"> vyhodnocení ukázalo, že ceny mezi lety 2012 a 2015 vzrostly více, než jak předpokládal BWB ke dni povolení fúzí.</w:t>
      </w:r>
    </w:p>
    <w:p>
      <w:pPr>
        <w:pStyle w:val="Textprost"/>
        <w:rPr/>
      </w:pPr>
      <w:r>
        <w:rPr/>
        <w:t>V rámci francouzské studie byly předmětem zájmu i jiné než mobilní telekomunikační služby. Nicméně na základě intenzivní soutěže mezi mobilními operátory jsou ve Francii pozorovány dlouhodobě jedny z nejnižších cen mobilních telekomunikačních služeb v Evropě. Tento vývoj akceleroval zejména po vstupu dalšího mobilního operátora na trh.</w:t>
      </w:r>
      <w:r>
        <w:rPr>
          <w:rStyle w:val="FootnoteReference"/>
        </w:rPr>
        <w:footnoteReference w:id="34"/>
      </w:r>
      <w:r>
        <w:rPr/>
        <w:t xml:space="preserve"> V důsledku toho spotřebitelé těžili nejen z cenového poklesu, ale i z rostoucí nabídky jednotlivých mobilních telekomunikačních služeb.</w:t>
      </w:r>
      <w:r>
        <w:rPr>
          <w:rStyle w:val="FootnoteReference"/>
        </w:rPr>
        <w:footnoteReference w:id="35"/>
      </w:r>
      <w:r>
        <w:rPr/>
        <w:t xml:space="preserve"> Ani francouzská studie se však nevěnovala detailnější analýze cenových strategií jednotlivých operátorů.</w:t>
      </w:r>
    </w:p>
    <w:p>
      <w:pPr>
        <w:pStyle w:val="Textprost"/>
        <w:rPr/>
      </w:pPr>
      <w:r>
        <w:rPr/>
        <w:t>Z důvodu absence detailnějšího zkoumání naplnění informační funkce cen na trhu nebo trzích mobilních služeb ze strany soutěžních orgánů v EU se Úřad dále zaměřil na odbornou ekonomickou literaturu za účelem pochopení ekonomických jevů na průsečíku informační funkce tržní ceny, retenčních nabídek, omezeného počtu soutěžitelů a fungování hospodářské soutěže.</w:t>
      </w:r>
    </w:p>
    <w:p>
      <w:pPr>
        <w:pStyle w:val="Textprost"/>
        <w:rPr/>
      </w:pPr>
      <w:r>
        <w:rPr/>
        <w:t>Odborný článek Calzada a kol. (2023) mimo jiné uvádí, že na zkoumaném vzorku španělských domácností aktivní domácnosti platily o 9,4 % nižší ceny za telekomunikační služby, přičemž u významně aktivních domácností</w:t>
      </w:r>
      <w:r>
        <w:rPr>
          <w:rStyle w:val="FootnoteReference"/>
        </w:rPr>
        <w:footnoteReference w:id="36"/>
      </w:r>
      <w:r>
        <w:rPr/>
        <w:t xml:space="preserve"> se jednalo o 13,6 % ve srovnání s cenami placenými neaktivními domácnostmi, a že excesivita cen roste s komplexností mobilních telekomunikačních služeb.</w:t>
      </w:r>
      <w:r>
        <w:rPr>
          <w:rStyle w:val="FootnoteReference"/>
        </w:rPr>
        <w:footnoteReference w:id="37"/>
      </w:r>
    </w:p>
    <w:p>
      <w:pPr>
        <w:pStyle w:val="Textprost"/>
        <w:rPr/>
      </w:pPr>
      <w:r>
        <w:rPr/>
        <w:t xml:space="preserve">Capponi a kol. (2021) ve svém výzkumu došli k závěru, že individualizované nabídky mobilních telekomunikačních služeb vedou k poklesu přechodu mezi mobilními operátory. Výzkum autorů Aimene a kol. (2021) dospěl ke stejnému závěru jako úřady ve Společné analýze, a to ohledně odlišného chování mobilních dat. Výzkum Ascarza (2018) potvrdil, že retence snižují přechody mezi jednotlivými subjekty na nabízející straně (tzv. </w:t>
      </w:r>
      <w:r>
        <w:rPr>
          <w:i/>
          <w:iCs/>
        </w:rPr>
        <w:t>churn</w:t>
      </w:r>
      <w:r>
        <w:rPr/>
        <w:t xml:space="preserve">) a zároveň, že tyto nástroje má plně pod kontrolou nabízející subjekt a může je využívat s precizním zacílením na konkrétní identifikované skupiny zákazníků. Odhad </w:t>
      </w:r>
      <w:r>
        <w:rPr>
          <w:i/>
          <w:iCs/>
        </w:rPr>
        <w:t>lock-in</w:t>
      </w:r>
      <w:r>
        <w:rPr/>
        <w:t xml:space="preserve"> </w:t>
      </w:r>
      <w:r>
        <w:rPr>
          <w:highlight w:val="cyan"/>
        </w:rPr>
        <w:t>efektů způsobených náklady na změnu a jim korespondující výše cen</w:t>
      </w:r>
      <w:r>
        <w:rPr/>
        <w:t xml:space="preserve"> provedli již v roce 2004 autoři Kim a Yoon.</w:t>
      </w:r>
    </w:p>
    <w:p>
      <w:pPr>
        <w:pStyle w:val="Textprost"/>
        <w:rPr/>
      </w:pPr>
      <w:r>
        <w:rPr/>
        <w:t>K obzvláště relevantnímu závěru dospěli autoři Genakos a kol. (2017) a prokázali, že koncentrovanější trhy mobilních služeb vedou k vyšším cenám. Hedonický rozklad cen v souvislosti s odhadem vlivu konkurence na ceny nabízených služeb provedli autoři Grzybowski a kol. (2017).</w:t>
      </w:r>
    </w:p>
    <w:p>
      <w:pPr>
        <w:pStyle w:val="Textprost"/>
        <w:rPr/>
      </w:pPr>
      <w:r>
        <w:rPr/>
        <w:t>Teoretický ekonomický model vysvětlující vazbu mezi cenovou transparentností, cenovou diskriminací, újmou spotřebitelů a intenzitou hospodářské soutěže představil již v roce 2014 Schultz ve svém odborném článku.</w:t>
      </w:r>
    </w:p>
    <w:p>
      <w:pPr>
        <w:pStyle w:val="Textprost"/>
        <w:rPr/>
      </w:pPr>
      <w:r>
        <w:rPr/>
        <w:t>Odborná literatura tedy bez pochybností dokládá, že existující a aktivně prováděná cenová diskriminace vede k excesivním cenám placeným méně aktivními zákazníky, přičemž excesivita roste s rozsahem spotřebovávaných služeb, a zároveň potvrzuje, že retenční a neveřejná cenová politika snižuje přechody mezi jednotlivými operátory, tzn. uzavírá spotřebitele v ekosystému služeb nabízených dotčeným operátorem. Na druhou stranu se sektorová šetření a studie uvedené výše tomuto aspektu nevěnovaly a nezkoumaly ani cenové strategie a jejich možné protisoutěžní dopady. Kontext cenových strategií mobilních operátorů však vzbudil pozornost britského soutěžního úřadu,</w:t>
      </w:r>
      <w:r>
        <w:rPr>
          <w:rStyle w:val="FootnoteReference"/>
        </w:rPr>
        <w:footnoteReference w:id="38"/>
      </w:r>
      <w:r>
        <w:rPr/>
        <w:t xml:space="preserve"> Úřad proto není jediným, který považoval za nezbytné danou problematiku blíže prozkoumat.</w:t>
      </w:r>
    </w:p>
    <w:p>
      <w:pPr>
        <w:pStyle w:val="Textprost"/>
        <w:rPr/>
      </w:pPr>
      <w:r>
        <w:rPr/>
        <w:t xml:space="preserve">Úřad pozoroval ve zkoumaném sektoru, jak je zmíněno výše, nezpochybnitelné projevy možného narušení hospodářské soutěže důkladně prozkoumané odbornou literaturou. Rovněž vnímal soulad závěrů odborné literatury s jevy pozorovanými v českém prostředí jako další důvod k řádnému prošetření nejen podoby uplatňovaných cenových strategií jednotlivých operátorů, ale zejména k vyhodnocení jejich možných protisoutěžních dopadů, které jsou dle odborné literatury spojeny s individuální, pseudoindividuální a/nebo neveřejnou cenotvorbou, a to zejména v podobě cenové diskriminace a dopadů </w:t>
      </w:r>
      <w:r>
        <w:rPr>
          <w:i/>
          <w:iCs/>
        </w:rPr>
        <w:t>lock-in</w:t>
      </w:r>
      <w:r>
        <w:rPr/>
        <w:t xml:space="preserve"> efektů.</w:t>
      </w:r>
    </w:p>
    <w:p>
      <w:pPr>
        <w:pStyle w:val="Heading3"/>
        <w:ind w:hanging="1134" w:left="142" w:right="284"/>
        <w:rPr/>
      </w:pPr>
      <w:bookmarkStart w:id="43" w:name="_Toc229057795"/>
      <w:r>
        <w:rPr/>
        <w:t>Informace z dalších veřejných zdrojů a médií /</w:t>
        <w:br/>
      </w:r>
      <w:r>
        <w:rPr>
          <w:i/>
          <w:lang w:val="en-GB"/>
        </w:rPr>
        <w:t>Information from Additional Public Sources and Media Outlets</w:t>
      </w:r>
      <w:bookmarkEnd w:id="43"/>
    </w:p>
    <w:p>
      <w:pPr>
        <w:pStyle w:val="Textprost"/>
        <w:rPr/>
      </w:pPr>
      <w:r>
        <w:rPr/>
        <w:t>Úřad při prověřování situace na zkoumaném trhu nebo trzích získal i další informace z veřejných zdrojů a médií. Např. ze stránky „</w:t>
      </w:r>
      <w:r>
        <w:rPr>
          <w:i/>
          <w:iCs/>
        </w:rPr>
        <w:t>Mobilní tarify</w:t>
      </w:r>
      <w:r>
        <w:rPr/>
        <w:t>“ na webu tarifix.cz</w:t>
      </w:r>
      <w:r>
        <w:rPr>
          <w:rStyle w:val="FootnoteReference"/>
        </w:rPr>
        <w:footnoteReference w:id="39"/>
      </w:r>
      <w:r>
        <w:rPr/>
        <w:t xml:space="preserve"> vyplynuly značně odlišné ceny od cen uvedených v cenících mobilních operátorů působících v ČR, což potvrzovaly i informace na stránce „</w:t>
      </w:r>
      <w:r>
        <w:rPr>
          <w:i/>
          <w:iCs/>
        </w:rPr>
        <w:t>Podpultové a neveřejné mobilní tarify</w:t>
      </w:r>
      <w:r>
        <w:rPr/>
        <w:t>“ na webu mojeretence.cz.</w:t>
      </w:r>
      <w:r>
        <w:rPr>
          <w:rStyle w:val="FootnoteReference"/>
        </w:rPr>
        <w:footnoteReference w:id="40"/>
      </w:r>
    </w:p>
    <w:p>
      <w:pPr>
        <w:pStyle w:val="Textprost"/>
        <w:rPr/>
      </w:pPr>
      <w:r>
        <w:rPr/>
        <w:t>Výskyt významného rozdílu mezi ceníkovými a neveřejnými nabídkami rezonuje dlouhodobě i v médiích, např. v článku „</w:t>
      </w:r>
      <w:r>
        <w:rPr>
          <w:i/>
          <w:iCs/>
        </w:rPr>
        <w:t>Podpultové ceny mobilních služeb a pevného internetu ušetří tisíce</w:t>
      </w:r>
      <w:r>
        <w:rPr/>
        <w:t>“ ze serveru novinky.cz.</w:t>
      </w:r>
      <w:r>
        <w:rPr>
          <w:rStyle w:val="FootnoteReference"/>
        </w:rPr>
        <w:footnoteReference w:id="41"/>
      </w:r>
      <w:r>
        <w:rPr/>
        <w:t xml:space="preserve"> Obdobně rezonuje i potenciální cenová excese mobilních služeb v ČR, což dokládají články „</w:t>
      </w:r>
      <w:r>
        <w:rPr>
          <w:i/>
          <w:iCs/>
        </w:rPr>
        <w:t>Pro Čechy nejvyšší ceny. Srovnání tarifů mobilních dat</w:t>
      </w:r>
      <w:r>
        <w:rPr/>
        <w:t>“ ze serveru novinky.cz</w:t>
      </w:r>
      <w:r>
        <w:rPr>
          <w:rStyle w:val="FootnoteReference"/>
        </w:rPr>
        <w:footnoteReference w:id="42"/>
      </w:r>
      <w:r>
        <w:rPr/>
        <w:t xml:space="preserve"> nebo „</w:t>
      </w:r>
      <w:r>
        <w:rPr>
          <w:i/>
          <w:iCs/>
        </w:rPr>
        <w:t>Češi za mobilní data platí třikrát víc než zbytek Evropy. ČTÚ znovu volá po regulaci</w:t>
      </w:r>
      <w:r>
        <w:rPr/>
        <w:t>“ ze serveru hn.cz.</w:t>
      </w:r>
      <w:r>
        <w:rPr>
          <w:rStyle w:val="FootnoteReference"/>
        </w:rPr>
        <w:footnoteReference w:id="43"/>
      </w:r>
    </w:p>
    <w:p>
      <w:pPr>
        <w:pStyle w:val="Textprost"/>
        <w:rPr/>
      </w:pPr>
      <w:r>
        <w:rPr/>
        <w:t>Dlouhodobá potřeba odůvodňující provedení sektorového šetření v předmětné oblasti vyplývá konec konců i z analýzy „</w:t>
      </w:r>
      <w:r>
        <w:rPr>
          <w:i/>
        </w:rPr>
        <w:t>Za kolik se volá v Evropě</w:t>
      </w:r>
      <w:r>
        <w:rPr/>
        <w:t>“ z roku 2019, zveřejněné na serveru evropavdatech.cz.</w:t>
      </w:r>
      <w:r>
        <w:rPr>
          <w:rStyle w:val="FootnoteReference"/>
        </w:rPr>
        <w:footnoteReference w:id="44"/>
      </w:r>
    </w:p>
    <w:p>
      <w:pPr>
        <w:pStyle w:val="Textprost"/>
        <w:rPr/>
      </w:pPr>
      <w:r>
        <w:rPr/>
        <w:t>Dostupné informace z veřejného prostoru ještě více posílily obavy Úřadu, že skrytím části cen tržních směn ztratila tržní cena na zkoumaném trhu/trzích svou informační funkci,</w:t>
      </w:r>
      <w:r>
        <w:rPr>
          <w:rStyle w:val="FootnoteReference"/>
        </w:rPr>
        <w:footnoteReference w:id="45"/>
      </w:r>
      <w:r>
        <w:rPr/>
        <w:t xml:space="preserve"> což mohlo vést k úhradě excesivních cen významné části zákaznické báze, a to ve formě např. </w:t>
      </w:r>
      <w:r>
        <w:rPr>
          <w:i/>
          <w:iCs/>
        </w:rPr>
        <w:t>lock-in</w:t>
      </w:r>
      <w:r>
        <w:rPr/>
        <w:t xml:space="preserve"> renty vznikající jako důsledek úspěšné retenční a neveřejné cenové strategie jednotlivých mobilních operátorů. Úřad se oprávněně domníval, že hospodářská soutěž na dotčených trzích může být narušena zejména k újmě spotřebitelů. Nadto s ohledem na potenciálně výrazný celospolečenský dopad měl Úřad za to, že </w:t>
      </w:r>
      <w:r>
        <w:rPr>
          <w:b/>
        </w:rPr>
        <w:t>bylo nezbytné řádně prověřit fungování hospodářské soutěže na dotčeném trhu/trzích a přistoupit k provedení předmětného sektorového šetření</w:t>
      </w:r>
      <w:r>
        <w:rPr/>
        <w:t>.</w:t>
      </w:r>
    </w:p>
    <w:p>
      <w:pPr>
        <w:pStyle w:val="Heading3"/>
        <w:ind w:hanging="1134" w:left="142" w:right="284"/>
        <w:rPr/>
      </w:pPr>
      <w:bookmarkStart w:id="44" w:name="_Toc229057796"/>
      <w:r>
        <w:rPr/>
        <w:t>Souvislosti sektorového šetření /</w:t>
        <w:br/>
      </w:r>
      <w:r>
        <w:rPr>
          <w:i/>
          <w:sz w:val="20"/>
          <w:lang w:val="en-GB"/>
        </w:rPr>
        <w:t>Context of This Sector Inquiry</w:t>
      </w:r>
      <w:bookmarkEnd w:id="44"/>
    </w:p>
    <w:p>
      <w:pPr>
        <w:pStyle w:val="Textprost"/>
        <w:rPr/>
      </w:pPr>
      <w:r>
        <w:rPr/>
        <w:t>V roce 2017 Úřad dokončil sektorové šetření v oblasti poskytování mobilních datových a hlasových služeb koncovým zákazníkům, v němž zkoumal zejména to, zda nedošlo v letech 2012 až 2017 k uzavření zakázané dohody nebo ke zneužití dominantního postavení v kontextu retenčních a neveřejných nabídek jednotlivých mobilních operátorů. S ohledem na různost retenčních a neveřejných nabídek a slevových schémat Úřad tehdy dospěl k závěru, že nedochází ke vzájemné koordinaci mobilních operátorů, a tedy k uzavření zakázané dohody. Vzhledem ke zjištěným tržním podílům vycházejícím z agregovaných dat nezjistil ani možné zneužití dominantního postavení.</w:t>
      </w:r>
    </w:p>
    <w:p>
      <w:pPr>
        <w:pStyle w:val="Textprost"/>
        <w:rPr/>
      </w:pPr>
      <w:r>
        <w:rPr/>
        <w:t>K tomu Úřad pro upřesnění doplňuje, že v předchozím sektorovém šetření prověřoval fungování konkurence napříč trhem (retenční nabídky) a možné uzavření horizontální dohody (variabilitu retenčních nabídek).</w:t>
      </w:r>
    </w:p>
    <w:p>
      <w:pPr>
        <w:pStyle w:val="Textprost"/>
        <w:rPr/>
      </w:pPr>
      <w:r>
        <w:rPr/>
        <w:t>Sektorové šetření v kontextu předchozího sektorového šetření má tedy i tyto soutěžně relevantní souvislosti:</w:t>
      </w:r>
    </w:p>
    <w:p>
      <w:pPr>
        <w:pStyle w:val="Textslovan"/>
        <w:numPr>
          <w:ilvl w:val="0"/>
          <w:numId w:val="37"/>
        </w:numPr>
        <w:ind w:hanging="357" w:left="453" w:right="0"/>
        <w:rPr/>
      </w:pPr>
      <w:r>
        <w:rPr/>
        <w:t xml:space="preserve">Vyvstala potřeba provést </w:t>
      </w:r>
      <w:r>
        <w:rPr>
          <w:i/>
          <w:iCs/>
        </w:rPr>
        <w:t>ex-post</w:t>
      </w:r>
      <w:r>
        <w:rPr/>
        <w:t xml:space="preserve"> vyhodnocení, zda dřívější závěry Úřadu jsou stále platné a zda Úřad může i v tomto sektorovém šetření vyloučit možnou existenci zakázané dohody (zejména horizontální).</w:t>
      </w:r>
    </w:p>
    <w:p>
      <w:pPr>
        <w:pStyle w:val="Textslovan"/>
        <w:numPr>
          <w:ilvl w:val="0"/>
          <w:numId w:val="8"/>
        </w:numPr>
        <w:ind w:hanging="357" w:left="456" w:right="0"/>
        <w:rPr/>
      </w:pPr>
      <w:r>
        <w:rPr/>
        <w:t>Úřad získal indicie, že na zkoumaném trhu nebo trzích mohlo dojít k jejich fragmentaci v důsledku excesivního uplatňování retenčních a neveřejných nabídek, ev. i v kombinaci s balíčkováním mobilních telekomunikačních služeb a souvisejících služeb, což přirozeně zpochybňuje dřívější závěr Úřadu ohledně neexistence soutěžitele s dominantním postavením.</w:t>
      </w:r>
    </w:p>
    <w:p>
      <w:pPr>
        <w:pStyle w:val="Textprost"/>
        <w:rPr/>
      </w:pPr>
      <w:r>
        <w:rPr/>
        <w:t xml:space="preserve">Úřad dále v nedávné době povolil několik fúzí v příbuzných oblastech, jmenovitě spojení soutěžitelů PPF TMT Holdco 2 B.V. a Nordic Telecom Regional, s.r.o., vedené pod spisovou značkou ÚOHS-S0569/2024/KS, Vodafone Czech Republic, a.s. a SAZKA, a.s., vedené pod spisovou značkou ÚOHS-S0126/2024/KS, a CETIN a.s. a Nej.cz s.r.o., vedené pod spisovou značkou ÚOHS-S0392/2023/KS, které by ve svém důsledku mohly mít </w:t>
      </w:r>
      <w:r>
        <w:rPr>
          <w:highlight w:val="yellow"/>
        </w:rPr>
        <w:t>z dlouhodobého hlediska</w:t>
      </w:r>
      <w:r>
        <w:rPr/>
        <w:t xml:space="preserve"> nepřímý vliv i na zkoumaný trh/trhy v důsledku balíčkování. Sektorové šetření má tedy třetí soutěžně relevantní souvislost, a to:</w:t>
      </w:r>
    </w:p>
    <w:p>
      <w:pPr>
        <w:pStyle w:val="Textslovan"/>
        <w:numPr>
          <w:ilvl w:val="0"/>
          <w:numId w:val="8"/>
        </w:numPr>
        <w:ind w:hanging="357" w:left="456" w:right="0"/>
        <w:rPr/>
      </w:pPr>
      <w:r>
        <w:rPr/>
        <w:t>prozkoumat možný sekundární vliv těchto povolených spojení v souvisejících sektorech na zkoumanou oblast.</w:t>
      </w:r>
    </w:p>
    <w:p>
      <w:pPr>
        <w:pStyle w:val="Textprost"/>
        <w:rPr/>
      </w:pPr>
      <w:r>
        <w:rPr/>
        <w:t xml:space="preserve">Úřad si byl přitom od počátečních úvah nad zamýšleným sektorovým šetřením vědom toho, že přinejmenším jeden jeho dřívější závěr je zpochybněn výsledky Společné analýzy provedené s ČTÚ a že sektorové šetření nezbytně povede k nutnosti </w:t>
      </w:r>
      <w:r>
        <w:rPr>
          <w:i/>
          <w:iCs/>
        </w:rPr>
        <w:t>ex-post</w:t>
      </w:r>
      <w:r>
        <w:rPr/>
        <w:t xml:space="preserve"> zkoumání jeho dřívějších závěrů. K tomu Úřad doplňuje, že se jedná o jeho běžnou praxi nezbytnou s ohledem na dynamiku hospodářského prostředí.</w:t>
      </w:r>
    </w:p>
    <w:p>
      <w:pPr>
        <w:pStyle w:val="Heading3"/>
        <w:ind w:hanging="1134" w:left="142" w:right="284"/>
        <w:rPr/>
      </w:pPr>
      <w:bookmarkStart w:id="45" w:name="_Toc229057797"/>
      <w:r>
        <w:rPr/>
        <w:t>Shrnutí náznaků možného narušení fungování hospodářské soutěže /</w:t>
        <w:br/>
      </w:r>
      <w:r>
        <w:rPr>
          <w:i/>
          <w:sz w:val="20"/>
          <w:lang w:val="en-GB"/>
        </w:rPr>
        <w:t>Summary of the Indications of a Possible Distortion of Competition</w:t>
      </w:r>
      <w:bookmarkEnd w:id="45"/>
    </w:p>
    <w:p>
      <w:pPr>
        <w:pStyle w:val="Textprost"/>
        <w:rPr/>
      </w:pPr>
      <w:r>
        <w:rPr/>
        <w:t>Úřad závěrem uvádí shrnutí náznaků vedoucích k zahájení sektorového šetření:</w:t>
      </w:r>
    </w:p>
    <w:p>
      <w:pPr>
        <w:pStyle w:val="Textslovan"/>
        <w:numPr>
          <w:ilvl w:val="0"/>
          <w:numId w:val="38"/>
        </w:numPr>
        <w:ind w:hanging="360" w:left="462" w:right="0"/>
        <w:rPr/>
      </w:pPr>
      <w:r>
        <w:rPr/>
        <w:t>Společná analýza významně naznačila, že na trhu nebo trzích mobilních telekomunikačních služeb v segmentu domácností v ČR nefungují nebo se nevyskytují nástroje cenové konkurence na straně nabídky, což je samo o sobě silným náznakem nefungující hospodářské soutěže. Pro úplnost Úřad k tomuto bodu doplňuje, že cenové konkurenceschopnosti dosahuje nabízející subjekt za daných tržních podmínek, a to konkrétně při dané tržní ceně. Jedná se tedy o výsledek, jehož je subjekt schopen dosáhnout při této tržní ceně.</w:t>
      </w:r>
      <w:r>
        <w:rPr>
          <w:rStyle w:val="FootnoteReference"/>
        </w:rPr>
        <w:footnoteReference w:id="46"/>
      </w:r>
      <w:r>
        <w:rPr/>
        <w:t xml:space="preserve"> Pokud je schopen subjekt lépe konkurovat při dané tržní ceně, ze statického pohledu dosahuje vyššího mezního zisku a z dynamického pohledu je schopen delší dobu ustát např. případný pokles tržní ceny ve srovnání s jeho konkurenty na nabídkové straně trhu, tzn. je ve srovnání s ostatními konkurenceschopnější. Konkurence na straně nabídky poté představuje konkurenci mezi nabízejícími subjekty a spočívá v jejich snaze udat svoji produkci na trhu (vzájemně kolidující zájmy). Oproti tomu konkurence napříč trhem je konkurencí mezi subjekty na poptávkové a nabídkové straně spočívající ve snaze poptávajících koupit za co nejnižší cenu a ve snaze nabízejících prodat za cenu co nejvyšší (vzájemně kolidující zájmy).</w:t>
      </w:r>
      <w:r>
        <w:rPr>
          <w:rStyle w:val="FootnoteReference"/>
        </w:rPr>
        <w:footnoteReference w:id="47"/>
      </w:r>
    </w:p>
    <w:p>
      <w:pPr>
        <w:pStyle w:val="Textslovan"/>
        <w:numPr>
          <w:ilvl w:val="0"/>
          <w:numId w:val="8"/>
        </w:numPr>
        <w:ind w:hanging="357" w:left="456" w:right="0"/>
        <w:rPr/>
      </w:pPr>
      <w:r>
        <w:rPr/>
        <w:t>Šetřená oblast se vyznačuje dlouhodobě stabilní silnou koncentrací, přičemž význam tzv. konkurenčního lemu je zanedbatelný a v posledních letech významně poklesl, a to i v rozlišení dle majetkové závislosti tržních subjektů. Jedná se o náznak potenciálně dlouhodobě nefungující hospodářské soutěže, neboť dynamika trhu je malá a směřuje dále k nárůstu koncentrace.</w:t>
      </w:r>
    </w:p>
    <w:p>
      <w:pPr>
        <w:pStyle w:val="Textslovan"/>
        <w:numPr>
          <w:ilvl w:val="0"/>
          <w:numId w:val="8"/>
        </w:numPr>
        <w:ind w:hanging="357" w:left="456" w:right="0"/>
        <w:rPr/>
      </w:pPr>
      <w:r>
        <w:rPr/>
        <w:t xml:space="preserve">Cenový vývoj v segmentu domácností je charakteristický rychlejším nárůstem ARPU na uživatele aktivní SIM karty, a to přibližně od roku 2017, přičemž daný trend se týká všech tří full mobilních operátorů. Může se jednat o projev odčerpávání tzv. </w:t>
      </w:r>
      <w:r>
        <w:rPr>
          <w:i/>
          <w:iCs/>
        </w:rPr>
        <w:t>lock-in</w:t>
      </w:r>
      <w:r>
        <w:rPr/>
        <w:t xml:space="preserve"> nebo informační renty nebo o </w:t>
      </w:r>
      <w:r>
        <w:rPr>
          <w:i/>
          <w:iCs/>
        </w:rPr>
        <w:t>loyalty penalty</w:t>
      </w:r>
      <w:r>
        <w:rPr/>
        <w:t>.</w:t>
      </w:r>
      <w:r>
        <w:rPr>
          <w:rStyle w:val="FootnoteReference"/>
          <w:vertAlign w:val="superscript"/>
        </w:rPr>
        <w:footnoteReference w:id="48"/>
      </w:r>
      <w:r>
        <w:rPr/>
        <w:t xml:space="preserve"> Jinými slovy o odčerpávání přebytku spotřebitelů ve prospěch soutěžitelů v důsledku oslabeného fungování hospodářské soutěže.</w:t>
      </w:r>
    </w:p>
    <w:p>
      <w:pPr>
        <w:pStyle w:val="Textslovan"/>
        <w:numPr>
          <w:ilvl w:val="0"/>
          <w:numId w:val="8"/>
        </w:numPr>
        <w:ind w:hanging="357" w:left="456" w:right="0"/>
        <w:rPr/>
      </w:pPr>
      <w:r>
        <w:rPr/>
        <w:t>ARPU významně zaostává za veřejnými nabídkami tarifů mobilních operátorů domácnostem. Významný rozdíl mezi veřejnou cenou (tj. tržní cenou) a skutečnou neceníkovou (individuální) cenou může ve svém důsledku vést k oslabení informační funkce ceny a nárůstu alokační neefektivnosti, což je samo o sobě projevem nefungující hospodářské soutěže.</w:t>
      </w:r>
    </w:p>
    <w:p>
      <w:pPr>
        <w:pStyle w:val="Textslovan"/>
        <w:numPr>
          <w:ilvl w:val="0"/>
          <w:numId w:val="8"/>
        </w:numPr>
        <w:ind w:hanging="357" w:left="456" w:right="0"/>
        <w:rPr/>
      </w:pPr>
      <w:r>
        <w:rPr/>
        <w:t>Spotřebitelské výdaje na telekomunikační služby přibližně od roku 2020 akcelerovaly relativně více než ve zbytku EU. České domácnosti tak platí relativně více za telekomunikační služby ve srovnání s domácnostmi z ostatních států EU. Dotčené služby odčerpávají relativně větší část disponibilních důchodů domácností. Cenový vývoj v bodě 3. a 4. není proto projevem obecného trendu nebo změn fungování trhů nebo chování evropských spotřebitelů. Úřad proto disponoval náznakem, že v ČR nedochází k projevu fungující hospodářské soutěže, a to v podobě klesajících relativních cen v důsledku soutěže na straně nabídky. Daná skutečnost je sama o sobě silným náznakem absence cenové konkurence na straně nabídky, resp. jejího cenového nástroje, a zároveň ve svém důsledku náznakem oslabení informační funkce ceny.</w:t>
      </w:r>
    </w:p>
    <w:p>
      <w:pPr>
        <w:pStyle w:val="Textslovan"/>
        <w:numPr>
          <w:ilvl w:val="0"/>
          <w:numId w:val="8"/>
        </w:numPr>
        <w:ind w:hanging="357" w:left="456" w:right="0"/>
        <w:rPr/>
      </w:pPr>
      <w:r>
        <w:rPr/>
        <w:t>Z veřejně dostupných zdrojů získal Úřad náznak, že pokles informační funkce cen</w:t>
      </w:r>
      <w:r>
        <w:rPr>
          <w:rStyle w:val="FootnoteReference"/>
          <w:vertAlign w:val="superscript"/>
        </w:rPr>
        <w:footnoteReference w:id="49"/>
      </w:r>
      <w:r>
        <w:rPr/>
        <w:t xml:space="preserve"> může být v ČR významný. Dle Studie preferencí 59 % respondentů nepřímo uvedlo, že ceníkové ceny neplní informační funkci.</w:t>
      </w:r>
      <w:r>
        <w:rPr>
          <w:rStyle w:val="FootnoteReference"/>
          <w:vertAlign w:val="superscript"/>
        </w:rPr>
        <w:footnoteReference w:id="50"/>
      </w:r>
      <w:r>
        <w:rPr/>
        <w:t xml:space="preserve"> Pokud neplní cena informační funkci nebo je omezena, dochází na trhu k nárůstu alokační neefektivity, což je přímo projevem nefungující hospodářské soutěže.</w:t>
      </w:r>
    </w:p>
    <w:p>
      <w:pPr>
        <w:pStyle w:val="Textslovan"/>
        <w:numPr>
          <w:ilvl w:val="0"/>
          <w:numId w:val="8"/>
        </w:numPr>
        <w:ind w:hanging="357" w:left="456" w:right="0"/>
        <w:rPr/>
      </w:pPr>
      <w:r>
        <w:rPr/>
        <w:t>Úřad disponoval náznaky,</w:t>
      </w:r>
      <w:r>
        <w:rPr>
          <w:rStyle w:val="FootnoteReference"/>
          <w:vertAlign w:val="superscript"/>
        </w:rPr>
        <w:footnoteReference w:id="51"/>
      </w:r>
      <w:r>
        <w:rPr/>
        <w:t xml:space="preserve"> že trh nebo trhy ve zkoumané oblasti mohly projít možnou fragmentací na trhy jednotlivých mobilních operátorů.</w:t>
      </w:r>
      <w:r>
        <w:rPr>
          <w:rStyle w:val="FootnoteReference"/>
          <w:vertAlign w:val="superscript"/>
        </w:rPr>
        <w:footnoteReference w:id="52"/>
      </w:r>
      <w:r>
        <w:rPr/>
        <w:t xml:space="preserve"> V předchozím sektorovém šetření Úřad těmito náznaky nedisponoval, proto danou otázku ani nezkoumal. Retenční nabídky zkoumal zejména v kontextu možné tacitní koluze, kterou předchozí sektorové šetření neodhalilo. Pokud by se fragmentace trhu nebo trhů potvrdila, byl by předchozí závěr Úřadu ohledně neexistence dominantního postavení již neplatný, a to vč. všech závěrů o absenci jeho zneužití dovozovaných z této neexistence. Nutno podotknout, že fragmentace trhů např. v důsledku uzavírání spotřebitelů ve službách jednoho nabízejícího subjektu je sama o sobě náznakem oslabení fungující hospodářské soutěže, což dlouhodobě potvrzuje rozhodovací praxe soutěžních úřadů i judikatura.</w:t>
      </w:r>
      <w:r>
        <w:rPr>
          <w:rStyle w:val="FootnoteReference"/>
          <w:vertAlign w:val="superscript"/>
        </w:rPr>
        <w:footnoteReference w:id="53"/>
      </w:r>
    </w:p>
    <w:p>
      <w:pPr>
        <w:pStyle w:val="Textslovan"/>
        <w:numPr>
          <w:ilvl w:val="0"/>
          <w:numId w:val="8"/>
        </w:numPr>
        <w:ind w:hanging="357" w:left="456" w:right="0"/>
        <w:rPr/>
      </w:pPr>
      <w:r>
        <w:rPr/>
        <w:t>Zjištěné náznaky možného narušení fungování hospodářské soutěže mohou potenciálně vést k významně negativním dopadům na subjekty na poptávkové straně trhu nebo trhů, což potvrzuje rozsáhlá odborná literatura věnující se této problematice.</w:t>
      </w:r>
    </w:p>
    <w:p>
      <w:pPr>
        <w:pStyle w:val="Textslovan"/>
        <w:numPr>
          <w:ilvl w:val="0"/>
          <w:numId w:val="8"/>
        </w:numPr>
        <w:ind w:hanging="357" w:left="456" w:right="0"/>
        <w:rPr/>
      </w:pPr>
      <w:r>
        <w:rPr/>
        <w:t>Dlouhodobě vyšší ceny mobilních telekomunikačních služeb v ČR dále dokládají i veřejně dostupné zdroje.</w:t>
      </w:r>
    </w:p>
    <w:p>
      <w:pPr>
        <w:pStyle w:val="Textprost"/>
        <w:rPr/>
      </w:pPr>
      <w:r>
        <w:rPr/>
        <w:t>Úřad se proto oprávněně a podloženě domníval, že v důsledku extrémního uplatňování neveřejných cen mobilních služeb operátory v ČR může dlouhodobě docházet k účtování excesivních cen za mobilní telekomunikační služby nabízené domácnostem v ČR při využívání cenové diskriminace prvního stupně, a to ve srovnání se situací, která by nastala, kdyby informační funkce cen nebyla oslabena nebo by spotřebitelé nebyli uzavíráni ve službách svého operátora. Úřadem získané kvantitativní a kvalitativní i dlouhodobé a přetrvávající náznaky jsou samostatně ale i ve svém vzájemném komplexním působení způsobilé narušit fungování hospodářské soutěže k významné újmě domácností/spotřebitelů v ČR.</w:t>
      </w:r>
      <w:r>
        <w:rPr>
          <w:rStyle w:val="FootnoteReference"/>
          <w:vertAlign w:val="superscript"/>
        </w:rPr>
        <w:footnoteReference w:id="54"/>
      </w:r>
    </w:p>
    <w:p>
      <w:pPr>
        <w:pStyle w:val="Textprost"/>
        <w:rPr/>
      </w:pPr>
      <w:r>
        <w:rPr/>
        <w:t>Předmětem analytického zkoumání Úřadu v dotčeném sektorovém šetření se tedy musely nezbytně stát uplatňované cenové strategie operátorů a cenové podmínky nabízených služeb a jejich vliv na řádné fungování hospodářské soutěže zejména v konkurenční rovině na straně nabídky, jak specifikovala příslušná tisková zpráva.</w:t>
      </w:r>
      <w:r>
        <w:rPr>
          <w:rStyle w:val="FootnoteReference"/>
          <w:vertAlign w:val="superscript"/>
        </w:rPr>
        <w:footnoteReference w:id="55"/>
      </w:r>
      <w:r>
        <w:rPr/>
        <w:t xml:space="preserve"> </w:t>
      </w:r>
    </w:p>
    <w:p>
      <w:pPr>
        <w:pStyle w:val="Textprost"/>
        <w:rPr/>
      </w:pPr>
      <w:r>
        <w:rPr/>
        <w:t>Mnohé z těchto náznaků uvedla explicitně i tisková zpráva.</w:t>
      </w:r>
      <w:r>
        <w:rPr>
          <w:rStyle w:val="FootnoteReference"/>
        </w:rPr>
        <w:footnoteReference w:id="56"/>
      </w:r>
      <w:r>
        <w:rPr/>
        <w:t xml:space="preserve"> Nadto nejenže uvedla Úřadem zjištěné náznaky,</w:t>
      </w:r>
      <w:r>
        <w:rPr>
          <w:rStyle w:val="FootnoteReference"/>
          <w:vertAlign w:val="superscript"/>
        </w:rPr>
        <w:footnoteReference w:id="57"/>
      </w:r>
      <w:r>
        <w:rPr/>
        <w:t xml:space="preserve"> ale Úřad společně s ní zveřejnil i analýzu provedenou na vybraných datech ČTÚ, přičemž předmětná data byla v rovině nezbytných náznaků způsobilá odrážet situaci v oblasti fungování nástrojů cenové konkurence. Úřad v tiskové zprávě explicitně uvedl tyto náznaky: </w:t>
      </w:r>
    </w:p>
    <w:p>
      <w:pPr>
        <w:pStyle w:val="Textslovan"/>
        <w:numPr>
          <w:ilvl w:val="0"/>
          <w:numId w:val="39"/>
        </w:numPr>
        <w:ind w:hanging="357" w:left="453" w:right="0"/>
        <w:rPr/>
      </w:pPr>
      <w:r>
        <w:rPr/>
        <w:t>V konkurenčních vztazích mezi operátory absentují projevy cenové konkurence (tedy oboustranné substituční vztahy).</w:t>
      </w:r>
    </w:p>
    <w:p>
      <w:pPr>
        <w:pStyle w:val="Textslovan"/>
        <w:numPr>
          <w:ilvl w:val="0"/>
          <w:numId w:val="8"/>
        </w:numPr>
        <w:ind w:hanging="357" w:left="456" w:right="0"/>
        <w:rPr/>
      </w:pPr>
      <w:r>
        <w:rPr/>
        <w:t>Některé subjekty se zřejmě chovají značně nezávisle na ostatních soutěžitelích na trhu.</w:t>
      </w:r>
    </w:p>
    <w:p>
      <w:pPr>
        <w:pStyle w:val="Textslovan"/>
        <w:numPr>
          <w:ilvl w:val="0"/>
          <w:numId w:val="8"/>
        </w:numPr>
        <w:ind w:hanging="357" w:left="456" w:right="0"/>
        <w:rPr/>
      </w:pPr>
      <w:r>
        <w:rPr/>
        <w:t>Potenciálně excesivní ceny jsou uplatňované na významnou část zákaznické báze.</w:t>
      </w:r>
    </w:p>
    <w:p>
      <w:pPr>
        <w:pStyle w:val="Textslovan"/>
        <w:numPr>
          <w:ilvl w:val="0"/>
          <w:numId w:val="8"/>
        </w:numPr>
        <w:ind w:hanging="357" w:left="456" w:right="0"/>
        <w:rPr/>
      </w:pPr>
      <w:r>
        <w:rPr/>
        <w:t>Tržní ceny vykazují oslabenou informační funkci.</w:t>
      </w:r>
    </w:p>
    <w:p>
      <w:pPr>
        <w:pStyle w:val="Textprost"/>
        <w:rPr/>
      </w:pPr>
      <w:r>
        <w:rPr/>
        <w:t>Přičemž všechny odděleně jakožto i ve svých vzájemných souvislostech jsou schopny snižovat intenzitu hospodářské soutěže a narušovat její fungování. Úřad k tomu doplňuje, že za účelem ochrany řádného průběhu sektorového šetření a zabránění případné manipulace s daty v důsledku odhalení zamýšlené strategie a metodiky šetření náznak týkající se možné excesivnosti cen pouze zmínil, ale dále jej v tiskové zprávě nerozváděl. K tomu Úřad podotýká, že retenční nabídky samy o sobě skrze sníženou informační funkci cen a uzavírání spotřebitelů ve službách jednoho poskytovatele jsou schopny od určitého rozsahu významně narušit fungování hospodářské soutěže.</w:t>
      </w:r>
    </w:p>
    <w:p>
      <w:pPr>
        <w:pStyle w:val="Heading2"/>
        <w:ind w:hanging="1135" w:left="142" w:right="284"/>
        <w:rPr>
          <w:sz w:val="24"/>
          <w:szCs w:val="24"/>
        </w:rPr>
      </w:pPr>
      <w:bookmarkStart w:id="46" w:name="_Toc229057798"/>
      <w:r>
        <w:rPr/>
        <w:t>Teoretická východiska sektorového šetření /</w:t>
        <w:br/>
      </w:r>
      <w:r>
        <w:rPr>
          <w:i/>
          <w:sz w:val="24"/>
          <w:szCs w:val="24"/>
          <w:lang w:val="en-GB"/>
        </w:rPr>
        <w:t>Theoretical Framework of the Sector Inquiry</w:t>
      </w:r>
      <w:bookmarkEnd w:id="46"/>
    </w:p>
    <w:p>
      <w:pPr>
        <w:pStyle w:val="Textprost"/>
        <w:rPr/>
      </w:pPr>
      <w:r>
        <w:rPr/>
        <w:t>Ochrana hospodářské soutěže je především záležitostí zkoumání ekonomických jevů, které ovlivňují řádné fungování tržního mechanismu. To však nijak nesnižuje nutnost posoudit a kvalifikovat ekonomické uchopení tržních jevů právní optikou. Tyto dvě roviny problematiky ochrany hospodářské soutěže je nezbytné vnímat jako neoddělitelné a vzájemně provázané, kdy ekonomická teorie reaguje na ekonomickou realitu a právní praxe na ekonomickou teorii, avšak právní praxe následně ovlivňuje ekonomickou realitu.</w:t>
      </w:r>
    </w:p>
    <w:p>
      <w:pPr>
        <w:pStyle w:val="Textprost"/>
        <w:rPr/>
      </w:pPr>
      <w:r>
        <w:rPr/>
        <w:t>Tato část závěrečné zprávy představuje východiska, o něž se Úřad v sektorovém šetření opíral a blíže je prověřoval.</w:t>
      </w:r>
    </w:p>
    <w:p>
      <w:pPr>
        <w:pStyle w:val="Heading3"/>
        <w:ind w:hanging="1134" w:left="142" w:right="284"/>
        <w:rPr/>
      </w:pPr>
      <w:bookmarkStart w:id="47" w:name="_Toc229057799"/>
      <w:commentRangeStart w:id="6"/>
      <w:commentRangeStart w:id="7"/>
      <w:r>
        <w:rPr/>
        <w:t>Ekonomická východiska</w:t>
      </w:r>
      <w:bookmarkEnd w:id="47"/>
      <w:r>
        <w:rPr/>
      </w:r>
      <w:commentRangeEnd w:id="7"/>
      <w:r>
        <w:commentReference w:id="7"/>
      </w:r>
      <w:commentRangeEnd w:id="6"/>
      <w:r>
        <w:commentReference w:id="6"/>
      </w:r>
      <w:r>
        <w:rPr/>
      </w:r>
    </w:p>
    <w:p>
      <w:pPr>
        <w:pStyle w:val="Textprost"/>
        <w:rPr/>
      </w:pPr>
      <w:r>
        <w:rPr/>
        <w:t>Souvislost mezi cenou a schopností trhu nebo jeho části absorbovat firmou nabízené množství za podmínek nedokonalé konkurence se objevila ještě dříve, než ekonomie nedokonalou konkurenci jako takovou v moderním pojetí vůbec nějak uchopila. Již v roce 1926 Piero Sraffa vyjádřil „</w:t>
      </w:r>
      <w:r>
        <w:rPr>
          <w:i/>
          <w:iCs/>
        </w:rPr>
        <w:t>obtížnost prodeje většího množství statku bez nutnosti snížení ceny</w:t>
      </w:r>
      <w:r>
        <w:rPr/>
        <w:t>“</w:t>
      </w:r>
      <w:r>
        <w:rPr>
          <w:rStyle w:val="FootnoteReference"/>
        </w:rPr>
        <w:footnoteReference w:id="58"/>
      </w:r>
      <w:r>
        <w:rPr/>
        <w:t>, která je tedy odrazem klesajícího charakteru poptávky.</w:t>
      </w:r>
    </w:p>
    <w:p>
      <w:pPr>
        <w:pStyle w:val="Textprost"/>
        <w:rPr/>
      </w:pPr>
      <w:r>
        <w:rPr/>
        <w:t>Tato souvislost je zjevná pro všechny nedokonale konkurenční tržní struktury, a to od monopolistické konkurence (Chamberlin, 1933) po nejkoncentrovanější podobu nedokonalé konkurence ve formě monopolu. Nedokonale konkurenční tržní struktury tak nejsou vyjmuty z působení substitučních nebo důchodových efektů, přičemž změny cen jsou v nedokonale konkurenční tržní struktuře spojeny se změnami přebytků spotřebitelů (Dupuit, 1844).</w:t>
      </w:r>
    </w:p>
    <w:p>
      <w:pPr>
        <w:pStyle w:val="Textprost"/>
        <w:rPr/>
      </w:pPr>
      <w:r>
        <w:rPr/>
        <w:t>Cenové souvislosti nedokonalé konkurence zachycuje Graf č. XXX, který zobrazuje rovnováhu nedokonale konkurenční firmy. Tato firma je v rovnováze při rovnosti mezních nákladů a mezních příjmů, neboť při daném rozsahu produkce dosahuje maximálního možného zisku za daných tržních podmínek.</w:t>
      </w:r>
    </w:p>
    <w:p>
      <w:pPr>
        <w:pStyle w:val="Graf"/>
        <w:numPr>
          <w:ilvl w:val="0"/>
          <w:numId w:val="2"/>
        </w:numPr>
        <w:ind w:hanging="1418" w:left="1418" w:right="0"/>
        <w:rPr/>
      </w:pPr>
      <w:bookmarkStart w:id="48" w:name="_Toc229058017"/>
      <w:r>
        <w:rPr/>
        <w:t>Rovnováha nedokonale konkurenční firmy</w:t>
      </w:r>
      <w:bookmarkEnd w:id="48"/>
    </w:p>
    <w:p>
      <w:pPr>
        <w:pStyle w:val="GrafvAJ"/>
        <w:ind w:hanging="0" w:left="1418" w:right="0"/>
        <w:rPr>
          <w:lang w:val="en-GB"/>
        </w:rPr>
      </w:pPr>
      <w:bookmarkStart w:id="49" w:name="_Toc226560471"/>
      <w:r>
        <w:rPr>
          <w:lang w:val="en-GB" w:eastAsia="cs-CZ"/>
        </w:rPr>
        <w:t>Equilibrium of an Imperfectly Competitive Firm</w:t>
      </w:r>
      <w:bookmarkEnd w:id="49"/>
    </w:p>
    <w:p>
      <w:pPr>
        <w:pStyle w:val="Graftabulka"/>
        <w:rPr/>
      </w:pPr>
      <w:r>
        <w:rPr/>
        <w:drawing>
          <wp:inline distT="0" distB="0" distL="0" distR="0">
            <wp:extent cx="2520315" cy="2326640"/>
            <wp:effectExtent l="0" t="0" r="0" b="0"/>
            <wp:docPr id="6" name="Obrázek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brázek 5" descr=""/>
                    <pic:cNvPicPr>
                      <a:picLocks noChangeAspect="1" noChangeArrowheads="1"/>
                    </pic:cNvPicPr>
                  </pic:nvPicPr>
                  <pic:blipFill>
                    <a:blip r:embed="rId12"/>
                    <a:stretch>
                      <a:fillRect/>
                    </a:stretch>
                  </pic:blipFill>
                  <pic:spPr bwMode="auto">
                    <a:xfrm>
                      <a:off x="0" y="0"/>
                      <a:ext cx="2520315" cy="2326640"/>
                    </a:xfrm>
                    <a:prstGeom prst="rect">
                      <a:avLst/>
                    </a:prstGeom>
                  </pic:spPr>
                </pic:pic>
              </a:graphicData>
            </a:graphic>
          </wp:inline>
        </w:drawing>
      </w:r>
    </w:p>
    <w:p>
      <w:pPr>
        <w:pStyle w:val="Zdroj"/>
        <w:rPr/>
      </w:pPr>
      <w:r>
        <w:rPr/>
        <w:t xml:space="preserve">Pozn. / Note: Pro účely snazšího pochopení Úřad vychází ze situace s konstantními mezními náklady (MC) / </w:t>
      </w:r>
      <w:r>
        <w:rPr>
          <w:lang w:val="en-GB"/>
        </w:rPr>
        <w:t>For the purposes of easier understanding, the Office proceeds on the basis of a situation with constant marginal costs (MC).</w:t>
      </w:r>
    </w:p>
    <w:p>
      <w:pPr>
        <w:pStyle w:val="Textprost"/>
        <w:rPr/>
      </w:pPr>
      <w:r>
        <w:rPr/>
        <w:t>Nedokonale konkurenční firma čelí klesající poptávce (</w:t>
      </w:r>
      <w:r>
        <w:rPr>
          <w:i/>
        </w:rPr>
        <w:t>d</w:t>
      </w:r>
      <w:r>
        <w:rPr/>
        <w:t>),</w:t>
      </w:r>
      <w:r>
        <w:rPr>
          <w:rStyle w:val="FootnoteReference"/>
        </w:rPr>
        <w:footnoteReference w:id="59"/>
      </w:r>
      <w:r>
        <w:rPr/>
        <w:t xml:space="preserve"> přičemž pro udání většího rozsahu produkce musí snížit tržní cenu (</w:t>
      </w:r>
      <w:r>
        <w:rPr>
          <w:i/>
        </w:rPr>
        <w:t>P</w:t>
      </w:r>
      <w:r>
        <w:rPr>
          <w:i/>
          <w:vertAlign w:val="subscript"/>
        </w:rPr>
        <w:t>E</w:t>
      </w:r>
      <w:r>
        <w:rPr/>
        <w:t>). Pokles ceny a jiné zobchodované množství má vliv na celkový příjem za prodej produkce firmy, přičemž tzv. mezní příjem (</w:t>
      </w:r>
      <w:r>
        <w:rPr>
          <w:i/>
        </w:rPr>
        <w:t>MR</w:t>
      </w:r>
      <w:r>
        <w:rPr/>
        <w:t xml:space="preserve">) vyjadřuje, o kolik se změní celkový příjem za prodej produkce při prodeji dodatečné jednotky produkce. </w:t>
      </w:r>
    </w:p>
    <w:p>
      <w:pPr>
        <w:pStyle w:val="Textprost"/>
        <w:rPr/>
      </w:pPr>
      <w:r>
        <w:rPr/>
        <w:t>Tržní cena plní ve fungování tržního mechanismu nezastupitelné funkce, z nichž dvě jsou relevantní s ohledem na zkoumání prováděné v sektorovém šetření, a to:</w:t>
      </w:r>
    </w:p>
    <w:p>
      <w:pPr>
        <w:pStyle w:val="Textslovan"/>
        <w:numPr>
          <w:ilvl w:val="0"/>
          <w:numId w:val="40"/>
        </w:numPr>
        <w:ind w:hanging="357" w:left="453" w:right="0"/>
        <w:rPr/>
      </w:pPr>
      <w:r>
        <w:rPr/>
        <w:t>Informační funkce: její relativní výše a změny informují tržní subjekty o vývoji na trhu jako změnách poptávky nebo změnách ve vzácnosti zdrojů.</w:t>
      </w:r>
    </w:p>
    <w:p>
      <w:pPr>
        <w:pStyle w:val="Textslovan"/>
        <w:numPr>
          <w:ilvl w:val="0"/>
          <w:numId w:val="8"/>
        </w:numPr>
        <w:ind w:hanging="357" w:left="456" w:right="0"/>
        <w:rPr/>
      </w:pPr>
      <w:r>
        <w:rPr/>
        <w:t>Motivační funkce: její relativní výše a její změny motivují tržní subjekty ke změnám chování.</w:t>
      </w:r>
    </w:p>
    <w:p>
      <w:pPr>
        <w:pStyle w:val="Textprost"/>
        <w:rPr/>
      </w:pPr>
      <w:r>
        <w:rPr/>
        <w:t>Aby tržní cena mohla tyto funkce naplňovat, musí být z principu tržním subjektům známá (viz funkce č. 1), neboť pouze tak bude schopna ovlivnit chování tržních subjektů (viz funkce č. 2) způsobem, který by garantoval efektivnější alokaci zdrojů.</w:t>
      </w:r>
      <w:r>
        <w:rPr>
          <w:rStyle w:val="FootnoteReference"/>
        </w:rPr>
        <w:footnoteReference w:id="60"/>
      </w:r>
    </w:p>
    <w:p>
      <w:pPr>
        <w:pStyle w:val="Textprost"/>
        <w:rPr/>
      </w:pPr>
      <w:r>
        <w:rPr/>
        <w:t>Graf č. XX dále ukazuje rozsah tržní produkce, při kterém v nedokonale konkurenčních podmínkách začne docházet k poklesu celkového příjmu firmy (</w:t>
      </w:r>
      <w:r>
        <w:rPr>
          <w:i/>
        </w:rPr>
        <w:t>Q</w:t>
      </w:r>
      <w:r>
        <w:rPr>
          <w:i/>
          <w:vertAlign w:val="subscript"/>
        </w:rPr>
        <w:t>X</w:t>
      </w:r>
      <w:r>
        <w:rPr/>
        <w:t>). Z pohledu optimalizace obchodní činnosti může být zajímavý i rozsah produkce, při kterém nastává tzv. alokační efektivnost (</w:t>
      </w:r>
      <w:r>
        <w:rPr>
          <w:i/>
          <w:iCs/>
        </w:rPr>
        <w:t>Q</w:t>
      </w:r>
      <w:r>
        <w:rPr>
          <w:i/>
          <w:iCs/>
          <w:vertAlign w:val="subscript"/>
        </w:rPr>
        <w:t>K</w:t>
      </w:r>
      <w:r>
        <w:rPr/>
        <w:t>). Mohla-li by firma využít cenové diskriminace, lze zvážit doprodej zbytkové kapacity</w:t>
      </w:r>
      <w:r>
        <w:rPr>
          <w:rStyle w:val="FootnoteReference"/>
        </w:rPr>
        <w:footnoteReference w:id="61"/>
      </w:r>
      <w:r>
        <w:rPr/>
        <w:t xml:space="preserve"> za cenu nižší než tržní, přičemž by to z pohledu fungování tržního mechanismu bylo stále efektivní, neboť by ochota platit spotřebitelů (odrážející se v poptávce) byla stále vyšší než zdroje spotřebované ve výrobě (odrážející se v mezních nákladech).</w:t>
      </w:r>
    </w:p>
    <w:p>
      <w:pPr>
        <w:pStyle w:val="Textkol"/>
        <w:rPr/>
      </w:pPr>
      <w:r>
        <w:rPr/>
        <w:t>Sem cenovou diskriminaci</w:t>
      </w:r>
    </w:p>
    <w:p>
      <w:pPr>
        <w:pStyle w:val="Textprost"/>
        <w:rPr/>
      </w:pPr>
      <w:r>
        <w:rPr/>
        <w:t>Pro ilustraci Úřad uvádí i situaci, kdy nedokonale konkurenční firma dosáhne výrobního zlepšení, v jehož důsledku klesají náklady výroby.</w:t>
      </w:r>
    </w:p>
    <w:p>
      <w:pPr>
        <w:pStyle w:val="Graf"/>
        <w:numPr>
          <w:ilvl w:val="0"/>
          <w:numId w:val="2"/>
        </w:numPr>
        <w:ind w:hanging="1418" w:left="1418" w:right="0"/>
        <w:rPr/>
      </w:pPr>
      <w:bookmarkStart w:id="50" w:name="_Toc229058018"/>
      <w:r>
        <w:rPr/>
        <w:t>Dopady výrobního zlepšení nedokonale konkurenční firmy</w:t>
      </w:r>
      <w:bookmarkEnd w:id="50"/>
    </w:p>
    <w:p>
      <w:pPr>
        <w:pStyle w:val="Graftabulka"/>
        <w:rPr/>
      </w:pPr>
      <w:r>
        <w:rPr/>
        <w:drawing>
          <wp:inline distT="0" distB="0" distL="0" distR="0">
            <wp:extent cx="2520315" cy="2324100"/>
            <wp:effectExtent l="0" t="0" r="0" b="0"/>
            <wp:docPr id="7"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
                    <pic:cNvPicPr>
                      <a:picLocks noChangeAspect="1" noChangeArrowheads="1"/>
                    </pic:cNvPicPr>
                  </pic:nvPicPr>
                  <pic:blipFill>
                    <a:blip r:embed="rId13"/>
                    <a:stretch>
                      <a:fillRect/>
                    </a:stretch>
                  </pic:blipFill>
                  <pic:spPr bwMode="auto">
                    <a:xfrm>
                      <a:off x="0" y="0"/>
                      <a:ext cx="2520315" cy="2324100"/>
                    </a:xfrm>
                    <a:prstGeom prst="rect">
                      <a:avLst/>
                    </a:prstGeom>
                  </pic:spPr>
                </pic:pic>
              </a:graphicData>
            </a:graphic>
          </wp:inline>
        </w:drawing>
      </w:r>
    </w:p>
    <w:p>
      <w:pPr>
        <w:pStyle w:val="Textprost"/>
        <w:rPr/>
      </w:pPr>
      <w:r>
        <w:rPr/>
        <w:t>Při lepší výrobní pozici</w:t>
      </w:r>
      <w:r>
        <w:rPr>
          <w:rStyle w:val="FootnoteReference"/>
        </w:rPr>
        <w:footnoteReference w:id="62"/>
      </w:r>
      <w:r>
        <w:rPr/>
        <w:t xml:space="preserve"> by firma při řádném fungování tržního mechanismu dosáhla nejlepšího vztahu mezi celkovými příjmy a celkovými náklady při vyšším rozsahu produkce. Nyní se nachází v situaci, kdy je pro ni výhodné za účelem zvýšení zisku zvýšit rozsah výroby. Větší rozsah produkce (</w:t>
      </w:r>
      <w:r>
        <w:rPr>
          <w:i/>
          <w:iCs/>
        </w:rPr>
        <w:t>Q</w:t>
      </w:r>
      <w:r>
        <w:rPr>
          <w:i/>
          <w:iCs/>
          <w:vertAlign w:val="subscript"/>
        </w:rPr>
        <w:t>1</w:t>
      </w:r>
      <w:r>
        <w:rPr/>
        <w:t>) však není schopna při současné ceně na trhu udat, jak bylo vysvětleno výše, a je nucena cenu snížit (</w:t>
      </w:r>
      <w:r>
        <w:rPr>
          <w:i/>
          <w:iCs/>
        </w:rPr>
        <w:t>P</w:t>
      </w:r>
      <w:r>
        <w:rPr>
          <w:i/>
          <w:iCs/>
          <w:vertAlign w:val="subscript"/>
        </w:rPr>
        <w:t>1</w:t>
      </w:r>
      <w:r>
        <w:rPr/>
        <w:t xml:space="preserve">), aby se při její poptávce dodatečná produkce na trhu udala. </w:t>
      </w:r>
    </w:p>
    <w:p>
      <w:pPr>
        <w:pStyle w:val="Textprost"/>
        <w:rPr/>
      </w:pPr>
      <w:r>
        <w:rPr/>
        <w:t xml:space="preserve">Informační funkce tržních cen zajistí, že nižší cenu produkce této firmy vnímají i spotřebitelé poptávající produkci konkurentů. Nižší cena konkurenčního produktu je motivuje ke spotřebě relativně levnějších produktů, což je způsobeno tzv. substitučním efektem. Znamená to tedy, že v praxi tito dodateční spotřebitelé zvýší svou individuální poptávku po produkci této relativně levnější firmy, což se projeví nárůstem tržní poptávky po její produkci. </w:t>
      </w:r>
    </w:p>
    <w:p>
      <w:pPr>
        <w:pStyle w:val="Textprost"/>
        <w:rPr/>
      </w:pPr>
      <w:r>
        <w:rPr/>
        <w:t xml:space="preserve">Nová rovnováha této firmy tedy vytváří díky výrobnímu zlepšení konkurenční tlak na konkurenty. Pokud by konkurenční tlak neexistoval, byla by za podmínky možného využití cenové diskriminace na trhu pozorována právě cena </w:t>
      </w:r>
      <w:r>
        <w:rPr>
          <w:i/>
          <w:iCs/>
        </w:rPr>
        <w:t>P</w:t>
      </w:r>
      <w:r>
        <w:rPr>
          <w:i/>
          <w:iCs/>
          <w:vertAlign w:val="subscript"/>
        </w:rPr>
        <w:t>0</w:t>
      </w:r>
      <w:r>
        <w:rPr/>
        <w:t xml:space="preserve"> neodpovídající nové (zisk maximalizující rovnováze), a to u firmy s efektivnější výrobou. </w:t>
      </w:r>
      <w:r>
        <w:rPr>
          <w:b/>
          <w:bCs/>
        </w:rPr>
        <w:t>Důkazem absence konkurenčního tlaku</w:t>
      </w:r>
      <w:r>
        <w:rPr/>
        <w:t xml:space="preserve"> je:</w:t>
      </w:r>
    </w:p>
    <w:p>
      <w:pPr>
        <w:pStyle w:val="Rovnice"/>
        <w:numPr>
          <w:ilvl w:val="0"/>
          <w:numId w:val="10"/>
        </w:numPr>
        <w:ind w:hanging="284" w:left="142" w:right="0"/>
        <w:rPr/>
      </w:pPr>
      <w:r>
        <w:rPr/>
        <w:t xml:space="preserve"> </w:t>
      </w:r>
      <w:r>
        <w:rPr/>
        <w:tab/>
        <w:t>[[% $P_0 &gt; P_1$]]</w:t>
      </w:r>
    </w:p>
    <w:p>
      <w:pPr>
        <w:pStyle w:val="Textprost"/>
        <w:rPr/>
      </w:pPr>
      <w:r>
        <w:rPr/>
        <w:t>Podstatou dané soutěžní souvislosti je, že firma v důsledku výrobního zlepšení a při snaze maximalizovat zisk je fungujícím tržním mechanismem přinucena ke snížení tržní ceny produkce, přičemž v důsledku toho je vyvíjen konkurenční tlak skrze tržní cenu jakožto nástroje cenové konkurence. Vzájemné působení konkurenčních sil tak i na nedokonale konkurenčním trhu vede v dlouhodobém důsledku k poklesu relativních cen, což již vyjádřil J. A. Schumpeter v roce 1942:</w:t>
      </w:r>
    </w:p>
    <w:p>
      <w:pPr>
        <w:pStyle w:val="Textprost"/>
        <w:rPr/>
      </w:pPr>
      <w:r>
        <w:rPr/>
        <w:t>„</w:t>
      </w:r>
      <w:r>
        <w:rPr/>
        <w:t>The capitalist achievement does not typically consist in providing more silk stockings for queens but in bringing them within the reach of factory girls in return for steadily decreasing amounts of effort.“</w:t>
      </w:r>
    </w:p>
    <w:p>
      <w:pPr>
        <w:pStyle w:val="Textprost"/>
        <w:rPr/>
      </w:pPr>
      <w:r>
        <w:rPr/>
        <w:t xml:space="preserve">Pokud konkurenční tlak absentuje, jednotliví soutěžitelé nemohou působit z logických důvodů na témže trhu. Jinými slovy hovoříme o monopolním postavení vůči své poptávce (v kontextu tohoto sektorového šetření tedy své zákaznické báze). Podmínka vyjádřená uvedenou rovnicí je proto zároveň </w:t>
      </w:r>
      <w:r>
        <w:rPr>
          <w:b/>
          <w:bCs/>
        </w:rPr>
        <w:t>důkazem o dominantním postavení</w:t>
      </w:r>
      <w:r>
        <w:rPr/>
        <w:t xml:space="preserve"> na relevantním trhu vymezeném vlastní zákaznickou bází.</w:t>
      </w:r>
    </w:p>
    <w:p>
      <w:pPr>
        <w:pStyle w:val="Textprost"/>
        <w:rPr/>
      </w:pPr>
      <w:r>
        <w:rPr/>
        <w:t xml:space="preserve">V takovém případě je navíc </w:t>
      </w:r>
      <w:r>
        <w:rPr>
          <w:b/>
        </w:rPr>
        <w:t xml:space="preserve">cena </w:t>
      </w:r>
      <w:r>
        <w:rPr>
          <w:b/>
          <w:i/>
        </w:rPr>
        <w:t>P</w:t>
      </w:r>
      <w:r>
        <w:rPr>
          <w:b/>
          <w:i/>
          <w:vertAlign w:val="subscript"/>
        </w:rPr>
        <w:t>0</w:t>
      </w:r>
      <w:r>
        <w:rPr>
          <w:b/>
        </w:rPr>
        <w:t xml:space="preserve"> jednoznačně excesivní</w:t>
      </w:r>
      <w:r>
        <w:rPr/>
        <w:t>, neboť jednostranným jednáním dominantní firmy, které nemá objektivní ekonomické zdůvodnění a plyne z absence konkurenčního tlaku a možnosti uplatňovat cenovou diskriminaci, dochází k přečerpávání části přebytku spotřebitele přímo do zisku dominanta. Bez objektivních důvodů přečerpanou část přebytku spotřebitele ilustruje Graf č. XXX.</w:t>
      </w:r>
    </w:p>
    <w:p>
      <w:pPr>
        <w:pStyle w:val="Graf"/>
        <w:numPr>
          <w:ilvl w:val="0"/>
          <w:numId w:val="2"/>
        </w:numPr>
        <w:ind w:hanging="1418" w:left="1418" w:right="0"/>
        <w:rPr/>
      </w:pPr>
      <w:bookmarkStart w:id="51" w:name="_Toc229058019"/>
      <w:r>
        <w:rPr/>
        <w:t>Excesivní cena a přečerpávání přebytku spotřebitele</w:t>
      </w:r>
      <w:bookmarkEnd w:id="51"/>
    </w:p>
    <w:p>
      <w:pPr>
        <w:pStyle w:val="Graftabulka"/>
        <w:rPr/>
      </w:pPr>
      <w:r>
        <w:rPr/>
        <w:drawing>
          <wp:inline distT="0" distB="0" distL="0" distR="0">
            <wp:extent cx="2520315" cy="2324100"/>
            <wp:effectExtent l="0" t="0" r="0" b="0"/>
            <wp:docPr id="8"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descr=""/>
                    <pic:cNvPicPr>
                      <a:picLocks noChangeAspect="1" noChangeArrowheads="1"/>
                    </pic:cNvPicPr>
                  </pic:nvPicPr>
                  <pic:blipFill>
                    <a:blip r:embed="rId14"/>
                    <a:stretch>
                      <a:fillRect/>
                    </a:stretch>
                  </pic:blipFill>
                  <pic:spPr bwMode="auto">
                    <a:xfrm>
                      <a:off x="0" y="0"/>
                      <a:ext cx="2520315" cy="2324100"/>
                    </a:xfrm>
                    <a:prstGeom prst="rect">
                      <a:avLst/>
                    </a:prstGeom>
                  </pic:spPr>
                </pic:pic>
              </a:graphicData>
            </a:graphic>
          </wp:inline>
        </w:drawing>
      </w:r>
    </w:p>
    <w:p>
      <w:pPr>
        <w:pStyle w:val="Textprost"/>
        <w:rPr/>
      </w:pPr>
      <w:r>
        <w:rPr/>
        <w:t>Úřad v této souvislosti upozorňuje na tři zásadní souvislosti, a to:</w:t>
      </w:r>
    </w:p>
    <w:p>
      <w:pPr>
        <w:pStyle w:val="Textslovan"/>
        <w:numPr>
          <w:ilvl w:val="0"/>
          <w:numId w:val="41"/>
        </w:numPr>
        <w:ind w:hanging="360" w:left="720" w:right="0"/>
        <w:rPr/>
      </w:pPr>
      <w:r>
        <w:rPr/>
        <w:t>Vzhledem k tomu, že vzniklá situace významně neovlivňuje náklady spojené s výrobou,</w:t>
      </w:r>
      <w:r>
        <w:rPr>
          <w:rStyle w:val="FootnoteReference"/>
        </w:rPr>
        <w:footnoteReference w:id="63"/>
      </w:r>
      <w:r>
        <w:rPr/>
        <w:t xml:space="preserve"> je tato odčerpaná část přebytku spotřebitele přesunuta téměř v plné výši do hospodářského výsledku soutěžitele.</w:t>
      </w:r>
    </w:p>
    <w:p>
      <w:pPr>
        <w:pStyle w:val="Textslovan"/>
        <w:numPr>
          <w:ilvl w:val="0"/>
          <w:numId w:val="8"/>
        </w:numPr>
        <w:ind w:hanging="357" w:left="456" w:right="0"/>
        <w:rPr/>
      </w:pPr>
      <w:r>
        <w:rPr/>
        <w:t xml:space="preserve">Relativně vyšší </w:t>
      </w:r>
      <w:r>
        <w:rPr>
          <w:i/>
          <w:iCs/>
        </w:rPr>
        <w:t>P</w:t>
      </w:r>
      <w:r>
        <w:rPr>
          <w:i/>
          <w:iCs/>
          <w:vertAlign w:val="subscript"/>
        </w:rPr>
        <w:t>0</w:t>
      </w:r>
      <w:r>
        <w:rPr/>
        <w:t xml:space="preserve"> může být způsobeno relativně vyššími náklady spojenými s výrobou, přičemž dosažené zisky by nutně byly při relativním srovnání stejné nebo nižší.</w:t>
      </w:r>
    </w:p>
    <w:p>
      <w:pPr>
        <w:pStyle w:val="Textslovan"/>
        <w:numPr>
          <w:ilvl w:val="0"/>
          <w:numId w:val="8"/>
        </w:numPr>
        <w:ind w:hanging="357" w:left="456" w:right="0"/>
        <w:rPr/>
      </w:pPr>
      <w:r>
        <w:rPr/>
        <w:t xml:space="preserve">Tržní cena (tedy trhu vyjevená </w:t>
      </w:r>
      <w:r>
        <w:rPr>
          <w:i/>
          <w:iCs/>
        </w:rPr>
        <w:t>P</w:t>
      </w:r>
      <w:r>
        <w:rPr>
          <w:i/>
          <w:iCs/>
          <w:vertAlign w:val="subscript"/>
        </w:rPr>
        <w:t>O</w:t>
      </w:r>
      <w:r>
        <w:rPr/>
        <w:t>) není dána rovností mezního příjmu a mezního nákladu.</w:t>
      </w:r>
    </w:p>
    <w:p>
      <w:pPr>
        <w:pStyle w:val="Textprost"/>
        <w:rPr/>
      </w:pPr>
      <w:r>
        <w:rPr/>
        <w:t>Z výše uvedeného tedy plynou dvě důkazní podmínky.</w:t>
      </w:r>
    </w:p>
    <w:p>
      <w:pPr>
        <w:pStyle w:val="Textprost"/>
        <w:rPr/>
      </w:pPr>
      <w:r>
        <w:rPr/>
        <w:t>Důkazem zneužití dominantního postavení ve formě excesivní ceny je splnění následující podmínky:</w:t>
      </w:r>
    </w:p>
    <w:p>
      <w:pPr>
        <w:pStyle w:val="Rovnice"/>
        <w:numPr>
          <w:ilvl w:val="0"/>
          <w:numId w:val="10"/>
        </w:numPr>
        <w:ind w:hanging="284" w:left="142" w:right="0"/>
        <w:rPr/>
      </w:pPr>
      <w:r>
        <w:rPr/>
        <w:t xml:space="preserve"> </w:t>
      </w:r>
      <w:r>
        <w:rPr/>
        <w:tab/>
        <w:t>[[% $P_0^A &gt; P_1^A \wedge \pi_A &gt; \pi_B$]]</w:t>
      </w:r>
    </w:p>
    <w:p>
      <w:pPr>
        <w:pStyle w:val="Textprost"/>
        <w:rPr/>
      </w:pPr>
      <w:r>
        <w:rPr/>
        <w:t>kdy vyšší cena firmy A je též doprovázena vyšší ziskovou úrovní této firmy mající tržní sílu.</w:t>
      </w:r>
    </w:p>
    <w:p>
      <w:pPr>
        <w:pStyle w:val="Textprost"/>
        <w:rPr/>
      </w:pPr>
      <w:r>
        <w:rPr/>
        <w:t>Důkazem dominantního postavení projevujícím se schopností udržovat tržní rovnováhu ve svůj prospěch je také:</w:t>
      </w:r>
    </w:p>
    <w:p>
      <w:pPr>
        <w:pStyle w:val="Rovnice"/>
        <w:numPr>
          <w:ilvl w:val="0"/>
          <w:numId w:val="10"/>
        </w:numPr>
        <w:ind w:hanging="284" w:left="142" w:right="0"/>
        <w:rPr/>
      </w:pPr>
      <w:r>
        <w:rPr/>
        <w:t xml:space="preserve"> </w:t>
      </w:r>
      <w:r>
        <w:rPr/>
        <w:tab/>
        <w:t>[[% $P_0^A &gt; P_1^A \wedge AC_A &lt; AC_B \wedge MC_A &lt; MC_B \Rightarrow \pi_A &gt; \pi_B$]].</w:t>
      </w:r>
    </w:p>
    <w:p>
      <w:pPr>
        <w:pStyle w:val="Textprost"/>
        <w:rPr/>
      </w:pPr>
      <w:r>
        <w:rPr/>
        <w:t>Tedy situace, kdy je firma s dominantním postavením schopna udržovat relativně vyšší cenovou úroveň při relativně nižší nákladové úrovni. Úřad k tomu poznamenává, že taková situace nutně vede k relativně vyšším ziskům, tj. k podmínce uvedené výše. Je proto v diskreci Úřadu, jakou metodou bude potenciální zneužití dominantního postavení v podobě excesivní ceny prokazovat.</w:t>
      </w:r>
    </w:p>
    <w:p>
      <w:pPr>
        <w:pStyle w:val="Textprost"/>
        <w:rPr/>
      </w:pPr>
      <w:r>
        <w:rPr>
          <w:b/>
          <w:bCs/>
        </w:rPr>
        <w:t>Důkazem dominantního postavení</w:t>
      </w:r>
      <w:r>
        <w:rPr/>
        <w:t xml:space="preserve"> racionálně se chovající nedokonale konkurenční firmy je i situace vyjádřená podmínkou:</w:t>
      </w:r>
    </w:p>
    <w:p>
      <w:pPr>
        <w:pStyle w:val="Rovnice"/>
        <w:numPr>
          <w:ilvl w:val="0"/>
          <w:numId w:val="10"/>
        </w:numPr>
        <w:ind w:hanging="284" w:left="142" w:right="0"/>
        <w:rPr/>
      </w:pPr>
      <w:r>
        <w:rPr/>
        <w:t xml:space="preserve"> </w:t>
      </w:r>
      <w:r>
        <w:rPr/>
        <w:tab/>
        <w:t>[[% $P_O : MR \neq MC$]].</w:t>
      </w:r>
    </w:p>
    <w:p>
      <w:pPr>
        <w:pStyle w:val="Textprost"/>
        <w:rPr/>
      </w:pPr>
      <w:r>
        <w:rPr/>
        <w:t>Tady pozorovaná tržní cena neodpovídající rozsahu produkce, při kterém by se za normálních tržních podmínek maximalizoval zisk.</w:t>
      </w:r>
    </w:p>
    <w:p>
      <w:pPr>
        <w:pStyle w:val="Textprost"/>
        <w:rPr/>
      </w:pPr>
      <w:r>
        <w:rPr/>
        <w:t>Úřad si je vědom případné námitky možného neracionálního chování firmy, za tohoto předpokladu by však muselo platit:</w:t>
      </w:r>
    </w:p>
    <w:p>
      <w:pPr>
        <w:pStyle w:val="Rovnice"/>
        <w:numPr>
          <w:ilvl w:val="0"/>
          <w:numId w:val="10"/>
        </w:numPr>
        <w:ind w:hanging="284" w:left="142" w:right="0"/>
        <w:rPr/>
      </w:pPr>
      <w:r>
        <w:rPr/>
        <w:t xml:space="preserve"> </w:t>
      </w:r>
      <w:r>
        <w:rPr/>
        <w:tab/>
        <w:t>[[% $\pi_A &lt; \pi_B$]],</w:t>
      </w:r>
    </w:p>
    <w:p>
      <w:pPr>
        <w:pStyle w:val="Textprost"/>
        <w:rPr/>
      </w:pPr>
      <w:r>
        <w:rPr/>
        <w:t>neboť by firma neusilovala o dosažení maximálního možného zisku. Jinými slovy by musela dosahovat zisku nižšího než maximálně dosažitelného, tj. svou ziskovostí by relativně zaostávala za ostatními subjekty.</w:t>
      </w:r>
    </w:p>
    <w:p>
      <w:pPr>
        <w:pStyle w:val="Textprost"/>
        <w:rPr/>
      </w:pPr>
      <w:r>
        <w:rPr/>
        <w:t xml:space="preserve">Situace zakreslená v Grafu č. </w:t>
      </w:r>
      <w:commentRangeStart w:id="8"/>
      <w:r>
        <w:rPr/>
        <w:t>XXX</w:t>
      </w:r>
      <w:r>
        <w:rPr/>
      </w:r>
      <w:commentRangeEnd w:id="8"/>
      <w:r>
        <w:commentReference w:id="8"/>
      </w:r>
      <w:r>
        <w:rPr/>
        <w:t xml:space="preserve"> se v odborné literatuře označuje jako „</w:t>
      </w:r>
      <w:r>
        <w:rPr>
          <w:i/>
          <w:iCs/>
        </w:rPr>
        <w:t>loyalty penalty</w:t>
      </w:r>
      <w:r>
        <w:rPr/>
        <w:t>“</w:t>
      </w:r>
      <w:r>
        <w:rPr>
          <w:rStyle w:val="FootnoteReference"/>
        </w:rPr>
        <w:footnoteReference w:id="64"/>
      </w:r>
      <w:r>
        <w:rPr/>
        <w:t xml:space="preserve"> umožňující uplatňování cenové diskriminace (blíže viz výše).</w:t>
      </w:r>
    </w:p>
    <w:p>
      <w:pPr>
        <w:pStyle w:val="Textprost"/>
        <w:rPr/>
      </w:pPr>
      <w:r>
        <w:rPr/>
      </w:r>
    </w:p>
    <w:p>
      <w:pPr>
        <w:pStyle w:val="Textkol"/>
        <w:rPr/>
      </w:pPr>
      <w:r>
        <w:rPr/>
        <w:t>Retence a churn „jak a proč“</w:t>
      </w:r>
    </w:p>
    <w:p>
      <w:pPr>
        <w:pStyle w:val="Textprost"/>
        <w:rPr/>
      </w:pPr>
      <w:r>
        <w:rPr/>
      </w:r>
    </w:p>
    <w:p>
      <w:pPr>
        <w:pStyle w:val="Textprost"/>
        <w:rPr/>
      </w:pPr>
      <w:r>
        <w:rPr/>
      </w:r>
    </w:p>
    <w:p>
      <w:pPr>
        <w:pStyle w:val="Textkol"/>
        <w:rPr/>
      </w:pPr>
      <w:r>
        <w:rPr/>
        <w:t>Informační asymetrie a cenová mezera „jak měřit“</w:t>
      </w:r>
    </w:p>
    <w:p>
      <w:pPr>
        <w:pStyle w:val="Textprost"/>
        <w:rPr/>
      </w:pPr>
      <w:r>
        <w:rPr/>
        <w:t>Při uplatňování cenové diskriminace platí, že:</w:t>
      </w:r>
    </w:p>
    <w:p>
      <w:pPr>
        <w:pStyle w:val="Rovnice"/>
        <w:numPr>
          <w:ilvl w:val="0"/>
          <w:numId w:val="10"/>
        </w:numPr>
        <w:ind w:hanging="284" w:left="142" w:right="0"/>
        <w:rPr/>
      </w:pPr>
      <w:r>
        <w:rPr/>
        <w:t xml:space="preserve"> </w:t>
      </w:r>
      <w:r>
        <w:rPr/>
        <w:tab/>
        <w:t>[[% $P_0 \neq AR$]],</w:t>
      </w:r>
    </w:p>
    <w:p>
      <w:pPr>
        <w:pStyle w:val="Textprost"/>
        <w:rPr/>
      </w:pPr>
      <w:r>
        <w:rPr/>
        <w:t>přičemž průměrný příjem je vždy nižší než na trhu pozorovaná cena. Dochází k otevírání tzv. cenové mezery, pro niž platí:</w:t>
      </w:r>
    </w:p>
    <w:p>
      <w:pPr>
        <w:pStyle w:val="Rovnice"/>
        <w:numPr>
          <w:ilvl w:val="0"/>
          <w:numId w:val="10"/>
        </w:numPr>
        <w:ind w:hanging="284" w:left="142" w:right="0"/>
        <w:rPr/>
      </w:pPr>
      <w:r>
        <w:rPr/>
        <w:t xml:space="preserve"> </w:t>
      </w:r>
      <w:r>
        <w:rPr/>
        <w:tab/>
        <w:t>[[% $P_\Delta = P_0 - AR &gt; 0$]],</w:t>
      </w:r>
    </w:p>
    <w:p>
      <w:pPr>
        <w:pStyle w:val="Textprost"/>
        <w:rPr/>
      </w:pPr>
      <w:r>
        <w:rPr/>
        <w:t xml:space="preserve">zároveň platí, že čím větší je cenová mezera, tím oslabenější je informační funkce tržní ceny, a tím silnější je informační asymetrie mezi poptávajícími a nabízejícími subjekty. Čím jsou poptávající ve větší informační nevýhodě, tím spíše budou ochotni hradit excesivnější cenu </w:t>
      </w:r>
      <w:r>
        <w:rPr>
          <w:i/>
          <w:iCs/>
        </w:rPr>
        <w:t>P</w:t>
      </w:r>
      <w:r>
        <w:rPr>
          <w:i/>
          <w:iCs/>
          <w:vertAlign w:val="subscript"/>
        </w:rPr>
        <w:t>0</w:t>
      </w:r>
      <w:r>
        <w:rPr/>
        <w:t>. Je tomu tak z důvodu jejich snížené schopnosti relativního srovnání, a tedy racionálního vyhodnocení přiměřenosti, nabízené ceny.</w:t>
      </w:r>
    </w:p>
    <w:p>
      <w:pPr>
        <w:pStyle w:val="Textprost"/>
        <w:rPr/>
      </w:pPr>
      <w:r>
        <w:rPr/>
        <w:t>Závěrem Úřad doplňuje, že rozdílem mezi tacitní koluzí a zneužitím dominantního postavení je schopnost spotřebitelů přecházet mezi produkcí jednotlivých firem. Nejsou-li spotřebitelé takového přechodu schopni, relevantním trhem je trh vymezené zákaznické báze a schopnost spotřebitelů substituovat na straně poptávky je tak téměř nulová.</w:t>
      </w:r>
    </w:p>
    <w:p>
      <w:pPr>
        <w:pStyle w:val="Textprost"/>
        <w:rPr/>
      </w:pPr>
      <w:r>
        <w:rPr/>
        <w:t>Jsou-li však spotřebitelé schopni přecházet mezi produkcí jednotlivých firem, ale nepřechází z důvodu individuálních cenových podmínek, které je odrazují od změny dodavatele služeb, pak nutně platí:</w:t>
      </w:r>
    </w:p>
    <w:p>
      <w:pPr>
        <w:pStyle w:val="Rovnice"/>
        <w:numPr>
          <w:ilvl w:val="0"/>
          <w:numId w:val="10"/>
        </w:numPr>
        <w:ind w:hanging="284" w:left="142" w:right="0"/>
        <w:rPr/>
      </w:pPr>
      <w:r>
        <w:rPr/>
        <w:t xml:space="preserve"> </w:t>
      </w:r>
      <w:r>
        <w:rPr/>
        <w:tab/>
        <w:t>[[% $\downarrow P_0^A \Rightarrow \uparrow P_\Delta^B$]],</w:t>
      </w:r>
    </w:p>
    <w:p>
      <w:pPr>
        <w:pStyle w:val="Textprost"/>
        <w:rPr/>
      </w:pPr>
      <w:r>
        <w:rPr/>
        <w:t>což při nižší ceně a nezměněném rozsahu dodávek musí nutně vést k:</w:t>
      </w:r>
    </w:p>
    <w:p>
      <w:pPr>
        <w:pStyle w:val="Rovnice"/>
        <w:numPr>
          <w:ilvl w:val="0"/>
          <w:numId w:val="10"/>
        </w:numPr>
        <w:ind w:hanging="284" w:left="142" w:right="0"/>
        <w:rPr/>
      </w:pPr>
      <w:r>
        <w:rPr/>
        <w:t xml:space="preserve"> </w:t>
      </w:r>
      <w:r>
        <w:rPr/>
        <w:tab/>
        <w:t>[[% $\downarrow \pi^A$]].</w:t>
      </w:r>
    </w:p>
    <w:p>
      <w:pPr>
        <w:pStyle w:val="Textprost"/>
        <w:rPr/>
      </w:pPr>
      <w:r>
        <w:rPr/>
        <w:t>Důsledkem snížení ceny vlastní produkce firmou A by bylo pouze snížení vlastní ziskovosti, neboť by absentovalo očekávané navýšení prodejů. Jinými slovy by firma prodávala stejný rozsah produkce při nižší tržní ceně. Konkurent firmy A reagující na sníženou cenu firmy A tedy může neutralizovat cenový nástroj konkurence firmy A tím, že zvýší cenovou mezeru ve své zákaznické bázi. Takové tržní prostředí pak nevyhnutelně vede k Nashově rovnováze, při které je pro jednotlivé účastníky hry výhodné cenu nesnižovat, jak ilustruje výplatní matice uvedená v Tabulce č. XXX.</w:t>
      </w:r>
    </w:p>
    <w:p>
      <w:pPr>
        <w:pStyle w:val="Tabulka"/>
        <w:numPr>
          <w:ilvl w:val="0"/>
          <w:numId w:val="3"/>
        </w:numPr>
        <w:ind w:hanging="1560" w:left="1560" w:right="0"/>
        <w:rPr/>
      </w:pPr>
      <w:bookmarkStart w:id="52" w:name="_Toc229057967"/>
      <w:commentRangeStart w:id="9"/>
      <w:r>
        <w:rPr/>
        <w:t xml:space="preserve">Výplatní matice </w:t>
      </w:r>
      <w:r>
        <w:rPr/>
      </w:r>
      <w:commentRangeEnd w:id="9"/>
      <w:r>
        <w:commentReference w:id="9"/>
      </w:r>
      <w:r>
        <w:rPr/>
        <w:t>pro tacitní koluzi při možnosti využití cenové diskriminace nad vlastní zákaznickou bá</w:t>
      </w:r>
      <w:bookmarkEnd w:id="52"/>
      <w:r>
        <w:rPr/>
        <w:t>zí</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427"/>
        <w:gridCol w:w="2124"/>
        <w:gridCol w:w="2174"/>
        <w:gridCol w:w="2171"/>
        <w:gridCol w:w="2175"/>
      </w:tblGrid>
      <w:tr>
        <w:trPr>
          <w:trHeight w:val="250" w:hRule="atLeast"/>
        </w:trPr>
        <w:tc>
          <w:tcPr>
            <w:tcW w:w="2551" w:type="dxa"/>
            <w:gridSpan w:val="2"/>
            <w:vMerge w:val="restart"/>
            <w:tcBorders>
              <w:top w:val="nil"/>
              <w:left w:val="nil"/>
              <w:bottom w:val="single" w:sz="4" w:space="0" w:color="0C1838"/>
              <w:right w:val="single" w:sz="4" w:space="0" w:color="0C1838"/>
            </w:tcBorders>
          </w:tcPr>
          <w:p>
            <w:pPr>
              <w:pStyle w:val="Tabulkatext"/>
              <w:widowControl/>
              <w:suppressAutoHyphens w:val="true"/>
              <w:rPr>
                <w:b/>
                <w:color w:val="0C1838"/>
              </w:rPr>
            </w:pPr>
            <w:r>
              <w:rPr>
                <w:b/>
                <w:color w:val="0C1838"/>
                <w:kern w:val="0"/>
                <w:lang w:val="cs-CZ" w:bidi="ar-SA"/>
              </w:rPr>
              <w:t>Akce</w:t>
            </w:r>
          </w:p>
        </w:tc>
        <w:tc>
          <w:tcPr>
            <w:tcW w:w="6520" w:type="dxa"/>
            <w:gridSpan w:val="3"/>
            <w:tcBorders>
              <w:top w:val="nil"/>
              <w:left w:val="single" w:sz="4" w:space="0" w:color="0C1838"/>
              <w:bottom w:val="nil"/>
              <w:right w:val="nil"/>
            </w:tcBorders>
          </w:tcPr>
          <w:p>
            <w:pPr>
              <w:pStyle w:val="Tabulkatext"/>
              <w:widowControl/>
              <w:suppressAutoHyphens w:val="true"/>
              <w:jc w:val="center"/>
              <w:rPr>
                <w:b/>
                <w:color w:val="0C1838"/>
              </w:rPr>
            </w:pPr>
            <w:r>
              <w:rPr>
                <w:b/>
                <w:color w:val="0C1838"/>
                <w:kern w:val="0"/>
                <w:lang w:val="cs-CZ" w:bidi="ar-SA"/>
              </w:rPr>
              <w:t>Firma A</w:t>
            </w:r>
          </w:p>
        </w:tc>
      </w:tr>
      <w:tr>
        <w:trPr/>
        <w:tc>
          <w:tcPr>
            <w:tcW w:w="2551" w:type="dxa"/>
            <w:gridSpan w:val="2"/>
            <w:vMerge w:val="continue"/>
            <w:tcBorders>
              <w:top w:val="nil"/>
              <w:left w:val="nil"/>
              <w:bottom w:val="single" w:sz="4" w:space="0" w:color="0C1838"/>
              <w:right w:val="single" w:sz="4" w:space="0" w:color="0C1838"/>
            </w:tcBorders>
          </w:tcPr>
          <w:p>
            <w:pPr>
              <w:pStyle w:val="Tabulkatext"/>
              <w:widowControl/>
              <w:suppressAutoHyphens w:val="true"/>
              <w:rPr>
                <w:kern w:val="0"/>
                <w:lang w:val="cs-CZ" w:bidi="ar-SA"/>
              </w:rPr>
            </w:pPr>
            <w:r>
              <w:rPr>
                <w:kern w:val="0"/>
                <w:lang w:val="cs-CZ" w:bidi="ar-SA"/>
              </w:rPr>
            </w:r>
          </w:p>
        </w:tc>
        <w:tc>
          <w:tcPr>
            <w:tcW w:w="2174" w:type="dxa"/>
            <w:tcBorders>
              <w:top w:val="nil"/>
              <w:left w:val="single" w:sz="4" w:space="0" w:color="0C1838"/>
              <w:bottom w:val="single" w:sz="4" w:space="0" w:color="0C1838"/>
              <w:right w:val="single" w:sz="4" w:space="0" w:color="0C1838"/>
            </w:tcBorders>
          </w:tcPr>
          <w:p>
            <w:pPr>
              <w:pStyle w:val="Tabulkatext"/>
              <w:widowControl/>
              <w:suppressAutoHyphens w:val="true"/>
              <w:rPr>
                <w:kern w:val="0"/>
                <w:lang w:val="cs-CZ" w:bidi="ar-SA"/>
              </w:rPr>
            </w:pPr>
            <w:r>
              <w:rPr>
                <w:kern w:val="0"/>
                <w:lang w:val="cs-CZ" w:bidi="ar-SA"/>
              </w:rPr>
              <w:t>[[% $ K_1^A ( \begin{array}{c} \delta P^A = 0 \ \wedge \\ \delta P_\Delta^A = 0 \end{array})$]]</w:t>
            </w:r>
          </w:p>
        </w:tc>
        <w:tc>
          <w:tcPr>
            <w:tcW w:w="2171" w:type="dxa"/>
            <w:tcBorders>
              <w:top w:val="nil"/>
              <w:left w:val="single" w:sz="4" w:space="0" w:color="0C1838"/>
              <w:bottom w:val="single" w:sz="4" w:space="0" w:color="0C1838"/>
              <w:right w:val="single" w:sz="4" w:space="0" w:color="0C1838"/>
            </w:tcBorders>
          </w:tcPr>
          <w:p>
            <w:pPr>
              <w:pStyle w:val="Tabulkatext"/>
              <w:widowControl/>
              <w:suppressAutoHyphens w:val="true"/>
              <w:rPr>
                <w:kern w:val="0"/>
                <w:lang w:val="cs-CZ" w:bidi="ar-SA"/>
              </w:rPr>
            </w:pPr>
            <w:r>
              <w:rPr>
                <w:kern w:val="0"/>
                <w:lang w:val="cs-CZ" w:bidi="ar-SA"/>
              </w:rPr>
              <w:t>[[% $ K_2^A (\begin{array}{c} \delta P^A = 0 \ \wedge \\ \uparrow \delta P_\Delta^A \end{array})$]]</w:t>
            </w:r>
          </w:p>
        </w:tc>
        <w:tc>
          <w:tcPr>
            <w:tcW w:w="2175" w:type="dxa"/>
            <w:tcBorders>
              <w:top w:val="nil"/>
              <w:left w:val="single" w:sz="4" w:space="0" w:color="0C1838"/>
              <w:bottom w:val="single" w:sz="4" w:space="0" w:color="0C1838"/>
              <w:right w:val="nil"/>
            </w:tcBorders>
          </w:tcPr>
          <w:p>
            <w:pPr>
              <w:pStyle w:val="Tabulkatext"/>
              <w:widowControl/>
              <w:suppressAutoHyphens w:val="true"/>
              <w:rPr>
                <w:kern w:val="0"/>
                <w:lang w:val="cs-CZ" w:bidi="ar-SA"/>
              </w:rPr>
            </w:pPr>
            <w:r>
              <w:rPr>
                <w:kern w:val="0"/>
                <w:lang w:val="cs-CZ" w:bidi="ar-SA"/>
              </w:rPr>
              <w:t>[[% $K_3^A (\begin{array}{c} \downarrow P^A \ \wedge \\ \downarrow P_\Delta^A \end{array})$]]</w:t>
            </w:r>
          </w:p>
        </w:tc>
      </w:tr>
      <w:tr>
        <w:trPr/>
        <w:tc>
          <w:tcPr>
            <w:tcW w:w="427" w:type="dxa"/>
            <w:vMerge w:val="restart"/>
            <w:tcBorders>
              <w:top w:val="single" w:sz="4" w:space="0" w:color="0C1838"/>
              <w:left w:val="nil"/>
              <w:bottom w:val="nil"/>
              <w:right w:val="nil"/>
            </w:tcBorders>
            <w:textDirection w:val="btLr"/>
          </w:tcPr>
          <w:p>
            <w:pPr>
              <w:pStyle w:val="Tabulkatext"/>
              <w:widowControl/>
              <w:suppressAutoHyphens w:val="true"/>
              <w:jc w:val="center"/>
              <w:rPr>
                <w:b/>
              </w:rPr>
            </w:pPr>
            <w:r>
              <w:rPr>
                <w:b/>
                <w:color w:val="0C1838"/>
                <w:kern w:val="0"/>
                <w:lang w:val="cs-CZ" w:bidi="ar-SA"/>
              </w:rPr>
              <w:t>Firma B</w:t>
            </w:r>
          </w:p>
        </w:tc>
        <w:tc>
          <w:tcPr>
            <w:tcW w:w="2124" w:type="dxa"/>
            <w:tcBorders>
              <w:top w:val="single" w:sz="4" w:space="0" w:color="0C1838"/>
              <w:left w:val="nil"/>
              <w:bottom w:val="single" w:sz="4" w:space="0" w:color="0C1838"/>
              <w:right w:val="single" w:sz="4" w:space="0" w:color="0C1838"/>
            </w:tcBorders>
            <w:vAlign w:val="center"/>
          </w:tcPr>
          <w:p>
            <w:pPr>
              <w:pStyle w:val="Tabulkatext"/>
              <w:widowControl/>
              <w:suppressAutoHyphens w:val="true"/>
              <w:rPr>
                <w:kern w:val="0"/>
                <w:lang w:val="cs-CZ" w:bidi="ar-SA"/>
              </w:rPr>
            </w:pPr>
            <w:r>
              <w:rPr>
                <w:kern w:val="0"/>
                <w:lang w:val="cs-CZ" w:bidi="ar-SA"/>
              </w:rPr>
              <w:t>[[% $ K_1^B \begin{array}{l} \delta P^B = 0 \ \wedge \\ \delta P_\Delta^B = 0 \end{array}$]]</w:t>
            </w:r>
          </w:p>
        </w:tc>
        <w:tc>
          <w:tcPr>
            <w:tcW w:w="2174" w:type="dxa"/>
            <w:tcBorders>
              <w:top w:val="single" w:sz="4" w:space="0" w:color="0C1838"/>
              <w:left w:val="single" w:sz="4" w:space="0" w:color="0C1838"/>
              <w:bottom w:val="single" w:sz="4" w:space="0" w:color="0C1838"/>
              <w:right w:val="single" w:sz="4" w:space="0" w:color="0C1838"/>
            </w:tcBorders>
            <w:vAlign w:val="center"/>
          </w:tcPr>
          <w:p>
            <w:pPr>
              <w:pStyle w:val="Tabulkatext"/>
              <w:widowControl/>
              <w:suppressAutoHyphens w:val="true"/>
              <w:rPr>
                <w:kern w:val="0"/>
                <w:lang w:val="cs-CZ" w:bidi="ar-SA"/>
              </w:rPr>
            </w:pPr>
            <w:r>
              <w:rPr>
                <w:kern w:val="0"/>
                <w:lang w:val="cs-CZ" w:bidi="ar-SA"/>
              </w:rPr>
              <w:t>[[% $\begin{array}{c} \delta \pi^A = 0 \\ \delta \pi^B = 0 \end{array}$]]</w:t>
            </w:r>
          </w:p>
        </w:tc>
        <w:tc>
          <w:tcPr>
            <w:tcW w:w="2171" w:type="dxa"/>
            <w:tcBorders>
              <w:top w:val="single" w:sz="4" w:space="0" w:color="0C1838"/>
              <w:left w:val="single" w:sz="4" w:space="0" w:color="0C1838"/>
              <w:bottom w:val="single" w:sz="4" w:space="0" w:color="0C1838"/>
              <w:right w:val="single" w:sz="4" w:space="0" w:color="0C1838"/>
            </w:tcBorders>
            <w:vAlign w:val="center"/>
          </w:tcPr>
          <w:p>
            <w:pPr>
              <w:pStyle w:val="Tabulkatext"/>
              <w:widowControl/>
              <w:suppressAutoHyphens w:val="true"/>
              <w:rPr>
                <w:kern w:val="0"/>
                <w:lang w:val="cs-CZ" w:bidi="ar-SA"/>
              </w:rPr>
            </w:pPr>
            <w:r>
              <w:rPr>
                <w:kern w:val="0"/>
                <w:lang w:val="cs-CZ" w:bidi="ar-SA"/>
              </w:rPr>
              <w:t>[[% $\begin{array}{c} \downarrow \pi^A \\ \downarrow \pi^B \end{array}$]]</w:t>
            </w:r>
          </w:p>
        </w:tc>
        <w:tc>
          <w:tcPr>
            <w:tcW w:w="2175" w:type="dxa"/>
            <w:tcBorders>
              <w:top w:val="single" w:sz="4" w:space="0" w:color="0C1838"/>
              <w:left w:val="single" w:sz="4" w:space="0" w:color="0C1838"/>
              <w:bottom w:val="single" w:sz="4" w:space="0" w:color="0C1838"/>
              <w:right w:val="single" w:sz="4" w:space="0" w:color="0C1838"/>
            </w:tcBorders>
            <w:vAlign w:val="center"/>
          </w:tcPr>
          <w:p>
            <w:pPr>
              <w:pStyle w:val="Tabulkatext"/>
              <w:widowControl/>
              <w:suppressAutoHyphens w:val="true"/>
              <w:rPr>
                <w:kern w:val="0"/>
                <w:lang w:val="cs-CZ" w:bidi="ar-SA"/>
              </w:rPr>
            </w:pPr>
            <w:r>
              <w:rPr>
                <w:kern w:val="0"/>
                <w:lang w:val="cs-CZ" w:bidi="ar-SA"/>
              </w:rPr>
              <w:t>[[% $\begin{array}{c} \pi^A = \ ? \\ \downarrow \pi^B \end{array}$]]</w:t>
            </w:r>
          </w:p>
        </w:tc>
      </w:tr>
      <w:tr>
        <w:trPr/>
        <w:tc>
          <w:tcPr>
            <w:tcW w:w="427" w:type="dxa"/>
            <w:vMerge w:val="continue"/>
            <w:tcBorders>
              <w:top w:val="single" w:sz="4" w:space="0" w:color="0C1838"/>
              <w:left w:val="nil"/>
              <w:bottom w:val="nil"/>
              <w:right w:val="nil"/>
            </w:tcBorders>
          </w:tcPr>
          <w:p>
            <w:pPr>
              <w:pStyle w:val="Tabulkatext"/>
              <w:widowControl/>
              <w:suppressAutoHyphens w:val="true"/>
              <w:rPr>
                <w:kern w:val="0"/>
                <w:lang w:val="cs-CZ" w:bidi="ar-SA"/>
              </w:rPr>
            </w:pPr>
            <w:r>
              <w:rPr>
                <w:kern w:val="0"/>
                <w:lang w:val="cs-CZ" w:bidi="ar-SA"/>
              </w:rPr>
            </w:r>
          </w:p>
        </w:tc>
        <w:tc>
          <w:tcPr>
            <w:tcW w:w="2124" w:type="dxa"/>
            <w:tcBorders>
              <w:top w:val="single" w:sz="4" w:space="0" w:color="0C1838"/>
              <w:left w:val="nil"/>
              <w:bottom w:val="single" w:sz="4" w:space="0" w:color="0C1838"/>
              <w:right w:val="single" w:sz="4" w:space="0" w:color="0C1838"/>
            </w:tcBorders>
            <w:vAlign w:val="center"/>
          </w:tcPr>
          <w:p>
            <w:pPr>
              <w:pStyle w:val="Tabulkatext"/>
              <w:widowControl/>
              <w:suppressAutoHyphens w:val="true"/>
              <w:rPr>
                <w:kern w:val="0"/>
                <w:lang w:val="cs-CZ" w:bidi="ar-SA"/>
              </w:rPr>
            </w:pPr>
            <w:r>
              <w:rPr>
                <w:kern w:val="0"/>
                <w:lang w:val="cs-CZ" w:bidi="ar-SA"/>
              </w:rPr>
              <w:t>[[% $K_2^B \begin{array}{l} \delta P^B = 0 \ \wedge \\ \uparrow \delta P_\Delta^B \end{array}$]]</w:t>
            </w:r>
          </w:p>
        </w:tc>
        <w:tc>
          <w:tcPr>
            <w:tcW w:w="2174" w:type="dxa"/>
            <w:tcBorders>
              <w:top w:val="single" w:sz="4" w:space="0" w:color="0C1838"/>
              <w:left w:val="single" w:sz="4" w:space="0" w:color="0C1838"/>
              <w:bottom w:val="single" w:sz="4" w:space="0" w:color="0C1838"/>
              <w:right w:val="single" w:sz="4" w:space="0" w:color="0C1838"/>
            </w:tcBorders>
            <w:vAlign w:val="center"/>
          </w:tcPr>
          <w:p>
            <w:pPr>
              <w:pStyle w:val="Tabulkatext"/>
              <w:widowControl/>
              <w:suppressAutoHyphens w:val="true"/>
              <w:rPr>
                <w:kern w:val="0"/>
                <w:lang w:val="cs-CZ" w:bidi="ar-SA"/>
              </w:rPr>
            </w:pPr>
            <w:r>
              <w:rPr>
                <w:kern w:val="0"/>
                <w:lang w:val="cs-CZ" w:bidi="ar-SA"/>
              </w:rPr>
              <w:t>[[% $\begin{array}{c} \downarrow \pi^A \\ \downarrow \pi^B \end{array}$]]</w:t>
            </w:r>
          </w:p>
        </w:tc>
        <w:tc>
          <w:tcPr>
            <w:tcW w:w="2171" w:type="dxa"/>
            <w:tcBorders>
              <w:top w:val="single" w:sz="4" w:space="0" w:color="0C1838"/>
              <w:left w:val="single" w:sz="4" w:space="0" w:color="0C1838"/>
              <w:bottom w:val="single" w:sz="4" w:space="0" w:color="0C1838"/>
              <w:right w:val="single" w:sz="4" w:space="0" w:color="0C1838"/>
            </w:tcBorders>
            <w:vAlign w:val="center"/>
          </w:tcPr>
          <w:p>
            <w:pPr>
              <w:pStyle w:val="Tabulkatext"/>
              <w:widowControl/>
              <w:suppressAutoHyphens w:val="true"/>
              <w:rPr>
                <w:kern w:val="0"/>
                <w:lang w:val="cs-CZ" w:bidi="ar-SA"/>
              </w:rPr>
            </w:pPr>
            <w:r>
              <w:rPr>
                <w:kern w:val="0"/>
                <w:lang w:val="cs-CZ" w:bidi="ar-SA"/>
              </w:rPr>
              <w:t>[[% $\begin{array}{c} \downarrow \pi^A \\ \downarrow \pi^B \end{array}$]]</w:t>
            </w:r>
          </w:p>
        </w:tc>
        <w:tc>
          <w:tcPr>
            <w:tcW w:w="2175" w:type="dxa"/>
            <w:tcBorders>
              <w:top w:val="single" w:sz="4" w:space="0" w:color="0C1838"/>
              <w:left w:val="single" w:sz="4" w:space="0" w:color="0C1838"/>
              <w:bottom w:val="single" w:sz="4" w:space="0" w:color="0C1838"/>
              <w:right w:val="single" w:sz="4" w:space="0" w:color="0C1838"/>
            </w:tcBorders>
            <w:vAlign w:val="center"/>
          </w:tcPr>
          <w:p>
            <w:pPr>
              <w:pStyle w:val="Tabulkatext"/>
              <w:widowControl/>
              <w:suppressAutoHyphens w:val="true"/>
              <w:rPr>
                <w:kern w:val="0"/>
                <w:lang w:val="cs-CZ" w:bidi="ar-SA"/>
              </w:rPr>
            </w:pPr>
            <w:r>
              <w:rPr>
                <w:kern w:val="0"/>
                <w:lang w:val="cs-CZ" w:bidi="ar-SA"/>
              </w:rPr>
              <w:t>[[% $\begin{array}{c} \downarrow \pi^A \\ \downarrow \pi^B \end{array}$]]</w:t>
            </w:r>
          </w:p>
        </w:tc>
      </w:tr>
      <w:tr>
        <w:trPr/>
        <w:tc>
          <w:tcPr>
            <w:tcW w:w="427" w:type="dxa"/>
            <w:vMerge w:val="continue"/>
            <w:tcBorders>
              <w:top w:val="nil"/>
              <w:left w:val="nil"/>
              <w:bottom w:val="nil"/>
              <w:right w:val="nil"/>
            </w:tcBorders>
          </w:tcPr>
          <w:p>
            <w:pPr>
              <w:pStyle w:val="Tabulkatext"/>
              <w:widowControl/>
              <w:suppressAutoHyphens w:val="true"/>
              <w:rPr>
                <w:kern w:val="0"/>
                <w:lang w:val="cs-CZ" w:bidi="ar-SA"/>
              </w:rPr>
            </w:pPr>
            <w:r>
              <w:rPr>
                <w:kern w:val="0"/>
                <w:lang w:val="cs-CZ" w:bidi="ar-SA"/>
              </w:rPr>
            </w:r>
          </w:p>
        </w:tc>
        <w:tc>
          <w:tcPr>
            <w:tcW w:w="2124" w:type="dxa"/>
            <w:tcBorders>
              <w:top w:val="single" w:sz="4" w:space="0" w:color="0C1838"/>
              <w:left w:val="nil"/>
              <w:bottom w:val="nil"/>
              <w:right w:val="single" w:sz="4" w:space="0" w:color="0C1838"/>
            </w:tcBorders>
            <w:vAlign w:val="center"/>
          </w:tcPr>
          <w:p>
            <w:pPr>
              <w:pStyle w:val="Tabulkatext"/>
              <w:widowControl/>
              <w:suppressAutoHyphens w:val="true"/>
              <w:rPr>
                <w:kern w:val="0"/>
                <w:lang w:val="cs-CZ" w:bidi="ar-SA"/>
              </w:rPr>
            </w:pPr>
            <w:r>
              <w:rPr>
                <w:kern w:val="0"/>
                <w:lang w:val="cs-CZ" w:bidi="ar-SA"/>
              </w:rPr>
              <w:t>[[% $K_3^B \begin{array}{l} \downarrow P^B \ \wedge \\ \downarrow P_\Delta^B \end{array}$]]</w:t>
            </w:r>
          </w:p>
        </w:tc>
        <w:tc>
          <w:tcPr>
            <w:tcW w:w="2174" w:type="dxa"/>
            <w:tcBorders>
              <w:top w:val="single" w:sz="4" w:space="0" w:color="0C1838"/>
              <w:left w:val="single" w:sz="4" w:space="0" w:color="0C1838"/>
              <w:bottom w:val="single" w:sz="4" w:space="0" w:color="0C1838"/>
              <w:right w:val="single" w:sz="4" w:space="0" w:color="0C1838"/>
            </w:tcBorders>
            <w:vAlign w:val="center"/>
          </w:tcPr>
          <w:p>
            <w:pPr>
              <w:pStyle w:val="Tabulkatext"/>
              <w:widowControl/>
              <w:suppressAutoHyphens w:val="true"/>
              <w:rPr>
                <w:kern w:val="0"/>
                <w:lang w:val="cs-CZ" w:bidi="ar-SA"/>
              </w:rPr>
            </w:pPr>
            <w:r>
              <w:rPr>
                <w:kern w:val="0"/>
                <w:lang w:val="cs-CZ" w:bidi="ar-SA"/>
              </w:rPr>
              <w:t>[[% $\begin{array}{c} \downarrow \pi^A \\ \pi^B = \ ? \end{array}$]]</w:t>
            </w:r>
          </w:p>
        </w:tc>
        <w:tc>
          <w:tcPr>
            <w:tcW w:w="2171" w:type="dxa"/>
            <w:tcBorders>
              <w:top w:val="single" w:sz="4" w:space="0" w:color="0C1838"/>
              <w:left w:val="single" w:sz="4" w:space="0" w:color="0C1838"/>
              <w:bottom w:val="single" w:sz="4" w:space="0" w:color="0C1838"/>
              <w:right w:val="single" w:sz="4" w:space="0" w:color="0C1838"/>
            </w:tcBorders>
            <w:vAlign w:val="center"/>
          </w:tcPr>
          <w:p>
            <w:pPr>
              <w:pStyle w:val="Tabulkatext"/>
              <w:widowControl/>
              <w:suppressAutoHyphens w:val="true"/>
              <w:rPr>
                <w:kern w:val="0"/>
                <w:lang w:val="cs-CZ" w:bidi="ar-SA"/>
              </w:rPr>
            </w:pPr>
            <w:r>
              <w:rPr>
                <w:kern w:val="0"/>
                <w:lang w:val="cs-CZ" w:bidi="ar-SA"/>
              </w:rPr>
              <w:t>[[% $\begin{array}{c} \downarrow \pi^A \\ \downarrow \pi^B \end{array}$]]</w:t>
            </w:r>
          </w:p>
        </w:tc>
        <w:tc>
          <w:tcPr>
            <w:tcW w:w="2175" w:type="dxa"/>
            <w:tcBorders>
              <w:top w:val="single" w:sz="4" w:space="0" w:color="0C1838"/>
              <w:left w:val="single" w:sz="4" w:space="0" w:color="0C1838"/>
              <w:bottom w:val="single" w:sz="4" w:space="0" w:color="0C1838"/>
              <w:right w:val="single" w:sz="4" w:space="0" w:color="0C1838"/>
            </w:tcBorders>
            <w:vAlign w:val="center"/>
          </w:tcPr>
          <w:p>
            <w:pPr>
              <w:pStyle w:val="Tabulkatext"/>
              <w:widowControl/>
              <w:suppressAutoHyphens w:val="true"/>
              <w:rPr>
                <w:kern w:val="0"/>
                <w:lang w:val="cs-CZ" w:bidi="ar-SA"/>
              </w:rPr>
            </w:pPr>
            <w:r>
              <w:rPr>
                <w:kern w:val="0"/>
                <w:lang w:val="cs-CZ" w:bidi="ar-SA"/>
              </w:rPr>
              <w:t>[[% $\begin{array}{c} \downarrow \pi^A \\ \downarrow \pi^B \end{array}$]]</w:t>
            </w:r>
          </w:p>
        </w:tc>
      </w:tr>
    </w:tbl>
    <w:p>
      <w:pPr>
        <w:pStyle w:val="Zdroj"/>
        <w:rPr/>
      </w:pPr>
      <w:r>
        <w:rPr/>
      </w:r>
    </w:p>
    <w:p>
      <w:pPr>
        <w:pStyle w:val="Textprost"/>
        <w:rPr/>
      </w:pPr>
      <w:r>
        <w:rPr/>
        <w:t>K výplatní matici Úřad doplňuje, že v případě úpravy trhu vyjevené ceny v Kroku 3 závisí výsledná zisková pozice významně na elasticitě poptávky. Pokud je poptávka neelastická, pak se z principu soutěžitelům neoplatí tržní cenu snižovat, neboť by došlo ke snížení celkových příjmů i přes nepatrné zvýšení zobchodovaných objemů. Byla-li by poptávka elastická, pak by naopak došlo ke zvýšení celkových příjmů za současného navýšení zobchodovaného objemu a výsledná změna ziskové pozice by pak závisela na vývoji nákladů spojených s navýšeným objemem. Jinými slovy při neelastické poptávce platí:</w:t>
      </w:r>
    </w:p>
    <w:p>
      <w:pPr>
        <w:pStyle w:val="Rovnice"/>
        <w:numPr>
          <w:ilvl w:val="0"/>
          <w:numId w:val="10"/>
        </w:numPr>
        <w:ind w:hanging="284" w:left="142" w:right="0"/>
        <w:rPr/>
      </w:pPr>
      <w:r>
        <w:rPr/>
        <w:t xml:space="preserve"> </w:t>
      </w:r>
      <w:r>
        <w:rPr/>
        <w:tab/>
        <w:t>[[% $e_{Pd}^A &lt; 1 \Rightarrow \downarrow \pi^A$]].</w:t>
      </w:r>
    </w:p>
    <w:p>
      <w:pPr>
        <w:pStyle w:val="Textprost"/>
        <w:rPr/>
      </w:pPr>
      <w:r>
        <w:rPr/>
        <w:t>Přičemž ze zjevných důvodů pro Firmu A platí:</w:t>
      </w:r>
    </w:p>
    <w:p>
      <w:pPr>
        <w:pStyle w:val="Rovnice"/>
        <w:numPr>
          <w:ilvl w:val="0"/>
          <w:numId w:val="10"/>
        </w:numPr>
        <w:ind w:hanging="284" w:left="142" w:right="0"/>
        <w:rPr/>
      </w:pPr>
      <w:r>
        <w:rPr/>
        <w:t xml:space="preserve"> </w:t>
      </w:r>
      <w:r>
        <w:rPr/>
        <w:tab/>
        <w:t>[[% $K_1^A \succ K_2^A \succ K_3^A$]]</w:t>
      </w:r>
    </w:p>
    <w:p>
      <w:pPr>
        <w:pStyle w:val="Textprost"/>
        <w:rPr/>
      </w:pPr>
      <w:r>
        <w:rPr/>
        <w:t xml:space="preserve">Krok jedna je nejpreferovanější, neboť nevede ke změně ziskové pozice v důsledku nezměněného chování konkurenta. Krok 2 je určitě preferovanější před krokem 3, neboť vyšší tržní cenu </w:t>
      </w:r>
      <w:r>
        <w:rPr>
          <w:i/>
          <w:iCs/>
        </w:rPr>
        <w:t>P</w:t>
      </w:r>
      <w:r>
        <w:rPr>
          <w:i/>
          <w:iCs/>
          <w:vertAlign w:val="subscript"/>
        </w:rPr>
        <w:t>0</w:t>
      </w:r>
      <w:r>
        <w:rPr/>
        <w:t xml:space="preserve"> v nezměněné výši stále hradí část zákaznické báze, byť část zákaznické báze přešla do úhrad netržních individuálně vyjednaných nižších cen. Stejně to platí i pro Firmu B.</w:t>
      </w:r>
    </w:p>
    <w:p>
      <w:pPr>
        <w:pStyle w:val="Textprost"/>
        <w:rPr/>
      </w:pPr>
      <w:r>
        <w:rPr/>
        <w:t xml:space="preserve">Zajímavou soutěžní souvislostí je, že možnost otevřít si cenovou mezeru pomocí před trhem skrytých cen a jednostranně kontrolovat její výši ve vlastní zákaznické bázi mění motivaci tržních subjektů způsobem, který </w:t>
      </w:r>
      <w:r>
        <w:rPr>
          <w:b/>
          <w:bCs/>
        </w:rPr>
        <w:t>sám o sobě narušuje fungování hospodářské soutěže</w:t>
      </w:r>
      <w:r>
        <w:rPr/>
        <w:t>, neboť klesá ochota k úpravě tržních cen a v důsledku tak stabilizuje tržní podmínky.</w:t>
      </w:r>
      <w:r>
        <w:rPr>
          <w:rStyle w:val="FootnoteReference"/>
        </w:rPr>
        <w:footnoteReference w:id="65"/>
      </w:r>
      <w:r>
        <w:rPr/>
        <w:t xml:space="preserve"> Neutralizace cenových nástrojů konkurence za pomocí jednostranné kontroly nad vlastní cenovou mezerou tak lze považovat za jednu </w:t>
      </w:r>
      <w:r>
        <w:rPr>
          <w:b/>
        </w:rPr>
        <w:t>z nejzávažnějších forem narušení hospodářské soutěže</w:t>
      </w:r>
      <w:r>
        <w:rPr/>
        <w:t>.</w:t>
      </w:r>
    </w:p>
    <w:p>
      <w:pPr>
        <w:pStyle w:val="Textprost"/>
        <w:rPr/>
      </w:pPr>
      <w:r>
        <w:rPr/>
        <w:t>Toto narušení hospodářské soutěže lze poměrně jednoduše, za podmínky dispozice s daty na úrovni individuálních transakcí od různých soutěžitelů, otestovat za pomocí kritéria:</w:t>
      </w:r>
    </w:p>
    <w:p>
      <w:pPr>
        <w:pStyle w:val="Rovnice"/>
        <w:numPr>
          <w:ilvl w:val="0"/>
          <w:numId w:val="10"/>
        </w:numPr>
        <w:ind w:hanging="284" w:left="142" w:right="0"/>
        <w:rPr/>
      </w:pPr>
      <w:r>
        <w:rPr/>
        <w:t xml:space="preserve"> </w:t>
      </w:r>
      <w:r>
        <w:rPr/>
        <w:tab/>
        <w:t>[[% $\delta P_0^A \Rightarrow - \delta P_\Delta^B$]]</w:t>
      </w:r>
    </w:p>
    <w:p>
      <w:pPr>
        <w:pStyle w:val="Textprost"/>
        <w:rPr/>
      </w:pPr>
      <w:r>
        <w:rPr/>
        <w:t>Je-li nástroj cenové konkurence v podobě úpravy tržní ceny neutralizován konkurentem, pak z logiky věci musí být např. pokles tržní ceny Firmy A být doprovázen vzestupem cenové mezery zjištěné u Firmy B.</w:t>
      </w:r>
      <w:r>
        <w:rPr>
          <w:rStyle w:val="FootnoteReference"/>
        </w:rPr>
        <w:footnoteReference w:id="66"/>
      </w:r>
    </w:p>
    <w:p>
      <w:pPr>
        <w:pStyle w:val="Heading3"/>
        <w:ind w:hanging="1134" w:left="142" w:right="284"/>
        <w:rPr/>
      </w:pPr>
      <w:bookmarkStart w:id="53" w:name="_Toc229057800"/>
      <w:r>
        <w:rPr/>
        <w:t>Právní východiska</w:t>
      </w:r>
      <w:bookmarkEnd w:id="53"/>
    </w:p>
    <w:p>
      <w:pPr>
        <w:pStyle w:val="Textkol"/>
        <w:rPr/>
      </w:pPr>
      <w:r>
        <w:rPr/>
        <w:t>Julčo, počkej s tím prosím po těch ekonomických, ať víme, jaké právní testy a judikáty máme uvést</w:t>
      </w:r>
    </w:p>
    <w:p>
      <w:pPr>
        <w:pStyle w:val="Textkol"/>
        <w:rPr/>
      </w:pPr>
      <w:r>
        <w:rPr/>
        <w:t>Nicméně měly by zaznít testy na společnou dominanci i testy na tacitní koluzi, aby byl jasný rozdíl… pak z nich vyplyne, co úřad tedy v sektorovém šetření bude muset otestovat, ale až v části 2.4</w:t>
      </w:r>
    </w:p>
    <w:p>
      <w:pPr>
        <w:pStyle w:val="Textprost"/>
        <w:rPr/>
      </w:pPr>
      <w:r>
        <w:rPr/>
      </w:r>
    </w:p>
    <w:p>
      <w:pPr>
        <w:pStyle w:val="Textprost"/>
        <w:rPr/>
      </w:pPr>
      <w:r>
        <w:rPr/>
        <w:t>Pojem oligopol označuje takovou strukturu tržního prostředí, kdy v daném odvětví existuje pouze několik málo konkurenčních společností, které představují většinový podíl nabídky. Na oligopolním trhu tedy zpravidla působí pouze několik firem, které se svojí činností mohou navzájem ovlivňovat a disponují nezanedbatelnou tržní silou. Krajní podobou je duopol, kde na trhu působí jen dvě firmy. Pokud je oligopol tvořen firmami s přibližně stejně velkými tržními podíly, jedná se o tzv. symetrický oligopol. Pokud je oligopol tvořen firmami s různě velkými tržními podíly, je označován jako oligopol asymetrický. Typickým znakem oligopolních trhů je relativní stabilita velikosti tržních podílů.</w:t>
      </w:r>
    </w:p>
    <w:p>
      <w:pPr>
        <w:pStyle w:val="Textprost"/>
        <w:rPr/>
      </w:pPr>
      <w:r>
        <w:rPr/>
        <w:t>Pokud na oligopolním trhu firmy stanovují ceny ve shodě vůle s ostatními oligopolisty, pak se takový stav označuje jako koluze a cena je v takovém případě vyšší, než odpovídá běžné tržní rovnováze. Mezi tržní faktory, které napomáhají vzniku koluze, patří podobnost či blízkost produktů, srovnatelné náklady na výrobu, relativně stabilní tržní podíly a existence dlouhodobějších vztahů mezi dodavateli a odběrateli. Koluzi rovněž nahrává existence bariér vstupu na trh, existence případných vazeb mezi členy oligopolu a relativně stabilní poptávka.</w:t>
      </w:r>
    </w:p>
    <w:p>
      <w:pPr>
        <w:pStyle w:val="Textprost"/>
        <w:rPr/>
      </w:pPr>
      <w:r>
        <w:rPr/>
        <w:t>Koluze může být povahy explicitní či implicitní (tacitní). Je-li chování oligopolistů stanoveno explicitní (výslovnou) dohodou, jedná se o kartel, který je z v rozporu se soutěžním právem a soutěžní úřady proti takovému chování zasahují. Implicitní koluze je snaha o udržování určitého statusu quo a z pohledu firem je vlastně takové jednání racionální, neboť se stabilizací tržního prostředí a tím snížení možné nejistoty se snaží maximalizovat svůj zisk. Ten se může dostat až na úroveň monopolu, pokud budou jednotlivé firmy na trhu disponovat odvetnými strategiemi, které zajistí stabilitu koluzivního chování. Ostatně proto existuje v soutěžní doktríně koncept kolektivní dominance, který vychází z toho, že jako monopol se nemusí chovat pouze jeden subjekt, ale trhu může dominovat společně vice subjektů, přičemž jejich společné chování může vést až ke stavu srovnatelnému právě s monopolem. Aby na trhu mohla vzniknout tržní struktura označovaná jako kolektivní dominance, musí být naplněny určité podmínky.</w:t>
      </w:r>
    </w:p>
    <w:p>
      <w:pPr>
        <w:pStyle w:val="Textprost"/>
        <w:rPr/>
      </w:pPr>
      <w:r>
        <w:rPr/>
        <w:t>Tyto podmínky jsou označovány v soutěžní politice jako tzv. Airtours kritéria, a to podle rozhodnutí Tribunálu v případu Airtours</w:t>
      </w:r>
      <w:r>
        <w:rPr>
          <w:rStyle w:val="FootnoteReference"/>
        </w:rPr>
        <w:footnoteReference w:id="67"/>
      </w:r>
      <w:r>
        <w:rPr/>
        <w:t>, ve kterém byly vymezeny. Jedná se o následující tři kritéria, která představují právní standard v evropském soutěžním právu, používaný k posouzení, zda na trhu existuje kolektivní dominantní postavení a zda toto postavení může vést ke koordinovanému jednání:</w:t>
      </w:r>
    </w:p>
    <w:p>
      <w:pPr>
        <w:pStyle w:val="Textprost"/>
        <w:rPr/>
      </w:pPr>
      <w:r>
        <w:rPr/>
        <w:t>Prvním z nich je transparentnost. Tedy stav, kdy každý člen oligopolu je schopen rozpoznat chování ostatních oligopolistů.</w:t>
      </w:r>
    </w:p>
    <w:p>
      <w:pPr>
        <w:pStyle w:val="Textprost"/>
        <w:rPr/>
      </w:pPr>
      <w:r>
        <w:rPr/>
        <w:t>Druhým kritériem je existence odvetného mechanismu, který má zajistit soudržnost chování oligopolistů a eliminovat riziko odchýlení se od společné strategie.</w:t>
      </w:r>
    </w:p>
    <w:p>
      <w:pPr>
        <w:pStyle w:val="Textprost"/>
        <w:rPr/>
      </w:pPr>
      <w:r>
        <w:rPr/>
        <w:t>Třetím kritériem je absence protiváhy ze strany konkurentů či zákazníků, která by mohla ohrozit společný postup oligopolistů.</w:t>
      </w:r>
    </w:p>
    <w:p>
      <w:pPr>
        <w:pStyle w:val="Textprost"/>
        <w:rPr/>
      </w:pPr>
      <w:r>
        <w:rPr/>
        <w:t xml:space="preserve">Ke zjištění kolektivní dominance je nezbytné, aby byly splněny všechny tři kumulativní podmínky. </w:t>
      </w:r>
    </w:p>
    <w:p>
      <w:pPr>
        <w:pStyle w:val="Textprost"/>
        <w:rPr/>
      </w:pPr>
      <w:r>
        <w:rPr/>
        <w:t>Následná judikatura, zejména ve věci Impala</w:t>
      </w:r>
      <w:r>
        <w:rPr>
          <w:rStyle w:val="FootnoteReference"/>
        </w:rPr>
        <w:footnoteReference w:id="68"/>
      </w:r>
      <w:r>
        <w:rPr/>
        <w:t>, upřesnila, že tato kritéria nesmějí být uplatňována mechanicky ani posuzována izolovaně. Soudy zdůraznily nutnost systematického a holistického posouzení, které zkoumá vzájemné působení všech tří faktorů s ohledem na konkrétní charakteristiky trhu.</w:t>
      </w:r>
    </w:p>
    <w:p>
      <w:pPr>
        <w:pStyle w:val="Textprost"/>
        <w:rPr/>
      </w:pPr>
      <w:r>
        <w:rPr/>
      </w:r>
    </w:p>
    <w:p>
      <w:pPr>
        <w:pStyle w:val="Textprost"/>
        <w:rPr/>
      </w:pPr>
      <w:r>
        <w:rPr/>
        <w:t xml:space="preserve">The Airtours criteria, established by the EU General Court in 2002, are three mandatory conditions for proving collective (joint) dominance in an oligopolistic market. They require high market transparency for monitoring, a credible retaliation mechanism to deter cheating, and assurance that outside competitors/customers cannot undermine the coordination. </w:t>
      </w:r>
    </w:p>
    <w:p>
      <w:pPr>
        <w:pStyle w:val="Textkol"/>
        <w:rPr/>
      </w:pPr>
      <w:r>
        <w:rPr/>
        <w:t>The Three Airtours Criteria</w:t>
      </w:r>
    </w:p>
    <w:p>
      <w:pPr>
        <w:pStyle w:val="Textprost"/>
        <w:rPr/>
      </w:pPr>
      <w:r>
        <w:rPr/>
        <w:t>Transparency: Members must be able to monitor whether others are adhering to the terms of coordination, allowing them to know how competitors are behaving.</w:t>
      </w:r>
    </w:p>
    <w:p>
      <w:pPr>
        <w:pStyle w:val="Textprost"/>
        <w:rPr/>
      </w:pPr>
      <w:r>
        <w:rPr/>
        <w:t>Deterrence/Retaliation: There must be a mechanism to punish firms that deviate from the coordinated policy.</w:t>
      </w:r>
    </w:p>
    <w:p>
      <w:pPr>
        <w:pStyle w:val="Textprost"/>
        <w:rPr/>
      </w:pPr>
      <w:r>
        <w:rPr/>
        <w:t xml:space="preserve">External Stability: The coordination must be sustainable, meaning competitors, new entrants, or customers cannot easily disrupt the tacit coordination. </w:t>
      </w:r>
    </w:p>
    <w:p>
      <w:pPr>
        <w:pStyle w:val="Textprost"/>
        <w:rPr/>
      </w:pPr>
      <w:r>
        <w:rPr/>
        <w:t>Key Context</w:t>
      </w:r>
    </w:p>
    <w:p>
      <w:pPr>
        <w:pStyle w:val="Textprost"/>
        <w:rPr/>
      </w:pPr>
      <w:r>
        <w:rPr/>
        <w:t>Origin: The criteria originated from Airtours v Commission (Case T-342/99).</w:t>
      </w:r>
    </w:p>
    <w:p>
      <w:pPr>
        <w:pStyle w:val="Textprost"/>
        <w:rPr/>
      </w:pPr>
      <w:r>
        <w:rPr/>
        <w:t>Application: These criteria are used to determine if a merger creates or strengthens a dominant position by allowing firms to align their, say, capacity or prices without a formal agreement.</w:t>
      </w:r>
    </w:p>
    <w:p>
      <w:pPr>
        <w:pStyle w:val="Textprost"/>
        <w:rPr/>
      </w:pPr>
      <w:r>
        <w:rPr/>
        <w:t>Requirement: All three conditions must be met for a finding of collective dominance.</w:t>
      </w:r>
    </w:p>
    <w:p>
      <w:pPr>
        <w:pStyle w:val="Textprost"/>
        <w:rPr/>
      </w:pPr>
      <w:r>
        <w:rPr/>
        <w:t>Evolution: Subsequent rulings, such as Impala, emphasized that these factors should be analyzed systematically rather than mechanically in isolation.</w:t>
      </w:r>
    </w:p>
    <w:p>
      <w:pPr>
        <w:pStyle w:val="Textprost"/>
        <w:rPr/>
      </w:pPr>
      <w:r>
        <w:rPr/>
      </w:r>
    </w:p>
    <w:p>
      <w:pPr>
        <w:pStyle w:val="Textprost"/>
        <w:rPr/>
      </w:pPr>
      <w:r>
        <w:rPr/>
      </w:r>
    </w:p>
    <w:p>
      <w:pPr>
        <w:pStyle w:val="Textprost"/>
        <w:rPr/>
      </w:pPr>
      <w:r>
        <w:rPr/>
        <w:t>Excesivní ceny v soutěžním právu – judikaturní ukotvení</w:t>
      </w:r>
    </w:p>
    <w:p>
      <w:pPr>
        <w:pStyle w:val="Textprost"/>
        <w:rPr/>
      </w:pPr>
      <w:r>
        <w:rPr/>
        <w:t>Excesivní (nepřiměřeně vysoké) ceny jsou v soutěžním právu považovány za jednu z forem zneužití dominantního postavení podle čl. 102 SFEU (resp. § 11 ZOHS). Zásah proti nim však představuje výjimku, neboť soutěžní právo neusiluje o obecnou cenovou regulaci, nýbrž o ochranu soutěžního procesu.</w:t>
      </w:r>
    </w:p>
    <w:p>
      <w:pPr>
        <w:pStyle w:val="Textprost"/>
        <w:rPr/>
      </w:pPr>
      <w:r>
        <w:rPr/>
        <w:t>Základním judikaturním východiskem je rozsudek United Brands</w:t>
      </w:r>
      <w:r>
        <w:rPr>
          <w:rStyle w:val="FootnoteReference"/>
        </w:rPr>
        <w:footnoteReference w:id="69"/>
      </w:r>
      <w:r>
        <w:rPr>
          <w:rStyle w:val="FootnoteCharacters"/>
        </w:rPr>
        <w:t>:</w:t>
      </w:r>
    </w:p>
    <w:p>
      <w:pPr>
        <w:pStyle w:val="Textprost"/>
        <w:rPr/>
      </w:pPr>
      <w:r>
        <w:rPr/>
        <w:t>V tomto případě Soudní dvůr formuloval dvoufázový test excesivní ceny, který je dodnes referenční:</w:t>
      </w:r>
    </w:p>
    <w:p>
      <w:pPr>
        <w:pStyle w:val="Textprost"/>
        <w:rPr/>
      </w:pPr>
      <w:r>
        <w:rPr/>
        <w:t>zda je rozdíl mezi náklady a účtovanou cenou nadměrný, a</w:t>
      </w:r>
    </w:p>
    <w:p>
      <w:pPr>
        <w:pStyle w:val="Textprost"/>
        <w:rPr/>
      </w:pPr>
      <w:r>
        <w:rPr/>
        <w:t>zda je cena nepřiměřená sama o sobě, nebo ve srovnání s konkurenčními produkty či jinými relevantními trhy.</w:t>
      </w:r>
    </w:p>
    <w:p>
      <w:pPr>
        <w:pStyle w:val="Textprost"/>
        <w:rPr/>
      </w:pPr>
      <w:r>
        <w:rPr/>
        <w:t>Tento test byl následně potvrzován, ale zároveň zpřesňován a ekonomicky kultivován v pozdější judikatuře.</w:t>
      </w:r>
    </w:p>
    <w:p>
      <w:pPr>
        <w:pStyle w:val="Textprost"/>
        <w:rPr/>
      </w:pPr>
      <w:r>
        <w:rPr/>
        <w:t>Opatrný přístup soutěžních orgánů k excesivním cenám zdůraznil Rozsudek Soudního dvora C</w:t>
      </w:r>
      <w:r>
        <w:rPr>
          <w:rFonts w:cs="Cambria Math" w:ascii="Cambria Math" w:hAnsi="Cambria Math"/>
        </w:rPr>
        <w:noBreakHyphen/>
      </w:r>
      <w:r>
        <w:rPr/>
        <w:t>372/19</w:t>
      </w:r>
      <w:r>
        <w:rPr>
          <w:rStyle w:val="FootnoteReference"/>
        </w:rPr>
        <w:footnoteReference w:id="70"/>
      </w:r>
      <w:r>
        <w:rPr/>
        <w:t>, který připomněl, že vysoká cena sama o sobě ještě neznamená zneužití, pokud je výsledkem fungující soutěže nebo odměnou za inovaci a investice a potvrdil, že excesivní cena může být zneužitím, avšak důkazní břemeno leží na soutěžním orgánu a analýza musí být ekonomicky podložená, pluralitní a realistická.</w:t>
      </w:r>
    </w:p>
    <w:p>
      <w:pPr>
        <w:pStyle w:val="Textprost"/>
        <w:rPr/>
      </w:pPr>
      <w:r>
        <w:rPr/>
      </w:r>
    </w:p>
    <w:p>
      <w:pPr>
        <w:pStyle w:val="Textprost"/>
        <w:rPr/>
      </w:pPr>
      <w:r>
        <w:rPr/>
        <w:t>Česká judikatura a aplikační praxe</w:t>
      </w:r>
    </w:p>
    <w:p>
      <w:pPr>
        <w:pStyle w:val="Textprost"/>
        <w:rPr/>
      </w:pPr>
      <w:r>
        <w:rPr/>
        <w:t>V českém právu se problematika excesivních cen objevuje spíše výjimečně, často v kontextu lokálních monopolů nebo regulovaných odvětví.</w:t>
      </w:r>
    </w:p>
    <w:p>
      <w:pPr>
        <w:pStyle w:val="Textprost"/>
        <w:rPr/>
      </w:pPr>
      <w:r>
        <w:rPr/>
        <w:t>Relevantní je zejména Rozsudek Nejvyššího správního soudu ze dne 31. 3. 2010, č. j. 8 Afs 29/2008</w:t>
      </w:r>
      <w:r>
        <w:rPr>
          <w:rFonts w:cs="Cambria Math" w:ascii="Cambria Math" w:hAnsi="Cambria Math"/>
        </w:rPr>
        <w:noBreakHyphen/>
      </w:r>
      <w:r>
        <w:rPr/>
        <w:t>162, ve kterém NSS zdůraznil, že zásah proti cenové politice dominantního soutěžitele vyžaduje mimořádně obezřetný přístup, neboť soutěžní právo není náhradou cenové regulace a excesivní cena musí být prokázána na základě objektivních ekonomických kritérií.</w:t>
      </w:r>
    </w:p>
    <w:p>
      <w:pPr>
        <w:pStyle w:val="Textprost"/>
        <w:rPr/>
      </w:pPr>
      <w:r>
        <w:rPr/>
        <w:t>ÚOHS i soudy zároveň akcentují, že dominance a excesivní cena musí být kauzálně propojeny – tedy že k vysoké ceně dochází právě v důsledku tržní síly, nikoli z jiných legitimních důvodů (náklady, riziko, investice).</w:t>
      </w:r>
    </w:p>
    <w:p>
      <w:pPr>
        <w:pStyle w:val="Textprost"/>
        <w:rPr/>
      </w:pPr>
      <w:r>
        <w:rPr/>
      </w:r>
    </w:p>
    <w:p>
      <w:pPr>
        <w:pStyle w:val="Textprost"/>
        <w:rPr/>
      </w:pPr>
      <w:r>
        <w:rPr/>
        <w:t xml:space="preserve">Pro závěr o nepřiměřeně vysokých cenách je primárně nezbytné určit, vůči jaké </w:t>
      </w:r>
    </w:p>
    <w:p>
      <w:pPr>
        <w:pStyle w:val="Textprost"/>
        <w:rPr/>
      </w:pPr>
      <w:r>
        <w:rPr/>
        <w:t xml:space="preserve">hodnotě či hranici mají být dané ceny porovnávány. Obecně zakotvil podmínky pro </w:t>
      </w:r>
    </w:p>
    <w:p>
      <w:pPr>
        <w:pStyle w:val="Textprost"/>
        <w:rPr/>
      </w:pPr>
      <w:r>
        <w:rPr/>
        <w:t xml:space="preserve">posuzování nepřiměřenosti rozsudek Soudního dvora ve věci United Brands.817 SD </w:t>
      </w:r>
    </w:p>
    <w:p>
      <w:pPr>
        <w:pStyle w:val="Textprost"/>
        <w:rPr/>
      </w:pPr>
      <w:r>
        <w:rPr/>
        <w:t xml:space="preserve">nejprve formuloval základní pravidlo popisující, kdy se jedná o zneužití dominantního </w:t>
      </w:r>
    </w:p>
    <w:p>
      <w:pPr>
        <w:pStyle w:val="Textprost"/>
        <w:rPr/>
      </w:pPr>
      <w:r>
        <w:rPr/>
        <w:t xml:space="preserve">postavení excesivní cenou. Zneužitím dominantního postavení je „účtování ceny, která je </w:t>
      </w:r>
    </w:p>
    <w:p>
      <w:pPr>
        <w:pStyle w:val="Textprost"/>
        <w:rPr/>
      </w:pPr>
      <w:r>
        <w:rPr/>
        <w:t xml:space="preserve">excesivní, protože nemá žádné logické odůvodnění k ekonomické hodnotě dodávaného </w:t>
      </w:r>
    </w:p>
    <w:p>
      <w:pPr>
        <w:pStyle w:val="Textprost"/>
        <w:rPr/>
      </w:pPr>
      <w:r>
        <w:rPr/>
        <w:t xml:space="preserve">produktu“.818 Pro tyto účely byl zaveden dvoustupňový test. Podle Soudního dvora je </w:t>
      </w:r>
    </w:p>
    <w:p>
      <w:pPr>
        <w:pStyle w:val="Textprost"/>
        <w:rPr/>
      </w:pPr>
      <w:r>
        <w:rPr/>
        <w:t xml:space="preserve">třeba odpovědět na otázky, „zda je rozdíl mezi skutečně vzniklými náklady a skutečně </w:t>
      </w:r>
    </w:p>
    <w:p>
      <w:pPr>
        <w:pStyle w:val="Textprost"/>
        <w:rPr/>
      </w:pPr>
      <w:r>
        <w:rPr/>
        <w:t xml:space="preserve">účtovanou cenou excesivní, a v případě, že odpověď by byla kladná, zda byla účtována cena, </w:t>
      </w:r>
    </w:p>
    <w:p>
      <w:pPr>
        <w:pStyle w:val="Textprost"/>
        <w:rPr/>
      </w:pPr>
      <w:r>
        <w:rPr/>
        <w:t>která je buď nepřiměřená sama o sobě, nebo v porovnání s konkurenčními produkty.“819 (kupčík disertace)</w:t>
      </w:r>
    </w:p>
    <w:p>
      <w:pPr>
        <w:pStyle w:val="Textkol"/>
        <w:rPr/>
      </w:pPr>
      <w:r>
        <w:rPr/>
        <w:t>musíme pak rozsudky a jejich kritéria rozpustit v analýzách dále</w:t>
      </w:r>
    </w:p>
    <w:p>
      <w:pPr>
        <w:pStyle w:val="Textprost"/>
        <w:rPr/>
      </w:pPr>
      <w:r>
        <w:rPr/>
        <w:t xml:space="preserve">Pouze za předpokladu, že je cena nepřiměřená vůči nákladům, je třeba přikročit ke </w:t>
      </w:r>
    </w:p>
    <w:p>
      <w:pPr>
        <w:pStyle w:val="Textprost"/>
        <w:rPr/>
      </w:pPr>
      <w:r>
        <w:rPr/>
        <w:t xml:space="preserve">druhému kroku testu. Tím je posouzení, zda je cena nespravedlivá (neférová). Pro tyto </w:t>
      </w:r>
    </w:p>
    <w:p>
      <w:pPr>
        <w:pStyle w:val="Textprost"/>
        <w:rPr/>
      </w:pPr>
      <w:r>
        <w:rPr/>
        <w:t xml:space="preserve">účely Soudní dvůr ve věci United Brands navrhl dva možná způsoby prokázání. </w:t>
      </w:r>
    </w:p>
    <w:p>
      <w:pPr>
        <w:pStyle w:val="Textprost"/>
        <w:rPr/>
      </w:pPr>
      <w:r>
        <w:rPr/>
        <w:t xml:space="preserve">Nespravedlivost ceny tedy lze prokázat, pokud je cena neférová: - - - </w:t>
      </w:r>
    </w:p>
    <w:p>
      <w:pPr>
        <w:pStyle w:val="Textprost"/>
        <w:rPr/>
      </w:pPr>
      <w:r>
        <w:rPr/>
        <w:t xml:space="preserve">sama o sobě,  </w:t>
      </w:r>
    </w:p>
    <w:p>
      <w:pPr>
        <w:pStyle w:val="Textprost"/>
        <w:rPr/>
      </w:pPr>
      <w:r>
        <w:rPr/>
        <w:t xml:space="preserve">v porovnání s konkurenčními produkty, případně </w:t>
      </w:r>
    </w:p>
    <w:p>
      <w:pPr>
        <w:pStyle w:val="Textprost"/>
        <w:rPr/>
      </w:pPr>
      <w:r>
        <w:rPr/>
        <w:t>dalšími (v rozsudku United Brands neupřesněnými) způsoby.822 (kupčík disertace)</w:t>
      </w:r>
    </w:p>
    <w:p>
      <w:pPr>
        <w:pStyle w:val="Textprost"/>
        <w:rPr/>
      </w:pPr>
      <w:r>
        <w:rPr/>
      </w:r>
    </w:p>
    <w:p>
      <w:pPr>
        <w:pStyle w:val="Textprost"/>
        <w:rPr/>
      </w:pPr>
      <w:r>
        <w:rPr/>
        <w:t xml:space="preserve">V této souvislosti lze citovat generálního advokáta Wahla ve věci Konkurences </w:t>
      </w:r>
    </w:p>
    <w:p>
      <w:pPr>
        <w:pStyle w:val="Textprost"/>
        <w:rPr/>
      </w:pPr>
      <w:r>
        <w:rPr/>
        <w:t xml:space="preserve">padome, který popsal, že pro posouzení neférovosti ceny „v současném stádiu právního a </w:t>
      </w:r>
    </w:p>
    <w:p>
      <w:pPr>
        <w:pStyle w:val="Textprost"/>
        <w:rPr/>
      </w:pPr>
      <w:r>
        <w:rPr/>
        <w:t xml:space="preserve">ekonomického myšlení neexistuje v tomto ohledu jediná metoda, test nebo soubor kritérií, </w:t>
      </w:r>
    </w:p>
    <w:p>
      <w:pPr>
        <w:pStyle w:val="Textprost"/>
        <w:rPr/>
      </w:pPr>
      <w:r>
        <w:rPr/>
        <w:t xml:space="preserve">které by byly všeobecně přijímány ekonomickou a právní doktrínou. Různé orgány, jakož i </w:t>
      </w:r>
    </w:p>
    <w:p>
      <w:pPr>
        <w:pStyle w:val="Textprost"/>
        <w:rPr/>
      </w:pPr>
      <w:r>
        <w:rPr/>
        <w:t xml:space="preserve">právníci a ekonomové za tímto účelem navrhli celou řadu metod […] ve skutečnosti každá z </w:t>
      </w:r>
    </w:p>
    <w:p>
      <w:pPr>
        <w:pStyle w:val="Textprost"/>
        <w:rPr/>
      </w:pPr>
      <w:r>
        <w:rPr/>
        <w:t xml:space="preserve">těchto metod vykazuje některé podstatné nedostatky.“823 Test neférovosti ceny by totiž měl </w:t>
      </w:r>
    </w:p>
    <w:p>
      <w:pPr>
        <w:pStyle w:val="Textprost"/>
        <w:rPr/>
      </w:pPr>
      <w:r>
        <w:rPr/>
        <w:t xml:space="preserve">ideálně porovnávat skutečnou cenu a tzv. referenční cenu, což by byla hypotetická cena </w:t>
      </w:r>
    </w:p>
    <w:p>
      <w:pPr>
        <w:pStyle w:val="Textprost"/>
        <w:rPr/>
      </w:pPr>
      <w:r>
        <w:rPr/>
        <w:t>v případě existence účinné hospodářské soutěže.824 (kupčík disertace)</w:t>
      </w:r>
    </w:p>
    <w:p>
      <w:pPr>
        <w:pStyle w:val="Textkol"/>
        <w:rPr/>
      </w:pPr>
      <w:r>
        <w:rPr/>
        <w:t>doc. Šilhán disertační práce „dominantní postavení na trhu a jeho zneužití cenovými praktikami“</w:t>
      </w:r>
    </w:p>
    <w:p>
      <w:pPr>
        <w:pStyle w:val="Textprost"/>
        <w:rPr/>
      </w:pPr>
      <w:r>
        <w:rPr/>
      </w:r>
    </w:p>
    <w:p>
      <w:pPr>
        <w:pStyle w:val="Textprost"/>
        <w:rPr/>
      </w:pPr>
      <w:r>
        <w:rPr/>
      </w:r>
    </w:p>
    <w:p>
      <w:pPr>
        <w:pStyle w:val="Textprost"/>
        <w:rPr/>
      </w:pPr>
      <w:r>
        <w:rPr/>
      </w:r>
    </w:p>
    <w:p>
      <w:pPr>
        <w:pStyle w:val="Heading2"/>
        <w:ind w:hanging="1135" w:left="142" w:right="284"/>
        <w:rPr/>
      </w:pPr>
      <w:bookmarkStart w:id="54" w:name="_Toc229057801"/>
      <w:r>
        <w:rPr/>
        <w:t>Stanovení rámce sektorového šetření /</w:t>
        <w:br/>
      </w:r>
      <w:r>
        <w:rPr>
          <w:i/>
          <w:sz w:val="24"/>
          <w:szCs w:val="24"/>
          <w:lang w:val="en-GB"/>
        </w:rPr>
        <w:t>Determination of the Framework for the Sector Inquiry</w:t>
      </w:r>
      <w:bookmarkEnd w:id="54"/>
    </w:p>
    <w:p>
      <w:pPr>
        <w:pStyle w:val="Textprost"/>
        <w:rPr/>
      </w:pPr>
      <w:r>
        <w:rPr/>
        <w:t>V této části Úřad vymezuje základní rámec sektorového šetření. Nejprve definuje datový rámec, jenž stanovuje rozsah a povahu dat nezbytných pro zamýšlené analýzy. Následně je vymezen časový rámec určující zkoumané období a jeho relevanci pro prováděné šetření.</w:t>
      </w:r>
    </w:p>
    <w:p>
      <w:pPr>
        <w:pStyle w:val="Textkol"/>
        <w:rPr/>
      </w:pPr>
      <w:r>
        <w:rPr/>
        <w:t>Ten jeden odstavec o principech, jakými se úřad musí řídit v SŠ – minimalizace, zátěž atp.</w:t>
      </w:r>
    </w:p>
    <w:p>
      <w:pPr>
        <w:pStyle w:val="Heading3"/>
        <w:ind w:hanging="1134" w:left="142" w:right="284"/>
        <w:rPr/>
      </w:pPr>
      <w:bookmarkStart w:id="55" w:name="_Toc229057802"/>
      <w:r>
        <w:rPr/>
        <w:t>Datově analytický rámec /</w:t>
        <w:br/>
      </w:r>
      <w:r>
        <w:rPr>
          <w:i/>
          <w:sz w:val="20"/>
          <w:lang w:val="en-GB"/>
        </w:rPr>
        <w:t>Data-Analytical Framework</w:t>
      </w:r>
      <w:bookmarkEnd w:id="55"/>
    </w:p>
    <w:p>
      <w:pPr>
        <w:pStyle w:val="Textprost"/>
        <w:rPr/>
      </w:pPr>
      <w:r>
        <w:rPr/>
        <w:t>Úřad považoval za účelem dosažení cíle šetření, tj. bez důvodných pochybností prověřit stav a fungování soutěžních podmínek ve zkoumané oblasti, za zcela nezbytné znát jednotlivé cenové záznamy (tzv. mikro data). Jedině tak totiž může reálně vyhodnotit chování a</w:t>
      </w:r>
      <w:r>
        <w:rPr>
          <w:b/>
        </w:rPr>
        <w:t xml:space="preserve"> </w:t>
      </w:r>
      <w:r>
        <w:rPr/>
        <w:t>rozhodování subjektů na poptávkové i nabídkové straně v souvislosti s cenovými strategiemi soutěžitelů. Pro splnění sledovaného cíle a následného provedení nezbytných analýz bylo třeba sestavit takovou tabulku údajů, která by sledovala individuální subjekty na poptávkové straně po dostatečně dlouhou dobu, tzv. národní transakční tabulku.</w:t>
      </w:r>
      <w:r>
        <w:rPr>
          <w:rStyle w:val="FootnoteReference"/>
          <w:vertAlign w:val="superscript"/>
        </w:rPr>
        <w:footnoteReference w:id="71"/>
      </w:r>
      <w:r>
        <w:rPr/>
        <w:t xml:space="preserve"> Úřad si byl přitom vědom, že ji lze sestavit pouze za situace, kdy je možné unikátním identifikátorem spojit oddělené tabulky údajů jednotlivých soutěžitelů.</w:t>
      </w:r>
    </w:p>
    <w:p>
      <w:pPr>
        <w:pStyle w:val="Textprost"/>
        <w:rPr/>
      </w:pPr>
      <w:r>
        <w:rPr/>
        <w:t>V kontextu tohoto sektorového šetření se jako unikátní identifikátor nabízelo telefonní číslo, které zároveň představuje nejméně invazivní</w:t>
      </w:r>
      <w:r>
        <w:rPr>
          <w:rStyle w:val="FootnoteReference"/>
          <w:vertAlign w:val="superscript"/>
        </w:rPr>
        <w:footnoteReference w:id="72"/>
      </w:r>
      <w:r>
        <w:rPr/>
        <w:t xml:space="preserve"> a zatěžující</w:t>
      </w:r>
      <w:r>
        <w:rPr>
          <w:rStyle w:val="FootnoteReference"/>
          <w:vertAlign w:val="superscript"/>
        </w:rPr>
        <w:footnoteReference w:id="73"/>
      </w:r>
      <w:r>
        <w:rPr/>
        <w:t xml:space="preserve"> unikátní identifikátor. Národní transakční tabulku bylo dále zapotřebí doplnit o údaj přechodů mezi jednotlivými segmenty firem a domácností. Úřad k tomu doplňuje, že takto sestavená národní transakční tabulka přirozeně řeší příchody na trh (nová čísla</w:t>
      </w:r>
      <w:r>
        <w:rPr>
          <w:rStyle w:val="FootnoteReference"/>
          <w:vertAlign w:val="superscript"/>
        </w:rPr>
        <w:footnoteReference w:id="74"/>
      </w:r>
      <w:r>
        <w:rPr/>
        <w:t>) i odchody z trhu (ukončená čísla</w:t>
      </w:r>
      <w:r>
        <w:rPr>
          <w:rStyle w:val="FootnoteReference"/>
          <w:vertAlign w:val="superscript"/>
        </w:rPr>
        <w:footnoteReference w:id="75"/>
      </w:r>
      <w:r>
        <w:rPr/>
        <w:t>).</w:t>
      </w:r>
    </w:p>
    <w:p>
      <w:pPr>
        <w:pStyle w:val="Textprost"/>
        <w:rPr/>
      </w:pPr>
      <w:r>
        <w:rPr/>
        <w:t>Úřad při určování rozsahu vyžádaných mikro dat vycházel ze skutečnosti, že soutěžní úřady v EU</w:t>
      </w:r>
      <w:r>
        <w:rPr>
          <w:rStyle w:val="FootnoteReference"/>
          <w:vertAlign w:val="superscript"/>
        </w:rPr>
        <w:footnoteReference w:id="76"/>
      </w:r>
      <w:r>
        <w:rPr/>
        <w:t>, Evropská komise</w:t>
      </w:r>
      <w:r>
        <w:rPr>
          <w:rStyle w:val="FootnoteReference"/>
          <w:vertAlign w:val="superscript"/>
        </w:rPr>
        <w:footnoteReference w:id="77"/>
      </w:r>
      <w:r>
        <w:rPr/>
        <w:t xml:space="preserve"> i Úřad</w:t>
      </w:r>
      <w:r>
        <w:rPr>
          <w:rStyle w:val="FootnoteReference"/>
          <w:vertAlign w:val="superscript"/>
        </w:rPr>
        <w:footnoteReference w:id="78"/>
      </w:r>
      <w:r>
        <w:rPr/>
        <w:t xml:space="preserve"> běžně pracují s tímto typem dat, stejně jako odborná ekonomická či soutěžní literatura</w:t>
      </w:r>
      <w:r>
        <w:rPr>
          <w:rStyle w:val="FootnoteReference"/>
          <w:vertAlign w:val="superscript"/>
        </w:rPr>
        <w:footnoteReference w:id="79"/>
      </w:r>
      <w:r>
        <w:rPr/>
        <w:t xml:space="preserve"> a rovněž soutěžitelé sami.</w:t>
      </w:r>
      <w:r>
        <w:rPr>
          <w:rStyle w:val="FootnoteReference"/>
        </w:rPr>
        <w:footnoteReference w:id="80"/>
      </w:r>
    </w:p>
    <w:p>
      <w:pPr>
        <w:pStyle w:val="Textprost"/>
        <w:rPr/>
      </w:pPr>
      <w:r>
        <w:rPr/>
        <w:t>Takový přístup má nezpochybnitelné výhody jako:</w:t>
      </w:r>
    </w:p>
    <w:p>
      <w:pPr>
        <w:pStyle w:val="Textslovan"/>
        <w:numPr>
          <w:ilvl w:val="0"/>
          <w:numId w:val="42"/>
        </w:numPr>
        <w:ind w:hanging="357" w:left="453" w:right="0"/>
        <w:rPr/>
      </w:pPr>
      <w:r>
        <w:rPr>
          <w:b/>
          <w:bCs/>
        </w:rPr>
        <w:t>Nejméně zatěžující</w:t>
      </w:r>
      <w:r>
        <w:rPr/>
        <w:t xml:space="preserve"> pro soutěžitele, neboť veškerá práce spojená s přípravou dat k analýzám je přenesena na soutěžní úřad. Soutěžitelé sami nemusí identifikovat a vybírat subsety dat, provádět jejich kategorizaci, agregaci nebo čištění.</w:t>
      </w:r>
    </w:p>
    <w:p>
      <w:pPr>
        <w:pStyle w:val="Textslovan"/>
        <w:numPr>
          <w:ilvl w:val="0"/>
          <w:numId w:val="8"/>
        </w:numPr>
        <w:ind w:hanging="357" w:left="456" w:right="0"/>
        <w:rPr/>
      </w:pPr>
      <w:r>
        <w:rPr/>
        <w:t xml:space="preserve">O výsledcích nemohou být </w:t>
      </w:r>
      <w:r>
        <w:rPr>
          <w:b/>
          <w:bCs/>
        </w:rPr>
        <w:t>důvodné pochybnosti</w:t>
      </w:r>
      <w:r>
        <w:rPr/>
        <w:t>, neboť jsou dosaženy na datech nejnižší relevantní granulace a objektivně ověřeny na dalších agregovaných úrovních dle charakteru šetření</w:t>
      </w:r>
      <w:r>
        <w:rPr>
          <w:rStyle w:val="FootnoteReference"/>
          <w:vertAlign w:val="superscript"/>
        </w:rPr>
        <w:footnoteReference w:id="81"/>
      </w:r>
      <w:r>
        <w:rPr/>
        <w:t>.</w:t>
      </w:r>
    </w:p>
    <w:p>
      <w:pPr>
        <w:pStyle w:val="Textslovan"/>
        <w:numPr>
          <w:ilvl w:val="0"/>
          <w:numId w:val="8"/>
        </w:numPr>
        <w:ind w:hanging="357" w:left="456" w:right="0"/>
        <w:rPr/>
      </w:pPr>
      <w:r>
        <w:rPr>
          <w:b/>
          <w:bCs/>
        </w:rPr>
        <w:t>Odstraňuje dodatečnou zátěž</w:t>
      </w:r>
      <w:r>
        <w:rPr/>
        <w:t xml:space="preserve"> v podobě dožádání jinak strukturovaných nebo agregovaných dat po soutěžitelích v případech, kdy se získaná data ukazují jako nevhodná pro zamýšlenou ekonometrickou analýzu. Jinými slovy v případě problémů s jedním způsobem odhadu může soutěžní úřad aplikovat jinou vhodnější metodu,</w:t>
      </w:r>
      <w:r>
        <w:rPr>
          <w:rStyle w:val="FootnoteReference"/>
          <w:vertAlign w:val="superscript"/>
        </w:rPr>
        <w:footnoteReference w:id="82"/>
      </w:r>
      <w:r>
        <w:rPr/>
        <w:t xml:space="preserve"> aniž by dále zatěžoval soutěžitele.</w:t>
      </w:r>
    </w:p>
    <w:p>
      <w:pPr>
        <w:pStyle w:val="Textslovan"/>
        <w:numPr>
          <w:ilvl w:val="0"/>
          <w:numId w:val="8"/>
        </w:numPr>
        <w:ind w:hanging="357" w:left="456" w:right="0"/>
        <w:rPr/>
      </w:pPr>
      <w:r>
        <w:rPr>
          <w:b/>
          <w:bCs/>
        </w:rPr>
        <w:t>Zjednodušuje</w:t>
      </w:r>
      <w:r>
        <w:rPr/>
        <w:t xml:space="preserve"> využití nových metod analýzy nebo </w:t>
      </w:r>
      <w:r>
        <w:rPr>
          <w:b/>
          <w:bCs/>
        </w:rPr>
        <w:t>ověření dodatečných skutečností</w:t>
      </w:r>
      <w:r>
        <w:rPr/>
        <w:t>, které vyvstaly v průběhu šetření, aniž by soutěžní úřad musel opětovně dožádávat jiná nebo další data. Snižuje tedy informační nevýhodu, ve které se soutěžní úřady přirozeně nacházejí.</w:t>
      </w:r>
    </w:p>
    <w:p>
      <w:pPr>
        <w:pStyle w:val="Textslovan"/>
        <w:numPr>
          <w:ilvl w:val="0"/>
          <w:numId w:val="8"/>
        </w:numPr>
        <w:ind w:hanging="357" w:left="456" w:right="0"/>
        <w:rPr/>
      </w:pPr>
      <w:r>
        <w:rPr/>
        <w:t xml:space="preserve">Výsledky takových analýz jsou </w:t>
      </w:r>
      <w:r>
        <w:rPr>
          <w:b/>
          <w:bCs/>
        </w:rPr>
        <w:t>úplné</w:t>
      </w:r>
      <w:r>
        <w:rPr/>
        <w:t>, neboť jsou zjištěny na úplném datovém podkladu, a tedy odráží nejlépe skutečný stav a fungování hospodářské soutěže.</w:t>
      </w:r>
    </w:p>
    <w:p>
      <w:pPr>
        <w:pStyle w:val="Textslovan"/>
        <w:numPr>
          <w:ilvl w:val="0"/>
          <w:numId w:val="8"/>
        </w:numPr>
        <w:ind w:hanging="357" w:left="456" w:right="0"/>
        <w:rPr/>
      </w:pPr>
      <w:r>
        <w:rPr>
          <w:b/>
          <w:bCs/>
        </w:rPr>
        <w:t>Minimalizuje chybovost a nedorozumění</w:t>
      </w:r>
      <w:r>
        <w:rPr/>
        <w:t xml:space="preserve"> na straně soutěžitelů, neboť tito poskytují pouze kopie údajů, kterými disponují, a ve většině případů s nimi běžně pracují k provádění svých vlastních obchodních, finančních a/nebo ekonomických analýz, a to zejména pokud mají zřízena vlastní data-analytická oddělení a útvary – jako v případě tohoto sektorového šetření.</w:t>
      </w:r>
    </w:p>
    <w:p>
      <w:pPr>
        <w:pStyle w:val="Textslovan"/>
        <w:numPr>
          <w:ilvl w:val="0"/>
          <w:numId w:val="8"/>
        </w:numPr>
        <w:ind w:hanging="357" w:left="456" w:right="0"/>
        <w:rPr/>
      </w:pPr>
      <w:r>
        <w:rPr>
          <w:b/>
          <w:bCs/>
        </w:rPr>
        <w:t>I malí soutěžitelé jsou schopni poskytnout data ze svých systémů</w:t>
      </w:r>
      <w:r>
        <w:rPr/>
        <w:t>, přičemž by jejich dodatečné zpracování nebo úprava dle požadavků soutěžního úřadu mohlo významně omezit nebo narušit jejich interní podnikové procesy v důsledku vyhovění vyžádání soutěžního úřadu.</w:t>
      </w:r>
    </w:p>
    <w:p>
      <w:pPr>
        <w:pStyle w:val="Textslovan"/>
        <w:numPr>
          <w:ilvl w:val="0"/>
          <w:numId w:val="8"/>
        </w:numPr>
        <w:ind w:hanging="357" w:left="456" w:right="0"/>
        <w:rPr/>
      </w:pPr>
      <w:r>
        <w:rPr/>
        <w:t xml:space="preserve">V neposlední řadě, a to zejména v případě sektorových šetření, zveřejněná zjištění a závěry učiněná na takových datech platná pro celý trh nebo sektor přispívají ke </w:t>
      </w:r>
      <w:r>
        <w:rPr>
          <w:b/>
          <w:bCs/>
        </w:rPr>
        <w:t>snížení informační asymetrie mezi konkurujícími si subjekty</w:t>
      </w:r>
      <w:r>
        <w:rPr/>
        <w:t>, kdy zejména malí soutěžitelé nedisponující vlastním data-analytickým útvarem jsou v konkurenční nevýhodě vůči typicky větším subjektům, které nejenže jsou často schopny extrahovat např. obchodně relevantní informace z vlastní zákaznické báze, ale mohou takové informace následně monetizovat, což menší subjekty nemohou, neboť těmito informacemi samy nedisponují nebo je nepřesně aproximují z vyjeveného chování konkurentů.</w:t>
      </w:r>
    </w:p>
    <w:p>
      <w:pPr>
        <w:pStyle w:val="Textprost"/>
        <w:rPr/>
      </w:pPr>
      <w:r>
        <w:rPr/>
        <w:t>Tento přístup má však i své nevýhody:</w:t>
      </w:r>
    </w:p>
    <w:p>
      <w:pPr>
        <w:pStyle w:val="Textslovan"/>
        <w:numPr>
          <w:ilvl w:val="0"/>
          <w:numId w:val="43"/>
        </w:numPr>
        <w:ind w:hanging="357" w:left="453" w:right="0"/>
        <w:rPr/>
      </w:pPr>
      <w:r>
        <w:rPr/>
        <w:t>Soutěžní úřad si musí poradit s typicky větším balíkem dat,</w:t>
      </w:r>
      <w:r>
        <w:rPr>
          <w:rStyle w:val="FootnoteReference"/>
          <w:vertAlign w:val="superscript"/>
        </w:rPr>
        <w:footnoteReference w:id="83"/>
      </w:r>
      <w:r>
        <w:rPr/>
        <w:t xml:space="preserve"> který musí k analýzám připravit.</w:t>
      </w:r>
      <w:commentRangeStart w:id="10"/>
      <w:r>
        <w:rPr>
          <w:rStyle w:val="FootnoteReference"/>
          <w:vertAlign w:val="superscript"/>
        </w:rPr>
        <w:footnoteReference w:id="84"/>
      </w:r>
      <w:commentRangeEnd w:id="10"/>
      <w:r>
        <w:commentReference w:id="10"/>
      </w:r>
      <w:r>
        <w:rPr>
          <w:vertAlign w:val="superscript"/>
        </w:rPr>
      </w:r>
    </w:p>
    <w:p>
      <w:pPr>
        <w:pStyle w:val="Textslovan"/>
        <w:numPr>
          <w:ilvl w:val="0"/>
          <w:numId w:val="8"/>
        </w:numPr>
        <w:ind w:hanging="357" w:left="456" w:right="0"/>
        <w:rPr/>
      </w:pPr>
      <w:r>
        <w:rPr/>
        <w:t>Šetření v takovém případě trvají zpravidla déle, neboť samotná příprava dat k analýzám typicky trvá měsíce.</w:t>
      </w:r>
    </w:p>
    <w:p>
      <w:pPr>
        <w:pStyle w:val="Textslovan"/>
        <w:numPr>
          <w:ilvl w:val="0"/>
          <w:numId w:val="8"/>
        </w:numPr>
        <w:ind w:hanging="357" w:left="456" w:right="0"/>
        <w:rPr/>
      </w:pPr>
      <w:r>
        <w:rPr/>
        <w:t>Datasety jednotlivých soutěžitelů nemusí být mezi sebou kompatibilní v důsledku různých označení směňovaných statků.</w:t>
      </w:r>
      <w:r>
        <w:rPr>
          <w:rStyle w:val="FootnoteReference"/>
          <w:vertAlign w:val="superscript"/>
        </w:rPr>
        <w:footnoteReference w:id="85"/>
      </w:r>
    </w:p>
    <w:p>
      <w:pPr>
        <w:pStyle w:val="Textslovan"/>
        <w:numPr>
          <w:ilvl w:val="0"/>
          <w:numId w:val="8"/>
        </w:numPr>
        <w:ind w:hanging="357" w:left="456" w:right="0"/>
        <w:rPr/>
      </w:pPr>
      <w:r>
        <w:rPr/>
        <w:t>Soutěžitelé tento přístup soutěžních úřadů typicky spíše nepodporují, neboť zcela „odkrývá karty“, a je ve svém důsledku často doprovázen dodatečnými personálními náklady na straně soutěžních úřadů</w:t>
      </w:r>
      <w:r>
        <w:rPr>
          <w:rStyle w:val="FootnoteReference"/>
          <w:vertAlign w:val="superscript"/>
        </w:rPr>
        <w:footnoteReference w:id="86"/>
      </w:r>
      <w:r>
        <w:rPr/>
        <w:t xml:space="preserve"> indukovanými snahou soutěžitelů vyhnout se za každou cenu poskytnutí mikro dat.</w:t>
      </w:r>
      <w:r>
        <w:rPr>
          <w:rStyle w:val="FootnoteReference"/>
          <w:vertAlign w:val="superscript"/>
        </w:rPr>
        <w:footnoteReference w:id="87"/>
      </w:r>
    </w:p>
    <w:p>
      <w:pPr>
        <w:pStyle w:val="Textprost"/>
        <w:rPr/>
      </w:pPr>
      <w:r>
        <w:rPr/>
        <w:t>Šetření za pomocí mikro dat je zcela běžným a standardním nástrojem soutěžních úřadů, u kterého jsou jeho výhody na straně soutěžitelů nezpochybnitelné. Transakční záznamy na úrovni jednotlivých tržních subjektů jsou tedy nezbytné pro dosažení účelu tohoto sektorového šetření, jak je uvedeno výše, a zároveň by se Úřad žádostí o mikro data nijak nevymykal z běžné praxe svojí i evropské.</w:t>
      </w:r>
      <w:commentRangeStart w:id="11"/>
      <w:r>
        <w:rPr>
          <w:rStyle w:val="FootnoteReference"/>
        </w:rPr>
        <w:footnoteReference w:id="88"/>
      </w:r>
      <w:commentRangeEnd w:id="11"/>
      <w:r>
        <w:commentReference w:id="11"/>
      </w:r>
      <w:r>
        <w:rPr/>
      </w:r>
    </w:p>
    <w:p>
      <w:pPr>
        <w:pStyle w:val="Textprost"/>
        <w:rPr/>
      </w:pPr>
      <w:r>
        <w:rPr/>
        <w:t>Úřad v rámci šetření zamýšlel pracovat s externími zdroji – údaji získanými od oslovených subjektů, údaji poskytnutými ČTÚ a veřejně dostupnými údaji, které musel Úřad sestavit k zamýšleným analýzám. Úřad od oslovených subjektů zamýšlel vyžadovat zejména tyto informace za zkoumané období:</w:t>
      </w:r>
    </w:p>
    <w:p>
      <w:pPr>
        <w:pStyle w:val="Textslovan"/>
        <w:numPr>
          <w:ilvl w:val="0"/>
          <w:numId w:val="44"/>
        </w:numPr>
        <w:ind w:hanging="357" w:left="453" w:right="0"/>
        <w:rPr/>
      </w:pPr>
      <w:r>
        <w:rPr/>
        <w:t>transakční a/nebo fakturační data jednotlivých zákazníků a spotřebitelů,</w:t>
      </w:r>
    </w:p>
    <w:p>
      <w:pPr>
        <w:pStyle w:val="Textslovan"/>
        <w:numPr>
          <w:ilvl w:val="0"/>
          <w:numId w:val="8"/>
        </w:numPr>
        <w:ind w:hanging="357" w:left="456" w:right="0"/>
        <w:rPr/>
      </w:pPr>
      <w:r>
        <w:rPr/>
        <w:t>ceníky,</w:t>
      </w:r>
    </w:p>
    <w:p>
      <w:pPr>
        <w:pStyle w:val="Textslovan"/>
        <w:numPr>
          <w:ilvl w:val="0"/>
          <w:numId w:val="8"/>
        </w:numPr>
        <w:ind w:hanging="357" w:left="456" w:right="0"/>
        <w:rPr/>
      </w:pPr>
      <w:r>
        <w:rPr/>
        <w:t>veřejné a neveřejné retenční a akviziční nabídky poskytované operátory,</w:t>
      </w:r>
    </w:p>
    <w:p>
      <w:pPr>
        <w:pStyle w:val="Textslovan"/>
        <w:numPr>
          <w:ilvl w:val="0"/>
          <w:numId w:val="8"/>
        </w:numPr>
        <w:ind w:hanging="357" w:left="456" w:right="0"/>
        <w:rPr/>
      </w:pPr>
      <w:r>
        <w:rPr/>
        <w:t xml:space="preserve">zákaznická a slevová schémata uplatňovaná operátory a </w:t>
      </w:r>
    </w:p>
    <w:p>
      <w:pPr>
        <w:pStyle w:val="Textslovan"/>
        <w:numPr>
          <w:ilvl w:val="0"/>
          <w:numId w:val="8"/>
        </w:numPr>
        <w:ind w:hanging="357" w:left="456" w:right="0"/>
        <w:rPr/>
      </w:pPr>
      <w:r>
        <w:rPr/>
        <w:t>účetní údaje.</w:t>
      </w:r>
    </w:p>
    <w:p>
      <w:pPr>
        <w:pStyle w:val="Textprost"/>
        <w:rPr/>
      </w:pPr>
      <w:r>
        <w:rPr/>
        <w:t>Konkrétně Úřad vyžádal od operátorů informace uvedené v přílohách.</w:t>
      </w:r>
    </w:p>
    <w:p>
      <w:pPr>
        <w:pStyle w:val="Textprost"/>
        <w:rPr/>
      </w:pPr>
      <w:r>
        <w:rPr/>
        <w:t>V rámci šetření Úřad před jeho zahájením předpokládal, že využije výhradně kvantitativní metody analýzy např. při:</w:t>
      </w:r>
    </w:p>
    <w:p>
      <w:pPr>
        <w:pStyle w:val="Textslovan"/>
        <w:numPr>
          <w:ilvl w:val="0"/>
          <w:numId w:val="45"/>
        </w:numPr>
        <w:ind w:hanging="357" w:left="453" w:right="0"/>
        <w:rPr/>
      </w:pPr>
      <w:r>
        <w:rPr/>
        <w:t>modelování chování spotřebitelů,</w:t>
      </w:r>
    </w:p>
    <w:p>
      <w:pPr>
        <w:pStyle w:val="Textslovan"/>
        <w:numPr>
          <w:ilvl w:val="0"/>
          <w:numId w:val="8"/>
        </w:numPr>
        <w:ind w:hanging="357" w:left="456" w:right="0"/>
        <w:rPr/>
      </w:pPr>
      <w:r>
        <w:rPr/>
        <w:t>sestavení poptávkového systému relevantního trhu nebo trhů,</w:t>
      </w:r>
    </w:p>
    <w:p>
      <w:pPr>
        <w:pStyle w:val="Textslovan"/>
        <w:numPr>
          <w:ilvl w:val="0"/>
          <w:numId w:val="8"/>
        </w:numPr>
        <w:ind w:hanging="357" w:left="456" w:right="0"/>
        <w:rPr/>
      </w:pPr>
      <w:r>
        <w:rPr/>
        <w:t>odhadování vlivu výše uvedených efektů na rozhodování spotřebitelů,</w:t>
      </w:r>
    </w:p>
    <w:p>
      <w:pPr>
        <w:pStyle w:val="Textslovan"/>
        <w:numPr>
          <w:ilvl w:val="0"/>
          <w:numId w:val="8"/>
        </w:numPr>
        <w:ind w:hanging="357" w:left="456" w:right="0"/>
        <w:rPr/>
      </w:pPr>
      <w:r>
        <w:rPr/>
        <w:t>odhadu konkurenční rovnováhy a konkurenčních cen a přebytku spotřebitelů,</w:t>
      </w:r>
    </w:p>
    <w:p>
      <w:pPr>
        <w:pStyle w:val="Textslovan"/>
        <w:numPr>
          <w:ilvl w:val="0"/>
          <w:numId w:val="8"/>
        </w:numPr>
        <w:ind w:hanging="357" w:left="456" w:right="0"/>
        <w:rPr/>
      </w:pPr>
      <w:r>
        <w:rPr/>
        <w:t>výpočtu případné cenové excese nebo cenové diskriminace nebo</w:t>
      </w:r>
    </w:p>
    <w:p>
      <w:pPr>
        <w:pStyle w:val="Textslovan"/>
        <w:numPr>
          <w:ilvl w:val="0"/>
          <w:numId w:val="8"/>
        </w:numPr>
        <w:ind w:hanging="357" w:left="456" w:right="0"/>
        <w:rPr/>
      </w:pPr>
      <w:r>
        <w:rPr/>
        <w:t>prověření možné tacitní koluze.</w:t>
      </w:r>
    </w:p>
    <w:p>
      <w:pPr>
        <w:pStyle w:val="Textprost"/>
        <w:rPr/>
      </w:pPr>
      <w:r>
        <w:rPr/>
        <w:t>Úřad nepředpokládal využití kvalitativních metod analýzy.</w:t>
      </w:r>
    </w:p>
    <w:p>
      <w:pPr>
        <w:pStyle w:val="Textprost"/>
        <w:rPr/>
      </w:pPr>
      <w:r>
        <w:rPr/>
        <w:t xml:space="preserve">Toto šetření bylo zamýšleno jako zaměřené na poskytování služeb mobilních elektronických komunikací, a to zejména hlasových, textových a datových, ve formě ostatních telekomunikačních činností (CZ NACE 6190) s důrazem na cenovou strategii soutěžitelů skrytou před tržními subjekty, tzv. retenční, akviziční a jiné neveřejné nabídky. S ohledem na vymezený objekt zkoumání, považoval Úřad toto sektorové šetření za tzv. </w:t>
      </w:r>
      <w:r>
        <w:rPr>
          <w:b/>
        </w:rPr>
        <w:t>úzce zaměřené</w:t>
      </w:r>
      <w:r>
        <w:rPr/>
        <w:t>.</w:t>
      </w:r>
    </w:p>
    <w:p>
      <w:pPr>
        <w:pStyle w:val="Textprost"/>
        <w:rPr/>
      </w:pPr>
      <w:r>
        <w:rPr/>
        <w:t>Šetření se zaměřilo konkrétně pouze na cenové strategie jednotlivých mobilních operátorů a jejich vliv na efektivní fungování hospodářské soutěže na dotčeném trhu nebo trzích, a to včetně zákaznických, veřejných, neveřejných nebo slevových schémat a programů plnohodnotných i virtuálních operátorů mobilních sítí.</w:t>
      </w:r>
    </w:p>
    <w:p>
      <w:pPr>
        <w:pStyle w:val="Heading3"/>
        <w:ind w:hanging="1134" w:left="142" w:right="284"/>
        <w:rPr/>
      </w:pPr>
      <w:bookmarkStart w:id="56" w:name="_Toc229057803"/>
      <w:r>
        <w:rPr/>
        <w:t>Časový rámec /</w:t>
        <w:br/>
      </w:r>
      <w:r>
        <w:rPr>
          <w:i/>
          <w:sz w:val="20"/>
          <w:lang w:val="en-GB"/>
        </w:rPr>
        <w:t>Time Frame</w:t>
      </w:r>
      <w:bookmarkEnd w:id="56"/>
    </w:p>
    <w:p>
      <w:pPr>
        <w:pStyle w:val="Textprost"/>
        <w:rPr/>
      </w:pPr>
      <w:r>
        <w:rPr/>
        <w:t xml:space="preserve">Úřad při konstrukci tohoto sektorového šetření pečlivě dbal zásady minimalizace nejen u přípravy vyžádaných podkladů a informací (v oblasti dat zamýšlel vyžádat </w:t>
      </w:r>
      <w:r>
        <w:rPr>
          <w:i/>
          <w:iCs/>
        </w:rPr>
        <w:t>de facto</w:t>
      </w:r>
      <w:r>
        <w:rPr/>
        <w:t xml:space="preserve"> jen omezené exporty z databází, kterými soutěžitelé disponují), ale i při stanovení šetřeného období, kdy si byl Úřad vědom 10leté povinnosti soutěžitelů uchovávat daňové doklady, o jejichž údaje měl především zájem. Tyto podklady však nevyžádal v maximální možné míře, ale určil objektivně nejkratší nezbytný časový rozsah vyžádaných podkladů, a to následujícím způsobem:</w:t>
      </w:r>
    </w:p>
    <w:p>
      <w:pPr>
        <w:pStyle w:val="Textslovan"/>
        <w:numPr>
          <w:ilvl w:val="0"/>
          <w:numId w:val="46"/>
        </w:numPr>
        <w:ind w:hanging="357" w:left="453" w:right="0"/>
        <w:rPr/>
      </w:pPr>
      <w:r>
        <w:rPr/>
        <w:t>Úřad vyšel z běžné délky smluvního období mobilních tarifů, která je dva roky.</w:t>
      </w:r>
    </w:p>
    <w:p>
      <w:pPr>
        <w:pStyle w:val="Textslovan"/>
        <w:numPr>
          <w:ilvl w:val="0"/>
          <w:numId w:val="8"/>
        </w:numPr>
        <w:ind w:hanging="357" w:left="456" w:right="0"/>
        <w:rPr/>
      </w:pPr>
      <w:r>
        <w:rPr/>
        <w:t xml:space="preserve">Aby mohl Úřad řádně prošetřit možné působení </w:t>
      </w:r>
      <w:r>
        <w:rPr>
          <w:i/>
          <w:iCs/>
        </w:rPr>
        <w:t>lock-in</w:t>
      </w:r>
      <w:r>
        <w:rPr/>
        <w:t xml:space="preserve"> efektu a chování a rozhodování spotřebitelů, a tedy dopady cenových strategií soutěžitelů,</w:t>
      </w:r>
      <w:r>
        <w:rPr>
          <w:rStyle w:val="FootnoteReference"/>
        </w:rPr>
        <w:footnoteReference w:id="89"/>
      </w:r>
      <w:r>
        <w:rPr/>
        <w:t xml:space="preserve"> muselo být součástí analyzovaných dat dostatečné množství příležitostí pro spotřebitele změnit poskytovatele mobilních služeb.</w:t>
      </w:r>
      <w:r>
        <w:rPr>
          <w:rStyle w:val="FootnoteReference"/>
        </w:rPr>
        <w:footnoteReference w:id="90"/>
      </w:r>
      <w:r>
        <w:rPr/>
        <w:t xml:space="preserve"> Úřad za dostatečné množství takových příležitostí považuje tři příležitosti ke změně poskytovatele služeb nebo uzavření jiné tarifní smlouvy se svým současným poskytovatelem.</w:t>
      </w:r>
      <w:r>
        <w:rPr>
          <w:rStyle w:val="FootnoteReference"/>
        </w:rPr>
        <w:footnoteReference w:id="91"/>
      </w:r>
    </w:p>
    <w:p>
      <w:pPr>
        <w:pStyle w:val="Textslovan"/>
        <w:numPr>
          <w:ilvl w:val="0"/>
          <w:numId w:val="8"/>
        </w:numPr>
        <w:ind w:hanging="357" w:left="456" w:right="0"/>
        <w:rPr/>
      </w:pPr>
      <w:r>
        <w:rPr/>
        <w:t>Úřad v rámci svého správního uvážení určil šestileté období jako nejkratší možné období vhodné pro provedení analýz, o jejichž výsledcích by nebyly důvodné pochybnosti.</w:t>
      </w:r>
    </w:p>
    <w:p>
      <w:pPr>
        <w:pStyle w:val="Textslovan"/>
        <w:numPr>
          <w:ilvl w:val="0"/>
          <w:numId w:val="8"/>
        </w:numPr>
        <w:ind w:hanging="357" w:left="456" w:right="0"/>
        <w:rPr/>
      </w:pPr>
      <w:r>
        <w:rPr/>
        <w:t>Za standardních podmínek by tedy Úřad určil jako nejkratší možné období od 1. 1. 2019.</w:t>
      </w:r>
      <w:r>
        <w:rPr>
          <w:rStyle w:val="FootnoteReference"/>
        </w:rPr>
        <w:footnoteReference w:id="92"/>
      </w:r>
    </w:p>
    <w:p>
      <w:pPr>
        <w:pStyle w:val="Textslovan"/>
        <w:numPr>
          <w:ilvl w:val="0"/>
          <w:numId w:val="8"/>
        </w:numPr>
        <w:ind w:hanging="357" w:left="456" w:right="0"/>
        <w:rPr/>
      </w:pPr>
      <w:r>
        <w:rPr/>
        <w:t>Úřad však musel zohlednit i hospodářské reálie, které se šetřeného sektoru nejvíce dotýkají.</w:t>
      </w:r>
      <w:r>
        <w:rPr>
          <w:rStyle w:val="FootnoteReference"/>
        </w:rPr>
        <w:footnoteReference w:id="93"/>
      </w:r>
      <w:r>
        <w:rPr/>
        <w:t xml:space="preserve"> V případě mobilních telekomunikačních služeb lze rozumně předpokládat, že covidové období (od začátku roku 2020 do března 2022) pro tento sektor představovalo zcela bezprecedentní a nestandardní šok.</w:t>
      </w:r>
      <w:r>
        <w:rPr>
          <w:rStyle w:val="FootnoteReference"/>
        </w:rPr>
        <w:footnoteReference w:id="94"/>
      </w:r>
    </w:p>
    <w:p>
      <w:pPr>
        <w:pStyle w:val="Textslovan"/>
        <w:numPr>
          <w:ilvl w:val="0"/>
          <w:numId w:val="8"/>
        </w:numPr>
        <w:ind w:hanging="357" w:left="456" w:right="0"/>
        <w:rPr/>
      </w:pPr>
      <w:r>
        <w:rPr/>
        <w:t>Z tohoto důvodu bylo zapotřebí rozšířit období před tímto „šokem“ tak, aby se jeho vliv podařilo dostatečně a uspokojivě oddělit. Úřad tedy před rok 2020 zařadil celý jeden cyklus příležitostí ke smluvní změně, tj. dva roky od 1. 1. 2018 do 31. 12. 2019.</w:t>
      </w:r>
    </w:p>
    <w:p>
      <w:pPr>
        <w:pStyle w:val="Textslovan"/>
        <w:numPr>
          <w:ilvl w:val="0"/>
          <w:numId w:val="8"/>
        </w:numPr>
        <w:ind w:hanging="357" w:left="456" w:right="0"/>
        <w:rPr/>
      </w:pPr>
      <w:r>
        <w:rPr/>
        <w:t>Konec analyzovaného období určuje Úřad kalendářním měsícem kolem dne zahájení dotčeného sektorového šetření. V tomto případě na rozhodný den 31. 10. 2025. Takto může Úřad zpracovávat nejaktuálnější data, která jsou zároveň minimálně zkreslena samotným faktem zahájení dotčeného sektorového šetření.</w:t>
      </w:r>
    </w:p>
    <w:p>
      <w:pPr>
        <w:pStyle w:val="Textprost"/>
        <w:rPr/>
      </w:pPr>
      <w:r>
        <w:rPr/>
        <w:t>Tento metodický postup garantuje, že výsledky provedených analýz budou nezpochybnitelně robustní a zároveň budou odrážet aktuální stav a fungování hospodářské soutěže.</w:t>
      </w:r>
    </w:p>
    <w:p>
      <w:pPr>
        <w:pStyle w:val="Heading2"/>
        <w:ind w:hanging="1135" w:left="142" w:right="284"/>
        <w:rPr/>
      </w:pPr>
      <w:bookmarkStart w:id="57" w:name="_Toc229057804"/>
      <w:r>
        <w:rPr/>
        <w:t>Shrnutí šetřených podezření /</w:t>
        <w:br/>
      </w:r>
      <w:r>
        <w:rPr>
          <w:i/>
          <w:sz w:val="24"/>
          <w:szCs w:val="24"/>
          <w:lang w:val="en-GB"/>
        </w:rPr>
        <w:t>Summary of the Suspicions Under Investigation</w:t>
      </w:r>
      <w:bookmarkEnd w:id="57"/>
    </w:p>
    <w:p>
      <w:pPr>
        <w:pStyle w:val="Textprost"/>
        <w:rPr/>
      </w:pPr>
      <w:r>
        <w:rPr/>
        <w:t>Úřadem zjištěné náznaky před zahájením sektorového šetření tedy naplňovaly odděleně ale i ve svém vzájemném působení znaky možného narušení fungování hospodářské soutěže, které lze vyjádřit kauzální ekonomickou vazbou:</w:t>
      </w:r>
    </w:p>
    <w:p>
      <w:pPr>
        <w:pStyle w:val="Rovnice"/>
        <w:numPr>
          <w:ilvl w:val="0"/>
          <w:numId w:val="10"/>
        </w:numPr>
        <w:ind w:hanging="284" w:left="142" w:right="0"/>
        <w:rPr/>
      </w:pPr>
      <w:r>
        <w:rPr/>
        <w:t xml:space="preserve"> </w:t>
      </w:r>
      <w:r>
        <w:rPr/>
        <w:tab/>
        <w:t>[[% $\uparrow P_\Delta \rightarrow \downarrow f^I\{P_E\} \rightarrow P_0 &gt; P_E \rightarrow \downarrow CS \rightarrow \uparrow \pi$]].</w:t>
      </w:r>
    </w:p>
    <w:p>
      <w:pPr>
        <w:pStyle w:val="Textprost"/>
        <w:rPr/>
      </w:pPr>
      <w:r>
        <w:rPr/>
        <w:t>Jinými slovy rostoucí rozsah cenové diskriminace prvního stupně umožnil soutěžitelům trhy fragmentovat a oslabit v důsledku informační funkci trhu vyjevených cen, což jim umožňuje udržovat tržní ceny ve výši, která je excesivní, a tím pádem přečerpávat přebytek spotřebitele přímo do zisků soutěžitelů.</w:t>
      </w:r>
    </w:p>
    <w:p>
      <w:pPr>
        <w:pStyle w:val="Textprost"/>
        <w:rPr/>
      </w:pPr>
      <w:r>
        <w:rPr/>
        <w:t>Úřad má tedy za to, že v tomto sektorovém šetření bylo od jeho počátku zcela nezbytné a zásadní prověřit tyto ekonomické a na trhu nebo trzích panující podmínky:</w:t>
      </w:r>
    </w:p>
    <w:p>
      <w:pPr>
        <w:pStyle w:val="Textslovan"/>
        <w:numPr>
          <w:ilvl w:val="0"/>
          <w:numId w:val="47"/>
        </w:numPr>
        <w:ind w:hanging="357" w:left="453" w:right="0"/>
        <w:rPr/>
      </w:pPr>
      <w:r>
        <w:rPr/>
        <w:t>Zjistit, zda lze tržní ceny považovat za excesivní.</w:t>
      </w:r>
    </w:p>
    <w:p>
      <w:pPr>
        <w:pStyle w:val="Textslovan"/>
        <w:numPr>
          <w:ilvl w:val="0"/>
          <w:numId w:val="8"/>
        </w:numPr>
        <w:ind w:hanging="357" w:left="456" w:right="0"/>
        <w:rPr/>
      </w:pPr>
      <w:r>
        <w:rPr/>
        <w:t>Zjistit, zda případná cenová excese má objektivní důvody, a tedy prověřit buď možné ziskové zaostávání českých soutěžitelů nebo vyloučit nákladovou excesi.</w:t>
      </w:r>
    </w:p>
    <w:p>
      <w:pPr>
        <w:pStyle w:val="Textslovan"/>
        <w:numPr>
          <w:ilvl w:val="0"/>
          <w:numId w:val="8"/>
        </w:numPr>
        <w:ind w:hanging="357" w:left="456" w:right="0"/>
        <w:rPr/>
      </w:pPr>
      <w:r>
        <w:rPr/>
        <w:t>Zjistit relativní výši cenové mezery vůči vhodnému benchmarku, aby byl určen rozsah informační asymetrie a tím pádem zjištěna míra oslabení informační funkce ceny.</w:t>
      </w:r>
    </w:p>
    <w:p>
      <w:pPr>
        <w:pStyle w:val="Textslovan"/>
        <w:numPr>
          <w:ilvl w:val="0"/>
          <w:numId w:val="8"/>
        </w:numPr>
        <w:ind w:hanging="357" w:left="456" w:right="0"/>
        <w:rPr/>
      </w:pPr>
      <w:r>
        <w:rPr/>
        <w:t>Prověřit mobilitu v zákaznické bázi ve zkoumané oblasti za účelem vyhodnocení možné fragmentace trhů jako důvodu umožňujícího soutěžitelům udržovat monopolní postavení nad svojí zákaznickou bází a tedy umožňující aplikovat cenovou diskriminaci prvního stupně způsobem narušujícím fungování hospodářské soutěže.</w:t>
      </w:r>
    </w:p>
    <w:p>
      <w:pPr>
        <w:pStyle w:val="Textslovan"/>
        <w:numPr>
          <w:ilvl w:val="0"/>
          <w:numId w:val="8"/>
        </w:numPr>
        <w:ind w:hanging="357" w:left="456" w:right="0"/>
        <w:rPr/>
      </w:pPr>
      <w:r>
        <w:rPr/>
        <w:t>Alternativně při dostatečné mobilitě v zákaznické bázi prověřit, zda není retenční a akviziční cenová politika soutěžitelů využívána jako nástroj neutralizující cenové nástroje konkurence, a tím pádem snižující mobilitu v zákaznické bázi a umožňující jednostranně aplikovat excesivní ceny.</w:t>
      </w:r>
    </w:p>
    <w:p>
      <w:pPr>
        <w:pStyle w:val="Textprost"/>
        <w:rPr/>
      </w:pPr>
      <w:r>
        <w:rPr/>
        <w:t>Pokud by se potvrdila výše uvedená ekonomická kauzalita, tak i:</w:t>
      </w:r>
    </w:p>
    <w:p>
      <w:pPr>
        <w:pStyle w:val="Textslovan"/>
        <w:numPr>
          <w:ilvl w:val="0"/>
          <w:numId w:val="8"/>
        </w:numPr>
        <w:ind w:hanging="357" w:left="456" w:right="0"/>
        <w:rPr/>
      </w:pPr>
      <w:r>
        <w:rPr/>
        <w:t>Odhadnout výši takto neoprávněně přečerpaného přebytku spotřebitele za účelem posouzení škodlivosti analýzou zjištěného případného narušení fungování hospodářské soutěže.</w:t>
      </w:r>
    </w:p>
    <w:p>
      <w:pPr>
        <w:pStyle w:val="Textprost"/>
        <w:rPr/>
      </w:pPr>
      <w:r>
        <w:rPr/>
        <w:t>Úřad uvádí, že za identifikovaný objekt sektorového šetření tedy přirozeně považoval cenové strategie jednotlivých operátorů. S ohledem na tento objekt zkoumání Úřad stanovil hlavní výzkumnou otázku šetření následovně:</w:t>
      </w:r>
    </w:p>
    <w:p>
      <w:pPr>
        <w:pStyle w:val="Textprost"/>
        <w:rPr/>
      </w:pPr>
      <w:r>
        <w:rPr/>
        <w:t>„</w:t>
      </w:r>
      <w:r>
        <w:rPr>
          <w:i/>
          <w:iCs/>
        </w:rPr>
        <w:t>Mohou být neceníkové nabídky příčinou trvajícího narušení účinné hospodářské soutěže na trhu/trzích v oblasti mobilních telekomunikačních služeb v České republice?</w:t>
      </w:r>
      <w:r>
        <w:rPr/>
        <w:t>“</w:t>
      </w:r>
    </w:p>
    <w:p>
      <w:pPr>
        <w:pStyle w:val="Textprost"/>
        <w:rPr/>
      </w:pPr>
      <w:r>
        <w:rPr/>
        <w:t>Výzkumné otázce odpovídá i cíl sektorového šetření, kterým bylo identifikovat, zda a jaký vliv mají retenční a neveřejné nabídky mobilních operátorů na fungování účinné hospodářské soutěže na dotčeném trhu nebo trzích v ČR.</w:t>
      </w:r>
    </w:p>
    <w:p>
      <w:pPr>
        <w:pStyle w:val="Textprost"/>
        <w:rPr/>
      </w:pPr>
      <w:r>
        <w:rPr/>
        <w:t>Na výše uvedenou výzkumnou otázku Úřad explicitně navázal podotázkami (a k nim odpovídajícími podcíli), a to zejména:</w:t>
      </w:r>
    </w:p>
    <w:p>
      <w:pPr>
        <w:pStyle w:val="Textslovan"/>
        <w:numPr>
          <w:ilvl w:val="0"/>
          <w:numId w:val="48"/>
        </w:numPr>
        <w:ind w:hanging="357" w:left="453" w:right="0"/>
        <w:rPr/>
      </w:pPr>
      <w:r>
        <w:rPr/>
        <w:t>Jaký vliv mají retenční a neveřejné nabídky mobilních operátorů na chování a rozhodování spotřebitelů?</w:t>
      </w:r>
    </w:p>
    <w:p>
      <w:pPr>
        <w:pStyle w:val="Textslovan"/>
        <w:numPr>
          <w:ilvl w:val="0"/>
          <w:numId w:val="8"/>
        </w:numPr>
        <w:ind w:hanging="357" w:left="456" w:right="0"/>
        <w:rPr/>
      </w:pPr>
      <w:r>
        <w:rPr/>
        <w:t>Jsou retenční a neveřejné nabídky mobilních operátorů způsobilé v kombinaci s balíčkováním služeb zapříčinit fragmentaci dotčeného trhu nebo trhů?</w:t>
      </w:r>
    </w:p>
    <w:p>
      <w:pPr>
        <w:pStyle w:val="Textslovan"/>
        <w:numPr>
          <w:ilvl w:val="0"/>
          <w:numId w:val="8"/>
        </w:numPr>
        <w:ind w:hanging="357" w:left="456" w:right="0"/>
        <w:rPr/>
      </w:pPr>
      <w:r>
        <w:rPr/>
        <w:t xml:space="preserve">Dochází k odčerpávání přebytku spotřebitelů ve formě informační nebo </w:t>
      </w:r>
      <w:r>
        <w:rPr>
          <w:i/>
          <w:iCs/>
        </w:rPr>
        <w:t>lock-in</w:t>
      </w:r>
      <w:r>
        <w:rPr/>
        <w:t xml:space="preserve"> renty nebo </w:t>
      </w:r>
      <w:r>
        <w:rPr>
          <w:i/>
          <w:iCs/>
        </w:rPr>
        <w:t>loyalty penalty</w:t>
      </w:r>
      <w:r>
        <w:rPr/>
        <w:t>?</w:t>
      </w:r>
    </w:p>
    <w:p>
      <w:pPr>
        <w:pStyle w:val="Textslovan"/>
        <w:numPr>
          <w:ilvl w:val="0"/>
          <w:numId w:val="8"/>
        </w:numPr>
        <w:ind w:hanging="357" w:left="456" w:right="0"/>
        <w:rPr/>
      </w:pPr>
      <w:r>
        <w:rPr/>
        <w:t>Pokud došlo k fragmentaci zkoumaného trhu nebo trhů, dochází ke zneužívání dominantního postavení např. účtováním excesivních cen?</w:t>
      </w:r>
    </w:p>
    <w:p>
      <w:pPr>
        <w:pStyle w:val="Textslovan"/>
        <w:numPr>
          <w:ilvl w:val="0"/>
          <w:numId w:val="8"/>
        </w:numPr>
        <w:ind w:hanging="357" w:left="456" w:right="0"/>
        <w:rPr/>
      </w:pPr>
      <w:r>
        <w:rPr/>
        <w:t>Uplatňují soutěžitelé, významní pro fungování dotčených trhů, cenové strategie, které mohou přispívat k uzavírání dotčených trhů nebo skupin spotřebitelů nebo omezovat expanzi konkurentů bez objektivních důvodů zejména k újmě virtuálních mobilních operátorů?</w:t>
      </w:r>
    </w:p>
    <w:p>
      <w:pPr>
        <w:pStyle w:val="Textprost"/>
        <w:rPr/>
      </w:pPr>
      <w:r>
        <w:rPr/>
        <w:t>V závislosti na kvalitě získaných dat dále Úřad usiloval zejména o:</w:t>
      </w:r>
    </w:p>
    <w:p>
      <w:pPr>
        <w:pStyle w:val="Textslovan"/>
        <w:numPr>
          <w:ilvl w:val="0"/>
          <w:numId w:val="8"/>
        </w:numPr>
        <w:ind w:hanging="357" w:left="456" w:right="0"/>
        <w:rPr/>
      </w:pPr>
      <w:r>
        <w:rPr/>
        <w:t>pochopení spotřebitelského chování</w:t>
      </w:r>
      <w:r>
        <w:rPr>
          <w:rStyle w:val="FootnoteReference"/>
        </w:rPr>
        <w:footnoteReference w:id="95"/>
      </w:r>
      <w:r>
        <w:rPr/>
        <w:t xml:space="preserve"> nebo</w:t>
      </w:r>
    </w:p>
    <w:p>
      <w:pPr>
        <w:pStyle w:val="Textslovan"/>
        <w:numPr>
          <w:ilvl w:val="0"/>
          <w:numId w:val="8"/>
        </w:numPr>
        <w:ind w:hanging="357" w:left="456" w:right="0"/>
        <w:rPr/>
      </w:pPr>
      <w:r>
        <w:rPr/>
        <w:t>prozkoumání případných behaviorálních předsudků</w:t>
      </w:r>
      <w:r>
        <w:rPr>
          <w:rStyle w:val="FootnoteReference"/>
        </w:rPr>
        <w:footnoteReference w:id="96"/>
      </w:r>
      <w:r>
        <w:rPr/>
        <w:t>, které by mohly být soutěžiteli (mobilními operátory) bez objektivních důvodů zneužity v jejich prospěch na úkor spotřebitelů.</w:t>
      </w:r>
    </w:p>
    <w:p>
      <w:pPr>
        <w:pStyle w:val="Textprost"/>
        <w:rPr/>
      </w:pPr>
      <w:r>
        <w:rPr/>
        <w:t>Toto sektorové šetření mělo tedy detailně zmapovat vliv, který mohou mít retenční a neveřejné nabídky na řádné fungování hospodářské soutěže na významném trhu nebo trzích v ČR, a to i v kontextu balíčkování služeb. Kromě toho mělo přispět k odpovědi na otázku, zda na vymezeném trhu nebo trzích představují retenční a neveřejné nabídky překážku bránící nalézání alokačně efektivních rovnováh a ve svém důsledku maximalizaci přebytku spotřebitelů, což je samotným účelem fungující hospodářské soutěže.</w:t>
      </w:r>
    </w:p>
    <w:p>
      <w:pPr>
        <w:pStyle w:val="Textprost"/>
        <w:rPr/>
      </w:pPr>
      <w:r>
        <w:rPr/>
      </w:r>
      <w:r>
        <w:br w:type="page"/>
      </w:r>
    </w:p>
    <w:p>
      <w:pPr>
        <w:pStyle w:val="Textprost"/>
        <w:spacing w:before="0" w:after="160"/>
        <w:rPr/>
      </w:pPr>
      <w:r>
        <w:rPr/>
      </w:r>
    </w:p>
    <w:p>
      <w:pPr>
        <w:pStyle w:val="Heading1"/>
        <w:ind w:hanging="1134" w:left="142" w:right="284"/>
        <w:rPr/>
      </w:pPr>
      <w:bookmarkStart w:id="58" w:name="_Toc229057805"/>
      <w:r>
        <w:rPr/>
        <w:t>Postup Úřadu a metodika šetření /</w:t>
        <w:br/>
      </w:r>
      <w:r>
        <w:rPr>
          <w:i/>
          <w:iCs/>
          <w:sz w:val="36"/>
          <w:szCs w:val="36"/>
        </w:rPr>
        <w:t>The Office’s Procedure and the Methodology of the Inquiry</w:t>
      </w:r>
      <w:bookmarkEnd w:id="58"/>
    </w:p>
    <w:tbl>
      <w:tblPr>
        <w:tblStyle w:val="TableGrid"/>
        <w:tblW w:w="906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30"/>
        <w:gridCol w:w="4530"/>
      </w:tblGrid>
      <w:tr>
        <w:trPr/>
        <w:tc>
          <w:tcPr>
            <w:tcW w:w="4530" w:type="dxa"/>
            <w:tcBorders>
              <w:top w:val="nil"/>
              <w:left w:val="nil"/>
              <w:bottom w:val="nil"/>
              <w:right w:val="nil"/>
            </w:tcBorders>
          </w:tcPr>
          <w:p>
            <w:pPr>
              <w:pStyle w:val="Textprost"/>
              <w:widowControl/>
              <w:suppressAutoHyphens w:val="true"/>
              <w:spacing w:before="0" w:after="160"/>
              <w:rPr>
                <w:kern w:val="0"/>
                <w:lang w:val="cs-CZ" w:bidi="ar-SA"/>
              </w:rPr>
            </w:pPr>
            <w:r>
              <w:rPr>
                <w:kern w:val="0"/>
                <w:lang w:val="cs-CZ" w:bidi="ar-SA"/>
              </w:rPr>
              <w:t>Tato kapitola se věnuje postupu Úřadu a metodice provedeného sektorového šetření. Stručně popisuje jednotlivé fáze šetření, včetně způsobu získávání podkladů, jejich následného zpracování a vyhodnocení, jakož i komunikaci s relevantními účastníky trhu. Dále vymezuje metodické přístupy a analytické nástroje, jež Úřad při šetření využil.</w:t>
            </w:r>
          </w:p>
        </w:tc>
        <w:tc>
          <w:tcPr>
            <w:tcW w:w="4530" w:type="dxa"/>
            <w:tcBorders>
              <w:top w:val="nil"/>
              <w:left w:val="nil"/>
              <w:bottom w:val="nil"/>
              <w:right w:val="nil"/>
            </w:tcBorders>
          </w:tcPr>
          <w:p>
            <w:pPr>
              <w:pStyle w:val="TextprostvAJ"/>
              <w:widowControl/>
              <w:suppressAutoHyphens w:val="true"/>
              <w:spacing w:before="0" w:after="160"/>
              <w:rPr>
                <w:kern w:val="0"/>
                <w:lang w:bidi="ar-SA"/>
              </w:rPr>
            </w:pPr>
            <w:r>
              <w:rPr>
                <w:kern w:val="0"/>
                <w:lang w:bidi="ar-SA"/>
              </w:rPr>
              <w:t>This chapter addresses the Office’s approach and the methodology applied in the sector inquiry. It provides an overview of the individual phases of the inquiry, including the collection of information and supporting materials, their subsequent processing and evaluation, as well as communication with relevant market participants. It also sets out the methodological approaches and analytical tools used by the Office during the inquiry.</w:t>
            </w:r>
          </w:p>
        </w:tc>
      </w:tr>
    </w:tbl>
    <w:p>
      <w:pPr>
        <w:pStyle w:val="Heading2"/>
        <w:ind w:hanging="1135" w:left="142" w:right="284"/>
        <w:rPr/>
      </w:pPr>
      <w:bookmarkStart w:id="59" w:name="_Toc229057806"/>
      <w:r>
        <w:rPr/>
        <w:t>Postup Úřadu při sektorovém šetření /</w:t>
        <w:br/>
      </w:r>
      <w:r>
        <w:rPr>
          <w:i/>
          <w:iCs/>
          <w:sz w:val="24"/>
          <w:szCs w:val="24"/>
        </w:rPr>
        <w:t>Procedure of the Office in the Sector Inquiry</w:t>
      </w:r>
      <w:bookmarkEnd w:id="59"/>
    </w:p>
    <w:tbl>
      <w:tblPr>
        <w:tblStyle w:val="TableGrid"/>
        <w:tblW w:w="906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30"/>
        <w:gridCol w:w="4530"/>
      </w:tblGrid>
      <w:tr>
        <w:trPr/>
        <w:tc>
          <w:tcPr>
            <w:tcW w:w="4530" w:type="dxa"/>
            <w:tcBorders>
              <w:top w:val="nil"/>
              <w:left w:val="nil"/>
              <w:bottom w:val="nil"/>
              <w:right w:val="nil"/>
            </w:tcBorders>
          </w:tcPr>
          <w:p>
            <w:pPr>
              <w:pStyle w:val="Textprost"/>
              <w:widowControl/>
              <w:suppressAutoHyphens w:val="true"/>
              <w:rPr>
                <w:kern w:val="0"/>
                <w:lang w:val="cs-CZ" w:bidi="ar-SA"/>
              </w:rPr>
            </w:pPr>
            <w:r>
              <w:rPr>
                <w:kern w:val="0"/>
                <w:lang w:val="cs-CZ" w:bidi="ar-SA"/>
              </w:rPr>
              <w:t>Úřad dne 5. 11. 2025 zahájil sektorové šetření za účelem posouzení soutěžních podmínek existujících v oblasti mobilních telekomunikačních služeb poskytovaných domácnostem v České republice.</w:t>
            </w:r>
            <w:r>
              <w:rPr>
                <w:rStyle w:val="FootnoteReference"/>
                <w:kern w:val="0"/>
                <w:lang w:val="cs-CZ" w:bidi="ar-SA"/>
              </w:rPr>
              <w:footnoteReference w:id="97"/>
            </w:r>
          </w:p>
          <w:p>
            <w:pPr>
              <w:pStyle w:val="Textprost"/>
              <w:widowControl/>
              <w:suppressAutoHyphens w:val="true"/>
              <w:spacing w:before="0" w:after="160"/>
              <w:rPr>
                <w:kern w:val="0"/>
                <w:lang w:val="cs-CZ" w:bidi="ar-SA"/>
              </w:rPr>
            </w:pPr>
            <w:r>
              <w:rPr>
                <w:kern w:val="0"/>
                <w:lang w:val="cs-CZ" w:bidi="ar-SA"/>
              </w:rPr>
              <w:t>Hlavním cílem sektorového šetření bylo primárně prověřit vzájemné konkurenční vztahy mezi operátory, cenové podmínky poskytování mobilních telekomunikačních služeb, tj. volání, SMS a mobilní data, možné vlivy a efekty balíčkování s dalšími zejména telekomunikačními službami a vliv nabídek mimo veřejné ceníky mobilních operátorů, a to období od začátku roku 2018 do 31. 10. 2025.</w:t>
            </w:r>
          </w:p>
        </w:tc>
        <w:tc>
          <w:tcPr>
            <w:tcW w:w="4530" w:type="dxa"/>
            <w:tcBorders>
              <w:top w:val="nil"/>
              <w:left w:val="nil"/>
              <w:bottom w:val="nil"/>
              <w:right w:val="nil"/>
            </w:tcBorders>
          </w:tcPr>
          <w:p>
            <w:pPr>
              <w:pStyle w:val="TextprostvAJ"/>
              <w:widowControl/>
              <w:suppressAutoHyphens w:val="true"/>
              <w:spacing w:before="0" w:after="160"/>
              <w:rPr>
                <w:kern w:val="0"/>
                <w:lang w:bidi="ar-SA"/>
              </w:rPr>
            </w:pPr>
            <w:r>
              <w:rPr>
                <w:kern w:val="0"/>
                <w:lang w:bidi="ar-SA"/>
              </w:rPr>
              <w:t>On 5 November 2025, the Office initiated a sector inquiry into an area of mobile telecommunications services provided to households in the Czech Republic. The Office publicly announced the launch of the sector inquiry on its website on 5 November 2025.</w:t>
            </w:r>
          </w:p>
        </w:tc>
      </w:tr>
    </w:tbl>
    <w:p>
      <w:pPr>
        <w:pStyle w:val="Heading3"/>
        <w:ind w:hanging="1134" w:left="142" w:right="284"/>
        <w:rPr/>
      </w:pPr>
      <w:bookmarkStart w:id="60" w:name="_Toc229057807"/>
      <w:commentRangeStart w:id="12"/>
      <w:commentRangeStart w:id="13"/>
      <w:r>
        <w:rPr/>
        <w:t xml:space="preserve">Vyžádání podkladů a informací </w:t>
      </w:r>
      <w:r>
        <w:rPr/>
      </w:r>
      <w:commentRangeEnd w:id="13"/>
      <w:r>
        <w:commentReference w:id="13"/>
      </w:r>
      <w:r>
        <w:rPr/>
      </w:r>
      <w:commentRangeEnd w:id="12"/>
      <w:r>
        <w:commentReference w:id="12"/>
      </w:r>
      <w:r>
        <w:rPr/>
        <w:t>od full mobilních operátorů /</w:t>
        <w:br/>
      </w:r>
      <w:r>
        <w:rPr>
          <w:lang w:val="en-GB"/>
        </w:rPr>
        <w:t>Request for documents and information from full mobile network operato</w:t>
      </w:r>
      <w:bookmarkEnd w:id="60"/>
      <w:r>
        <w:rPr>
          <w:lang w:val="en-GB"/>
        </w:rPr>
        <w:t>rs</w:t>
      </w:r>
    </w:p>
    <w:p>
      <w:pPr>
        <w:pStyle w:val="Textprost"/>
        <w:rPr/>
      </w:pPr>
      <w:r>
        <w:rPr/>
        <w:t>V první fázi šetření se Úřad obrátil na full mobilní operátory se žádostí o poskytnutí podkladů a informací (dále jen „</w:t>
      </w:r>
      <w:r>
        <w:rPr>
          <w:b/>
          <w:bCs/>
        </w:rPr>
        <w:t>Prvotní žádost</w:t>
      </w:r>
      <w:r>
        <w:rPr/>
        <w:t>“), vizte přílohu A této závěrečné zprávy. Úřad si byl od počátku šetření vědom specifik dotčené oblasti a přiměřeně tomu přizpůsoboval svůj postup. Vůči osloveným subjektům proto postupoval v rámci dobrého a efektivního výkonu státní správy nadstandardně vstřícně, nabídl možnost konzultací, snažil se svůj postup podrobně vysvětlovat a být nápomocen při přípravě vyžadovaných materiálů a dat a při způsobu jejich následného sdílení Úřadu.</w:t>
      </w:r>
    </w:p>
    <w:p>
      <w:pPr>
        <w:pStyle w:val="Textprost"/>
        <w:rPr/>
      </w:pPr>
      <w:r>
        <w:rPr/>
        <w:t>Nabídky konzultace využili dva mobilní operátoři, společnost Vodafone a T-Mobile; společnost O2 této možnosti nevyužila. Účelem konzultací bylo zejména up</w:t>
      </w:r>
      <w:r>
        <w:rPr>
          <w:rFonts w:cs="Czechia Sans"/>
        </w:rPr>
        <w:t>ř</w:t>
      </w:r>
      <w:r>
        <w:rPr/>
        <w:t>esnit po</w:t>
      </w:r>
      <w:r>
        <w:rPr>
          <w:rFonts w:cs="Czechia Sans"/>
        </w:rPr>
        <w:t>ž</w:t>
      </w:r>
      <w:r>
        <w:rPr/>
        <w:t>adavky na Úřadem vyžadovaná data s ohledem na odlišné interní fungování každého ze soutěžitelů, sjednotit výklad jednotlivých otázek (např. jaká data, v jaké granularitě), vyjasnit právní a technické otázky poskytování dat a nastavit z hlediska bezpečnosti vhodný způsob jejich sdílení.</w:t>
      </w:r>
    </w:p>
    <w:p>
      <w:pPr>
        <w:pStyle w:val="Textprost"/>
        <w:rPr/>
      </w:pPr>
      <w:r>
        <w:rPr/>
        <w:t>Vzhledem ke skutečnosti, že se předmětná data dotýkala i osobních údajů, konkrétně telefonního čísla a poštovního směrovacího čísla, použitých jako nezbytný identifikátor v rámci modelování chování spotřebitelů a soutěžitelů,</w:t>
      </w:r>
      <w:r>
        <w:rPr>
          <w:rStyle w:val="FootnoteReference"/>
        </w:rPr>
        <w:footnoteReference w:id="98"/>
      </w:r>
      <w:r>
        <w:rPr/>
        <w:t xml:space="preserve"> vyžádal si Úřad na žádost některých operátorů i stanovisko Úřadu pro ochranu osobních údajů (dále jen „</w:t>
      </w:r>
      <w:r>
        <w:rPr>
          <w:b/>
          <w:bCs/>
        </w:rPr>
        <w:t>ÚOOÚ</w:t>
      </w:r>
      <w:r>
        <w:rPr/>
        <w:t>“). ÚOOÚ ve svém stanovisku uvedl, že Úřad je oprávněn v rámci svých pravomocí dle zákona vyžadovat osobní údaje, mají-li význam pro objasnění předmětu sektorového šetření, musí však při tom postupovat v souladu se zásadou minimalizace a vyžadovat pouze údaje nezbytné pro naplnění účelu šetření.</w:t>
      </w:r>
    </w:p>
    <w:p>
      <w:pPr>
        <w:pStyle w:val="Textprost"/>
        <w:rPr/>
      </w:pPr>
      <w:r>
        <w:rPr/>
        <w:t>Další procesní postup Úřadu v sektorovém šetření se odvíjel od vydání usnesení Krajského soudu v Brně dne 19. 12. 2025, jež se týkalo řízení o žalobě na ochranu před nezákonným zásahem Úřadu podané společností O2 (vizte dále), v jehož rámci soud přistoupil k vydání předběžného opatření. Dané opatření spočívalo v povinnosti Úřadu zdržet se požadování poskytnutí informací a podkladů, specifikovaných v otázkách č. 1–3, 5 a 7 Prvotní žádosti po společnosti O2. Otázky č. 4 a 6 Prvotní žádosti nebyly opatřením dotčeny.</w:t>
      </w:r>
    </w:p>
    <w:p>
      <w:pPr>
        <w:pStyle w:val="Textprost"/>
        <w:rPr/>
      </w:pPr>
      <w:r>
        <w:rPr/>
        <w:t>Ačkoliv se předběžné opatření týkalo výhradně společnosti O2, Úřad se rozhodl zaručit rovné podmínky v rámci sektorového šetření a dočasně pozastavil vyžádání podkladů a informací ve výše uvedeném rozsahu u všech oslovených subjektů, a to do vydání konečného rozhodnutí správních soudů.</w:t>
      </w:r>
    </w:p>
    <w:p>
      <w:pPr>
        <w:pStyle w:val="Heading3"/>
        <w:ind w:hanging="1134" w:left="142" w:right="284"/>
        <w:rPr/>
      </w:pPr>
      <w:bookmarkStart w:id="61" w:name="_Toc229057808"/>
      <w:r>
        <w:rPr/>
        <w:t>Přezkum sektorového šetření Krajským soudem v Brně /</w:t>
        <w:br/>
      </w:r>
      <w:r>
        <w:rPr>
          <w:lang w:val="en-GB"/>
        </w:rPr>
        <w:t>Judicial review of the sector inquiry by the Regional Court in Brno</w:t>
      </w:r>
      <w:bookmarkEnd w:id="61"/>
    </w:p>
    <w:p>
      <w:pPr>
        <w:pStyle w:val="Textprost"/>
        <w:rPr/>
      </w:pPr>
      <w:r>
        <w:rPr/>
        <w:t>Sektorové šetření Úřadu a Prvotní žádost byly podrobeny soudnímu přezkumu z hlediska splnění zákonných podmínek pro zahájení a vedení šetření, přiměřenosti rozsahu požadovaných informací a souladu postupu Úřadu se zásadou minimalizace zásahů veřejné moci.</w:t>
      </w:r>
    </w:p>
    <w:p>
      <w:pPr>
        <w:pStyle w:val="Textprost"/>
        <w:rPr/>
      </w:pPr>
      <w:r>
        <w:rPr/>
        <w:t>Krajský soud v Brně před meritorním posouzením věci vydal usnesení, v němž se prvotně zabýval otázkou, zda Prvotní žádost nepředstavovala nepřiměřený zásah do práv společnosti O2 a třetích osob a zda jsou splněny podmínky pro poskytnutí zatímní soudní ochrany dle návrhu předmětné společnosti.</w:t>
      </w:r>
    </w:p>
    <w:p>
      <w:pPr>
        <w:pStyle w:val="Textprost"/>
        <w:rPr/>
      </w:pPr>
      <w:r>
        <w:rPr/>
        <w:t>Přezkum se zaměřil zejména na intenzitu zásahu spojeného s povinností poskytnout rozsáhlé a strukturálně komplexní datové soubory, na povahu vyžadovaných údajů a na riziko vzniku nevratné újmy v případě jejich poskytnutí ještě před rozhodnutím ve věci samé. Soud se tedy v první fázi soustředil výhradně na posouzení proporcionality Prvotní žádosti, nikoliv na samotnou legitimitu sektorového šetření jako celku.</w:t>
      </w:r>
    </w:p>
    <w:p>
      <w:pPr>
        <w:pStyle w:val="Textprost"/>
        <w:rPr/>
      </w:pPr>
      <w:commentRangeStart w:id="14"/>
      <w:r>
        <w:rPr/>
        <w:t>Usnesením ze dne 19. 12. 2025 rozhodl o návrhu na vydání předběžného opatření a uvedl, že u vybraných okruhů požadovaných dat hrozí zásah do ústavně chráněných práv odůvodňující dočasné omezení postupu Úřadu, jak bylo uvedeno výše.</w:t>
      </w:r>
      <w:commentRangeEnd w:id="14"/>
      <w:r>
        <w:commentReference w:id="14"/>
      </w:r>
      <w:r>
        <w:rPr/>
      </w:r>
    </w:p>
    <w:p>
      <w:pPr>
        <w:pStyle w:val="Textprost"/>
        <w:rPr/>
      </w:pPr>
      <w:r>
        <w:rPr/>
        <w:t>V dalším kroku soud přistoupil k meritornímu posouzení žaloby, v jehož rámci se zabýval zákonností vedení sektorového šetření a související Prvotní žádosti. Předmětem tohoto posouzení bylo zejména vyhodnocení, zda byly naplněny zákonné předpoklady pro zahájení sektorového šetření, zda postup Úřadu odpovídal vymezenému účelu šetření a zda rozsah a povaha vyžadovaných informací nepřekročily meze zákonných vyšetřovacích oprávnění tohoto orgánu.</w:t>
      </w:r>
    </w:p>
    <w:p>
      <w:pPr>
        <w:pStyle w:val="Textprost"/>
        <w:rPr/>
      </w:pPr>
      <w:r>
        <w:rPr/>
        <w:t>Krajský soud v Brně rozsudkem sp. zn. 29 A 112/2025 ze dne 7. 4. 2026 potvrdil zákonnost samotného sektorového šetření, avšak částečně zrušil Prvotní žádost adresovanou společnosti O2. Soud dospěl k závěru, že body 1–3 Prvotní žádosti byly formulovány neurčitě, nepřiměřeně široce a v rozporu s požadavkem nezbytnosti, neboť fakticky směřovaly k poskytnutí „úplné kopie dat a databází“, ačkoliv deklarovaným účelem šetření Úřadu dle soudu bylo pouze zkoumání cenových strategií a cenových podmínek. Ve zbytku, zejména ve vztahu k účetním podkladům, omezenému seznamu telefonních čísel, ceníkům a interním metodikám k neceníkovým nabídkám, soud nezákonnost neshledal.</w:t>
      </w:r>
    </w:p>
    <w:p>
      <w:pPr>
        <w:pStyle w:val="Textprost"/>
        <w:rPr/>
      </w:pPr>
      <w:r>
        <w:rPr/>
        <w:t>Rozsudek tedy potvrdil zákonnost sektorového šetření a zároveň přinesl korekci mezí, v nichž Úřad může po soutěžitelích požadovat informace, a to zejména v tom smyslu, že konkrétní požadavky uvedené v žádosti o informace musí být formulovány přesně, přiměřeně a musí být jednoznačně navázány na účel šetření.</w:t>
      </w:r>
    </w:p>
    <w:p>
      <w:pPr>
        <w:pStyle w:val="Heading3"/>
        <w:ind w:hanging="1134" w:left="142" w:right="284"/>
        <w:rPr>
          <w:highlight w:val="yellow"/>
        </w:rPr>
      </w:pPr>
      <w:bookmarkStart w:id="62" w:name="_Toc229057809"/>
      <w:r>
        <w:rPr>
          <w:highlight w:val="yellow"/>
        </w:rPr>
        <w:t>Fáze po vydání rozsudku Krajského soudu v Brně</w:t>
      </w:r>
      <w:bookmarkEnd w:id="62"/>
    </w:p>
    <w:p>
      <w:pPr>
        <w:pStyle w:val="Textprost"/>
        <w:rPr>
          <w:highlight w:val="yellow"/>
        </w:rPr>
      </w:pPr>
      <w:r>
        <w:rPr>
          <w:highlight w:val="yellow"/>
        </w:rPr>
        <w:t>V návaznosti na závěry rozsudku Krajského soudu v Brně se Úřad obrátil na full mobilních operátoru se druhou žádostí o poskytnutí podkladů a informací ze dne (dále jen „</w:t>
      </w:r>
      <w:r>
        <w:rPr>
          <w:b/>
          <w:bCs/>
          <w:highlight w:val="yellow"/>
        </w:rPr>
        <w:t>Navazující</w:t>
      </w:r>
      <w:r>
        <w:rPr>
          <w:highlight w:val="yellow"/>
        </w:rPr>
        <w:t xml:space="preserve"> </w:t>
      </w:r>
      <w:r>
        <w:rPr>
          <w:b/>
          <w:bCs/>
          <w:highlight w:val="yellow"/>
        </w:rPr>
        <w:t>žádost</w:t>
      </w:r>
      <w:r>
        <w:rPr>
          <w:highlight w:val="yellow"/>
        </w:rPr>
        <w:t>“), vizte přílohu B této závěrečné zprávy.</w:t>
      </w:r>
    </w:p>
    <w:p>
      <w:pPr>
        <w:pStyle w:val="Textprost"/>
        <w:rPr>
          <w:highlight w:val="yellow"/>
        </w:rPr>
      </w:pPr>
      <w:r>
        <w:rPr>
          <w:highlight w:val="yellow"/>
        </w:rPr>
        <w:t>Navazující žádost obsahovala dodatečné vyžádání dotazů č. 5 a 7, původně pozastavené v důsledku vydání předběžného opatření krajského soudu, a reformulaci dotazů č. 1–3, u nichž krajský soud zakázal Úřadu jejich vyžadování v původně formulovaném rozsahu.</w:t>
      </w:r>
    </w:p>
    <w:p>
      <w:pPr>
        <w:pStyle w:val="Textprost"/>
        <w:rPr>
          <w:rFonts w:eastAsia="" w:eastAsiaTheme="majorEastAsia"/>
        </w:rPr>
      </w:pPr>
      <w:r>
        <w:rPr>
          <w:rFonts w:eastAsia="" w:eastAsiaTheme="majorEastAsia"/>
        </w:rPr>
      </w:r>
    </w:p>
    <w:p>
      <w:pPr>
        <w:pStyle w:val="Textprost"/>
        <w:rPr>
          <w:rFonts w:eastAsia="" w:eastAsiaTheme="majorEastAsia"/>
        </w:rPr>
      </w:pPr>
      <w:r>
        <w:rPr>
          <w:rFonts w:eastAsia="" w:eastAsiaTheme="majorEastAsia"/>
        </w:rPr>
      </w:r>
    </w:p>
    <w:p>
      <w:pPr>
        <w:pStyle w:val="Heading3"/>
        <w:ind w:hanging="1134" w:left="142" w:right="284"/>
        <w:rPr/>
      </w:pPr>
      <w:bookmarkStart w:id="63" w:name="_Toc229057810"/>
      <w:r>
        <w:rPr/>
        <w:t>Přezkum sektorového šetření Nejvyšším správním soudem</w:t>
      </w:r>
      <w:bookmarkEnd w:id="63"/>
    </w:p>
    <w:p>
      <w:pPr>
        <w:pStyle w:val="Textprost"/>
        <w:rPr>
          <w:rFonts w:eastAsia="" w:eastAsiaTheme="majorEastAsia"/>
        </w:rPr>
      </w:pPr>
      <w:r>
        <w:rPr>
          <w:rFonts w:eastAsia="" w:eastAsiaTheme="majorEastAsia"/>
        </w:rPr>
      </w:r>
    </w:p>
    <w:p>
      <w:pPr>
        <w:pStyle w:val="Textprost"/>
        <w:rPr/>
      </w:pPr>
      <w:r>
        <w:rPr/>
      </w:r>
    </w:p>
    <w:p>
      <w:pPr>
        <w:pStyle w:val="Heading3"/>
        <w:ind w:hanging="1134" w:left="142" w:right="284"/>
        <w:rPr/>
      </w:pPr>
      <w:bookmarkStart w:id="64" w:name="_Toc229057811"/>
      <w:r>
        <w:rPr/>
        <w:t>Oslovení virtuálních mobilních operátorů</w:t>
      </w:r>
      <w:bookmarkEnd w:id="64"/>
    </w:p>
    <w:p>
      <w:pPr>
        <w:pStyle w:val="Textprost"/>
        <w:rPr>
          <w:rFonts w:eastAsia="" w:eastAsiaTheme="majorEastAsia"/>
        </w:rPr>
      </w:pPr>
      <w:r>
        <w:rPr>
          <w:rFonts w:eastAsia="" w:eastAsiaTheme="majorEastAsia"/>
        </w:rPr>
      </w:r>
    </w:p>
    <w:p>
      <w:pPr>
        <w:pStyle w:val="Textprost"/>
        <w:rPr>
          <w:rFonts w:eastAsia="" w:eastAsiaTheme="majorEastAsia"/>
        </w:rPr>
      </w:pPr>
      <w:r>
        <w:rPr>
          <w:rFonts w:eastAsia="" w:eastAsiaTheme="majorEastAsia"/>
        </w:rPr>
      </w:r>
    </w:p>
    <w:p>
      <w:pPr>
        <w:pStyle w:val="Textprost"/>
        <w:rPr>
          <w:rFonts w:eastAsia="" w:eastAsiaTheme="majorEastAsia"/>
        </w:rPr>
      </w:pPr>
      <w:r>
        <w:rPr>
          <w:rFonts w:eastAsia="" w:eastAsiaTheme="majorEastAsia"/>
        </w:rPr>
      </w:r>
    </w:p>
    <w:p>
      <w:pPr>
        <w:pStyle w:val="Textprost"/>
        <w:rPr/>
      </w:pPr>
      <w:r>
        <w:rPr/>
      </w:r>
    </w:p>
    <w:p>
      <w:pPr>
        <w:pStyle w:val="Heading2"/>
        <w:ind w:hanging="1135" w:left="142" w:right="284"/>
        <w:rPr/>
      </w:pPr>
      <w:bookmarkStart w:id="65" w:name="_Toc229057812"/>
      <w:r>
        <w:rPr/>
        <w:t>Data</w:t>
      </w:r>
      <w:bookmarkEnd w:id="65"/>
    </w:p>
    <w:p>
      <w:pPr>
        <w:pStyle w:val="Textprost"/>
        <w:rPr/>
      </w:pPr>
      <w:r>
        <w:rPr/>
        <w:t>V této části Úřad stručně představuje údaje a proměnné, které shromáždil pro účely tohoto sektorového šetření a na kterých byly Úřadem analýzy prováděny. Proměnné jsou představeny jejich označením, které je v celém textu závěrečné zprávy stejné, a jsou doplněny základními kategoriemi popisné statistiky za účelem posouzení jejich kvality a rozsahu.</w:t>
      </w:r>
    </w:p>
    <w:p>
      <w:pPr>
        <w:pStyle w:val="Heading3"/>
        <w:ind w:hanging="1134" w:left="142" w:right="284"/>
        <w:rPr/>
      </w:pPr>
      <w:bookmarkStart w:id="66" w:name="_Toc229057813"/>
      <w:r>
        <w:rPr/>
        <w:t>Data ČTÚ</w:t>
      </w:r>
      <w:bookmarkEnd w:id="66"/>
    </w:p>
    <w:p>
      <w:pPr>
        <w:pStyle w:val="Textprost"/>
        <w:rPr/>
      </w:pPr>
      <w:r>
        <w:rPr/>
        <w:t>ČTÚ před zahájením sektorového šetření poskytl údaje, ze kterých Úřad vycházel při posuzování náznaků možného narušení fungování hospodářské soutěže. Popisnou statistiku těchto dat uvádí Tabulka č. XXX.</w:t>
      </w:r>
    </w:p>
    <w:p>
      <w:pPr>
        <w:pStyle w:val="Tabulka"/>
        <w:numPr>
          <w:ilvl w:val="0"/>
          <w:numId w:val="3"/>
        </w:numPr>
        <w:ind w:hanging="1560" w:left="1560" w:right="0"/>
        <w:rPr/>
      </w:pPr>
      <w:bookmarkStart w:id="67" w:name="_Toc229057968"/>
      <w:r>
        <w:rPr/>
        <w:t>Popisná statistika dat poskytnutých ČTÚ pro účely posouzení náznaků</w:t>
      </w:r>
      <w:bookmarkEnd w:id="67"/>
    </w:p>
    <w:p>
      <w:pPr>
        <w:pStyle w:val="TabulkavAJ"/>
        <w:ind w:hanging="0" w:left="1560" w:right="0"/>
        <w:rPr>
          <w:lang w:val="cs-CZ"/>
        </w:rPr>
      </w:pPr>
      <w:bookmarkStart w:id="68" w:name="_Toc229060841"/>
      <w:r>
        <w:rPr/>
        <w:t>Descriptive statistics of data provided by the CTU for the purpose of assessing indications of potential concerns</w:t>
      </w:r>
      <w:bookmarkEnd w:id="68"/>
    </w:p>
    <w:tbl>
      <w:tblPr>
        <w:tblStyle w:val="TableGrid"/>
        <w:tblW w:w="906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692"/>
        <w:gridCol w:w="710"/>
        <w:gridCol w:w="563"/>
        <w:gridCol w:w="850"/>
        <w:gridCol w:w="849"/>
        <w:gridCol w:w="849"/>
        <w:gridCol w:w="849"/>
        <w:gridCol w:w="849"/>
        <w:gridCol w:w="849"/>
      </w:tblGrid>
      <w:tr>
        <w:trPr/>
        <w:tc>
          <w:tcPr>
            <w:tcW w:w="2692" w:type="dxa"/>
            <w:tcBorders>
              <w:top w:val="nil"/>
              <w:left w:val="nil"/>
              <w:bottom w:val="nil"/>
              <w:right w:val="nil"/>
            </w:tcBorders>
            <w:vAlign w:val="bottom"/>
          </w:tcPr>
          <w:p>
            <w:pPr>
              <w:pStyle w:val="Tabulkatext"/>
              <w:widowControl/>
              <w:suppressAutoHyphens w:val="true"/>
              <w:rPr>
                <w:b/>
                <w:bCs/>
                <w:color w:val="0C1838"/>
              </w:rPr>
            </w:pPr>
            <w:r>
              <w:rPr>
                <w:b/>
                <w:bCs/>
                <w:color w:val="0C1838"/>
                <w:kern w:val="0"/>
                <w:lang w:val="cs-CZ" w:bidi="ar-SA"/>
              </w:rPr>
              <w:t xml:space="preserve">Název / </w:t>
            </w:r>
            <w:r>
              <w:rPr>
                <w:b/>
                <w:bCs/>
                <w:i/>
                <w:iCs/>
                <w:color w:val="0C1838"/>
                <w:kern w:val="0"/>
                <w:lang w:val="cs-CZ" w:bidi="ar-SA"/>
              </w:rPr>
              <w:t>Name</w:t>
            </w:r>
          </w:p>
        </w:tc>
        <w:tc>
          <w:tcPr>
            <w:tcW w:w="710" w:type="dxa"/>
            <w:tcBorders>
              <w:top w:val="nil"/>
              <w:left w:val="nil"/>
              <w:bottom w:val="nil"/>
              <w:right w:val="nil"/>
            </w:tcBorders>
            <w:vAlign w:val="bottom"/>
          </w:tcPr>
          <w:p>
            <w:pPr>
              <w:pStyle w:val="Tabulkatext"/>
              <w:widowControl/>
              <w:suppressAutoHyphens w:val="true"/>
              <w:rPr>
                <w:b/>
                <w:bCs/>
                <w:color w:val="0C1838"/>
              </w:rPr>
            </w:pPr>
            <w:r>
              <w:rPr>
                <w:b/>
                <w:bCs/>
                <w:color w:val="0C1838"/>
                <w:kern w:val="0"/>
                <w:lang w:val="cs-CZ" w:bidi="ar-SA"/>
              </w:rPr>
              <w:t xml:space="preserve">Typ / </w:t>
            </w:r>
            <w:r>
              <w:rPr>
                <w:b/>
                <w:bCs/>
                <w:i/>
                <w:iCs/>
                <w:color w:val="0C1838"/>
                <w:kern w:val="0"/>
                <w:lang w:val="cs-CZ" w:bidi="ar-SA"/>
              </w:rPr>
              <w:t>Type</w:t>
            </w:r>
          </w:p>
        </w:tc>
        <w:tc>
          <w:tcPr>
            <w:tcW w:w="563" w:type="dxa"/>
            <w:tcBorders>
              <w:top w:val="nil"/>
              <w:left w:val="nil"/>
              <w:bottom w:val="nil"/>
              <w:right w:val="nil"/>
            </w:tcBorders>
            <w:vAlign w:val="bottom"/>
          </w:tcPr>
          <w:p>
            <w:pPr>
              <w:pStyle w:val="Tabulkatext"/>
              <w:widowControl/>
              <w:suppressAutoHyphens w:val="true"/>
              <w:jc w:val="right"/>
              <w:rPr>
                <w:b/>
                <w:bCs/>
                <w:color w:val="0C1838"/>
              </w:rPr>
            </w:pPr>
            <w:r>
              <w:rPr>
                <w:b/>
                <w:bCs/>
                <w:color w:val="0C1838"/>
                <w:kern w:val="0"/>
                <w:lang w:val="cs-CZ" w:bidi="ar-SA"/>
              </w:rPr>
              <w:t>N</w:t>
            </w:r>
          </w:p>
        </w:tc>
        <w:tc>
          <w:tcPr>
            <w:tcW w:w="850" w:type="dxa"/>
            <w:tcBorders>
              <w:top w:val="nil"/>
              <w:left w:val="nil"/>
              <w:bottom w:val="nil"/>
              <w:right w:val="nil"/>
            </w:tcBorders>
            <w:vAlign w:val="bottom"/>
          </w:tcPr>
          <w:p>
            <w:pPr>
              <w:pStyle w:val="Tabulkatext"/>
              <w:widowControl/>
              <w:suppressAutoHyphens w:val="true"/>
              <w:jc w:val="right"/>
              <w:rPr>
                <w:b/>
                <w:bCs/>
                <w:color w:val="0C1838"/>
              </w:rPr>
            </w:pPr>
            <w:r>
              <w:rPr>
                <w:b/>
                <w:bCs/>
                <w:color w:val="0C1838"/>
                <w:kern w:val="0"/>
                <w:lang w:val="cs-CZ" w:bidi="ar-SA"/>
              </w:rPr>
              <w:t>avg</w:t>
            </w:r>
          </w:p>
        </w:tc>
        <w:tc>
          <w:tcPr>
            <w:tcW w:w="849" w:type="dxa"/>
            <w:tcBorders>
              <w:top w:val="nil"/>
              <w:left w:val="nil"/>
              <w:bottom w:val="nil"/>
              <w:right w:val="nil"/>
            </w:tcBorders>
            <w:vAlign w:val="bottom"/>
          </w:tcPr>
          <w:p>
            <w:pPr>
              <w:pStyle w:val="Tabulkatext"/>
              <w:widowControl/>
              <w:suppressAutoHyphens w:val="true"/>
              <w:jc w:val="right"/>
              <w:rPr>
                <w:b/>
                <w:bCs/>
                <w:color w:val="0C1838"/>
              </w:rPr>
            </w:pPr>
            <w:r>
              <w:rPr>
                <w:b/>
                <w:bCs/>
                <w:color w:val="0C1838"/>
                <w:kern w:val="0"/>
                <w:lang w:val="cs-CZ" w:bidi="ar-SA"/>
              </w:rPr>
              <w:t>min</w:t>
            </w:r>
          </w:p>
        </w:tc>
        <w:tc>
          <w:tcPr>
            <w:tcW w:w="849" w:type="dxa"/>
            <w:tcBorders>
              <w:top w:val="nil"/>
              <w:left w:val="nil"/>
              <w:bottom w:val="nil"/>
              <w:right w:val="nil"/>
            </w:tcBorders>
            <w:vAlign w:val="bottom"/>
          </w:tcPr>
          <w:p>
            <w:pPr>
              <w:pStyle w:val="Tabulkatext"/>
              <w:widowControl/>
              <w:suppressAutoHyphens w:val="true"/>
              <w:jc w:val="right"/>
              <w:rPr>
                <w:b/>
                <w:bCs/>
                <w:color w:val="0C1838"/>
              </w:rPr>
            </w:pPr>
            <w:r>
              <w:rPr>
                <w:b/>
                <w:bCs/>
                <w:color w:val="0C1838"/>
                <w:kern w:val="0"/>
                <w:lang w:val="cs-CZ" w:bidi="ar-SA"/>
              </w:rPr>
              <w:t>max</w:t>
            </w:r>
          </w:p>
        </w:tc>
        <w:tc>
          <w:tcPr>
            <w:tcW w:w="849" w:type="dxa"/>
            <w:tcBorders>
              <w:top w:val="nil"/>
              <w:left w:val="nil"/>
              <w:bottom w:val="nil"/>
              <w:right w:val="nil"/>
            </w:tcBorders>
            <w:vAlign w:val="bottom"/>
          </w:tcPr>
          <w:p>
            <w:pPr>
              <w:pStyle w:val="Tabulkatext"/>
              <w:widowControl/>
              <w:suppressAutoHyphens w:val="true"/>
              <w:jc w:val="right"/>
              <w:rPr>
                <w:b/>
                <w:bCs/>
                <w:color w:val="0C1838"/>
              </w:rPr>
            </w:pPr>
            <w:r>
              <w:rPr>
                <w:b/>
                <w:bCs/>
                <w:color w:val="0C1838"/>
                <w:kern w:val="0"/>
                <w:lang w:val="cs-CZ" w:bidi="ar-SA"/>
              </w:rPr>
              <w:t>SD</w:t>
            </w:r>
          </w:p>
        </w:tc>
        <w:tc>
          <w:tcPr>
            <w:tcW w:w="849" w:type="dxa"/>
            <w:tcBorders>
              <w:top w:val="nil"/>
              <w:left w:val="nil"/>
              <w:bottom w:val="nil"/>
              <w:right w:val="nil"/>
            </w:tcBorders>
            <w:vAlign w:val="bottom"/>
          </w:tcPr>
          <w:p>
            <w:pPr>
              <w:pStyle w:val="Tabulkatext"/>
              <w:widowControl/>
              <w:suppressAutoHyphens w:val="true"/>
              <w:jc w:val="right"/>
              <w:rPr>
                <w:b/>
                <w:bCs/>
                <w:color w:val="0C1838"/>
              </w:rPr>
            </w:pPr>
            <w:r>
              <w:rPr>
                <w:b/>
                <w:bCs/>
                <w:color w:val="0C1838"/>
                <w:kern w:val="0"/>
                <w:lang w:val="cs-CZ" w:bidi="ar-SA"/>
              </w:rPr>
              <w:t>CV</w:t>
            </w:r>
          </w:p>
        </w:tc>
        <w:tc>
          <w:tcPr>
            <w:tcW w:w="849" w:type="dxa"/>
            <w:tcBorders>
              <w:top w:val="nil"/>
              <w:left w:val="nil"/>
              <w:bottom w:val="nil"/>
              <w:right w:val="nil"/>
            </w:tcBorders>
            <w:vAlign w:val="bottom"/>
          </w:tcPr>
          <w:p>
            <w:pPr>
              <w:pStyle w:val="Tabulkatext"/>
              <w:widowControl/>
              <w:suppressAutoHyphens w:val="true"/>
              <w:jc w:val="right"/>
              <w:rPr>
                <w:b/>
                <w:bCs/>
                <w:color w:val="0C1838"/>
              </w:rPr>
            </w:pPr>
            <w:r>
              <w:rPr>
                <w:b/>
                <w:bCs/>
                <w:color w:val="0C1838"/>
                <w:kern w:val="0"/>
                <w:lang w:val="cs-CZ" w:bidi="ar-SA"/>
              </w:rPr>
              <w:t>N_uni</w:t>
            </w:r>
          </w:p>
        </w:tc>
      </w:tr>
      <w:tr>
        <w:trPr/>
        <w:tc>
          <w:tcPr>
            <w:tcW w:w="2692" w:type="dxa"/>
            <w:tcBorders>
              <w:top w:val="nil"/>
              <w:left w:val="nil"/>
              <w:bottom w:val="nil"/>
              <w:right w:val="nil"/>
            </w:tcBorders>
            <w:vAlign w:val="center"/>
          </w:tcPr>
          <w:p>
            <w:pPr>
              <w:pStyle w:val="Tabulkatext"/>
              <w:widowControl/>
              <w:suppressAutoHyphens w:val="true"/>
              <w:rPr>
                <w:kern w:val="0"/>
                <w:lang w:val="cs-CZ" w:bidi="ar-SA"/>
              </w:rPr>
            </w:pPr>
            <w:r>
              <w:rPr>
                <w:kern w:val="0"/>
                <w:lang w:val="cs-CZ" w:eastAsia="en-US" w:bidi="ar-SA"/>
              </w:rPr>
              <w:t>[[#stats_CTU_SIM_ARPU]]</w:t>
            </w:r>
            <w:r>
              <w:rPr>
                <w:kern w:val="0"/>
                <w:lang w:val="cs-CZ" w:bidi="ar-SA"/>
              </w:rPr>
              <w:t>[[name]]</w:t>
            </w:r>
          </w:p>
        </w:tc>
        <w:tc>
          <w:tcPr>
            <w:tcW w:w="710" w:type="dxa"/>
            <w:tcBorders>
              <w:top w:val="nil"/>
              <w:left w:val="nil"/>
              <w:bottom w:val="nil"/>
              <w:right w:val="nil"/>
            </w:tcBorders>
            <w:vAlign w:val="center"/>
          </w:tcPr>
          <w:p>
            <w:pPr>
              <w:pStyle w:val="Tabulkatext"/>
              <w:widowControl/>
              <w:suppressAutoHyphens w:val="true"/>
              <w:rPr>
                <w:kern w:val="0"/>
                <w:lang w:val="cs-CZ" w:bidi="ar-SA"/>
              </w:rPr>
            </w:pPr>
            <w:r>
              <w:rPr>
                <w:kern w:val="0"/>
                <w:lang w:val="cs-CZ" w:bidi="ar-SA"/>
              </w:rPr>
              <w:t>[[type]]</w:t>
            </w:r>
          </w:p>
        </w:tc>
        <w:tc>
          <w:tcPr>
            <w:tcW w:w="563" w:type="dxa"/>
            <w:tcBorders>
              <w:top w:val="nil"/>
              <w:left w:val="nil"/>
              <w:bottom w:val="nil"/>
              <w:right w:val="nil"/>
            </w:tcBorders>
            <w:vAlign w:val="center"/>
          </w:tcPr>
          <w:p>
            <w:pPr>
              <w:pStyle w:val="Tabulkatext"/>
              <w:widowControl/>
              <w:suppressAutoHyphens w:val="true"/>
              <w:jc w:val="right"/>
              <w:rPr>
                <w:kern w:val="0"/>
                <w:lang w:val="cs-CZ" w:bidi="ar-SA"/>
              </w:rPr>
            </w:pPr>
            <w:r>
              <w:rPr>
                <w:kern w:val="0"/>
                <w:lang w:val="cs-CZ" w:bidi="ar-SA"/>
              </w:rPr>
              <w:t>[[N]]</w:t>
            </w:r>
          </w:p>
        </w:tc>
        <w:tc>
          <w:tcPr>
            <w:tcW w:w="850" w:type="dxa"/>
            <w:tcBorders>
              <w:top w:val="nil"/>
              <w:left w:val="nil"/>
              <w:bottom w:val="nil"/>
              <w:right w:val="nil"/>
            </w:tcBorders>
            <w:vAlign w:val="center"/>
          </w:tcPr>
          <w:p>
            <w:pPr>
              <w:pStyle w:val="Tabulkatext"/>
              <w:widowControl/>
              <w:suppressAutoHyphens w:val="true"/>
              <w:jc w:val="right"/>
              <w:rPr>
                <w:kern w:val="0"/>
                <w:lang w:val="cs-CZ" w:bidi="ar-SA"/>
              </w:rPr>
            </w:pPr>
            <w:r>
              <w:rPr>
                <w:kern w:val="0"/>
                <w:lang w:val="cs-CZ" w:bidi="ar-SA"/>
              </w:rPr>
              <w:t>[[avg]]</w:t>
            </w:r>
          </w:p>
        </w:tc>
        <w:tc>
          <w:tcPr>
            <w:tcW w:w="849" w:type="dxa"/>
            <w:tcBorders>
              <w:top w:val="nil"/>
              <w:left w:val="nil"/>
              <w:bottom w:val="nil"/>
              <w:right w:val="nil"/>
            </w:tcBorders>
            <w:vAlign w:val="center"/>
          </w:tcPr>
          <w:p>
            <w:pPr>
              <w:pStyle w:val="Tabulkatext"/>
              <w:widowControl/>
              <w:suppressAutoHyphens w:val="true"/>
              <w:jc w:val="right"/>
              <w:rPr>
                <w:kern w:val="0"/>
                <w:lang w:val="cs-CZ" w:bidi="ar-SA"/>
              </w:rPr>
            </w:pPr>
            <w:r>
              <w:rPr>
                <w:kern w:val="0"/>
                <w:lang w:val="cs-CZ" w:bidi="ar-SA"/>
              </w:rPr>
              <w:t>[[min]]</w:t>
            </w:r>
          </w:p>
        </w:tc>
        <w:tc>
          <w:tcPr>
            <w:tcW w:w="849" w:type="dxa"/>
            <w:tcBorders>
              <w:top w:val="nil"/>
              <w:left w:val="nil"/>
              <w:bottom w:val="nil"/>
              <w:right w:val="nil"/>
            </w:tcBorders>
            <w:vAlign w:val="center"/>
          </w:tcPr>
          <w:p>
            <w:pPr>
              <w:pStyle w:val="Tabulkatext"/>
              <w:widowControl/>
              <w:suppressAutoHyphens w:val="true"/>
              <w:jc w:val="right"/>
              <w:rPr>
                <w:kern w:val="0"/>
                <w:lang w:val="cs-CZ" w:bidi="ar-SA"/>
              </w:rPr>
            </w:pPr>
            <w:r>
              <w:rPr>
                <w:kern w:val="0"/>
                <w:lang w:val="cs-CZ" w:bidi="ar-SA"/>
              </w:rPr>
              <w:t>[[max]]</w:t>
            </w:r>
          </w:p>
        </w:tc>
        <w:tc>
          <w:tcPr>
            <w:tcW w:w="849" w:type="dxa"/>
            <w:tcBorders>
              <w:top w:val="nil"/>
              <w:left w:val="nil"/>
              <w:bottom w:val="nil"/>
              <w:right w:val="nil"/>
            </w:tcBorders>
            <w:vAlign w:val="center"/>
          </w:tcPr>
          <w:p>
            <w:pPr>
              <w:pStyle w:val="Tabulkatext"/>
              <w:widowControl/>
              <w:suppressAutoHyphens w:val="true"/>
              <w:jc w:val="right"/>
              <w:rPr>
                <w:kern w:val="0"/>
                <w:lang w:val="cs-CZ" w:bidi="ar-SA"/>
              </w:rPr>
            </w:pPr>
            <w:r>
              <w:rPr>
                <w:kern w:val="0"/>
                <w:lang w:val="cs-CZ" w:bidi="ar-SA"/>
              </w:rPr>
              <w:t>[[SD]]</w:t>
            </w:r>
          </w:p>
        </w:tc>
        <w:tc>
          <w:tcPr>
            <w:tcW w:w="849" w:type="dxa"/>
            <w:tcBorders>
              <w:top w:val="nil"/>
              <w:left w:val="nil"/>
              <w:bottom w:val="nil"/>
              <w:right w:val="nil"/>
            </w:tcBorders>
            <w:vAlign w:val="center"/>
          </w:tcPr>
          <w:p>
            <w:pPr>
              <w:pStyle w:val="Tabulkatext"/>
              <w:widowControl/>
              <w:suppressAutoHyphens w:val="true"/>
              <w:jc w:val="right"/>
              <w:rPr>
                <w:kern w:val="0"/>
                <w:lang w:val="cs-CZ" w:bidi="ar-SA"/>
              </w:rPr>
            </w:pPr>
            <w:r>
              <w:rPr>
                <w:kern w:val="0"/>
                <w:lang w:val="cs-CZ" w:bidi="ar-SA"/>
              </w:rPr>
              <w:t>[[CV]]</w:t>
            </w:r>
          </w:p>
        </w:tc>
        <w:tc>
          <w:tcPr>
            <w:tcW w:w="849" w:type="dxa"/>
            <w:tcBorders>
              <w:top w:val="nil"/>
              <w:left w:val="nil"/>
              <w:bottom w:val="nil"/>
              <w:right w:val="nil"/>
            </w:tcBorders>
            <w:vAlign w:val="center"/>
          </w:tcPr>
          <w:p>
            <w:pPr>
              <w:pStyle w:val="Tabulkatext"/>
              <w:widowControl/>
              <w:suppressAutoHyphens w:val="true"/>
              <w:jc w:val="right"/>
              <w:rPr>
                <w:kern w:val="0"/>
                <w:lang w:val="cs-CZ" w:bidi="ar-SA"/>
              </w:rPr>
            </w:pPr>
            <w:r>
              <w:rPr>
                <w:kern w:val="0"/>
                <w:lang w:val="cs-CZ" w:bidi="ar-SA"/>
              </w:rPr>
              <w:t>[[N_uni]][[/stats_CTU_SIM_ARPU]]</w:t>
            </w:r>
          </w:p>
        </w:tc>
      </w:tr>
    </w:tbl>
    <w:p>
      <w:pPr>
        <w:pStyle w:val="Zdroj"/>
        <w:rPr/>
      </w:pPr>
      <w:r>
        <w:rPr/>
        <w:t xml:space="preserve">Poznámka / Note: V tabulce je uveden počet pozorování (N), průměr (avg), minimální a maximální hodnota (min a max), směrodatná odchylka (SD), variabilita (CV) a počet unikátních pozorování (N_uni). / </w:t>
      </w:r>
      <w:r>
        <w:rPr>
          <w:lang w:val="en-GB"/>
        </w:rPr>
        <w:t>The table sets out the number of observations (N), the mean (avg), minimum and maximum values (min and max), standard deviation (SD), coefficient of variation (CV), and the number of unique observations (N_uni).</w:t>
      </w:r>
    </w:p>
    <w:p>
      <w:pPr>
        <w:pStyle w:val="Textprost"/>
        <w:rPr/>
      </w:pPr>
      <w:r>
        <w:rPr/>
      </w:r>
    </w:p>
    <w:p>
      <w:pPr>
        <w:pStyle w:val="Textprost"/>
        <w:rPr/>
      </w:pPr>
      <w:r>
        <w:rPr/>
      </w:r>
    </w:p>
    <w:p>
      <w:pPr>
        <w:pStyle w:val="Heading3"/>
        <w:ind w:hanging="1134" w:left="142" w:right="284"/>
        <w:rPr/>
      </w:pPr>
      <w:bookmarkStart w:id="69" w:name="_Toc229057814"/>
      <w:r>
        <w:rPr/>
        <w:t>Data Eurostatu</w:t>
      </w:r>
      <w:bookmarkEnd w:id="69"/>
    </w:p>
    <w:p>
      <w:pPr>
        <w:pStyle w:val="Textprost"/>
        <w:rPr/>
      </w:pPr>
      <w:r>
        <w:rPr/>
      </w:r>
    </w:p>
    <w:p>
      <w:pPr>
        <w:pStyle w:val="Textprost"/>
        <w:rPr/>
      </w:pPr>
      <w:r>
        <w:rPr/>
        <w:t>V rámci prověřování náznaků před zahájením sektorového šetření vycházel Úřad z údajů sledovaných Eurostatem, a to konkrétně z harmonizovaného indexu spotřebitelských cen pro kategorii „Komunikace“. Popisnou statistiku těchto údajů uvádí Tabulka č. XXX.</w:t>
      </w:r>
    </w:p>
    <w:p>
      <w:pPr>
        <w:pStyle w:val="Tabulka"/>
        <w:numPr>
          <w:ilvl w:val="0"/>
          <w:numId w:val="3"/>
        </w:numPr>
        <w:ind w:hanging="1560" w:left="1560" w:right="0"/>
        <w:rPr/>
      </w:pPr>
      <w:bookmarkStart w:id="70" w:name="_Toc229057969"/>
      <w:r>
        <w:rPr/>
        <w:t>Popisná statistika dat Eurostatu HICP „Komunikace“ (CP08)</w:t>
      </w:r>
      <w:bookmarkEnd w:id="70"/>
    </w:p>
    <w:p>
      <w:pPr>
        <w:pStyle w:val="TabulkavAJ"/>
        <w:ind w:hanging="0" w:left="1560" w:right="0"/>
        <w:rPr>
          <w:lang w:val="cs-CZ"/>
        </w:rPr>
      </w:pPr>
      <w:bookmarkStart w:id="71" w:name="_Toc229060842"/>
      <w:r>
        <w:rPr/>
        <w:t>Descriptive statistics of Eurostat HICP data for the “Communications” category (CP08)</w:t>
      </w:r>
      <w:bookmarkEnd w:id="71"/>
    </w:p>
    <w:tbl>
      <w:tblPr>
        <w:tblStyle w:val="TableGrid"/>
        <w:tblW w:w="906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692"/>
        <w:gridCol w:w="710"/>
        <w:gridCol w:w="563"/>
        <w:gridCol w:w="850"/>
        <w:gridCol w:w="849"/>
        <w:gridCol w:w="849"/>
        <w:gridCol w:w="849"/>
        <w:gridCol w:w="849"/>
        <w:gridCol w:w="849"/>
      </w:tblGrid>
      <w:tr>
        <w:trPr/>
        <w:tc>
          <w:tcPr>
            <w:tcW w:w="2692" w:type="dxa"/>
            <w:tcBorders>
              <w:top w:val="nil"/>
              <w:left w:val="nil"/>
              <w:bottom w:val="nil"/>
              <w:right w:val="nil"/>
            </w:tcBorders>
            <w:vAlign w:val="bottom"/>
          </w:tcPr>
          <w:p>
            <w:pPr>
              <w:pStyle w:val="Tabulkatext"/>
              <w:widowControl/>
              <w:suppressAutoHyphens w:val="true"/>
              <w:rPr>
                <w:b/>
                <w:bCs/>
                <w:color w:val="0C1838"/>
              </w:rPr>
            </w:pPr>
            <w:r>
              <w:rPr>
                <w:b/>
                <w:bCs/>
                <w:color w:val="0C1838"/>
                <w:kern w:val="0"/>
                <w:lang w:val="cs-CZ" w:bidi="ar-SA"/>
              </w:rPr>
              <w:t xml:space="preserve">Název / </w:t>
            </w:r>
            <w:r>
              <w:rPr>
                <w:b/>
                <w:bCs/>
                <w:i/>
                <w:iCs/>
                <w:color w:val="0C1838"/>
                <w:kern w:val="0"/>
                <w:lang w:val="cs-CZ" w:bidi="ar-SA"/>
              </w:rPr>
              <w:t>Name</w:t>
            </w:r>
          </w:p>
        </w:tc>
        <w:tc>
          <w:tcPr>
            <w:tcW w:w="710" w:type="dxa"/>
            <w:tcBorders>
              <w:top w:val="nil"/>
              <w:left w:val="nil"/>
              <w:bottom w:val="nil"/>
              <w:right w:val="nil"/>
            </w:tcBorders>
            <w:vAlign w:val="bottom"/>
          </w:tcPr>
          <w:p>
            <w:pPr>
              <w:pStyle w:val="Tabulkatext"/>
              <w:widowControl/>
              <w:suppressAutoHyphens w:val="true"/>
              <w:rPr>
                <w:b/>
                <w:bCs/>
                <w:color w:val="0C1838"/>
              </w:rPr>
            </w:pPr>
            <w:r>
              <w:rPr>
                <w:b/>
                <w:bCs/>
                <w:color w:val="0C1838"/>
                <w:kern w:val="0"/>
                <w:lang w:val="cs-CZ" w:bidi="ar-SA"/>
              </w:rPr>
              <w:t xml:space="preserve">Typ / </w:t>
            </w:r>
            <w:r>
              <w:rPr>
                <w:b/>
                <w:bCs/>
                <w:i/>
                <w:iCs/>
                <w:color w:val="0C1838"/>
                <w:kern w:val="0"/>
                <w:lang w:val="cs-CZ" w:bidi="ar-SA"/>
              </w:rPr>
              <w:t>Type</w:t>
            </w:r>
          </w:p>
        </w:tc>
        <w:tc>
          <w:tcPr>
            <w:tcW w:w="563" w:type="dxa"/>
            <w:tcBorders>
              <w:top w:val="nil"/>
              <w:left w:val="nil"/>
              <w:bottom w:val="nil"/>
              <w:right w:val="nil"/>
            </w:tcBorders>
            <w:vAlign w:val="bottom"/>
          </w:tcPr>
          <w:p>
            <w:pPr>
              <w:pStyle w:val="Tabulkatext"/>
              <w:widowControl/>
              <w:suppressAutoHyphens w:val="true"/>
              <w:jc w:val="right"/>
              <w:rPr>
                <w:b/>
                <w:bCs/>
                <w:color w:val="0C1838"/>
              </w:rPr>
            </w:pPr>
            <w:r>
              <w:rPr>
                <w:b/>
                <w:bCs/>
                <w:color w:val="0C1838"/>
                <w:kern w:val="0"/>
                <w:lang w:val="cs-CZ" w:bidi="ar-SA"/>
              </w:rPr>
              <w:t>N</w:t>
            </w:r>
          </w:p>
        </w:tc>
        <w:tc>
          <w:tcPr>
            <w:tcW w:w="850" w:type="dxa"/>
            <w:tcBorders>
              <w:top w:val="nil"/>
              <w:left w:val="nil"/>
              <w:bottom w:val="nil"/>
              <w:right w:val="nil"/>
            </w:tcBorders>
            <w:vAlign w:val="bottom"/>
          </w:tcPr>
          <w:p>
            <w:pPr>
              <w:pStyle w:val="Tabulkatext"/>
              <w:widowControl/>
              <w:suppressAutoHyphens w:val="true"/>
              <w:jc w:val="right"/>
              <w:rPr>
                <w:b/>
                <w:bCs/>
                <w:color w:val="0C1838"/>
              </w:rPr>
            </w:pPr>
            <w:r>
              <w:rPr>
                <w:b/>
                <w:bCs/>
                <w:color w:val="0C1838"/>
                <w:kern w:val="0"/>
                <w:lang w:val="cs-CZ" w:bidi="ar-SA"/>
              </w:rPr>
              <w:t>avg</w:t>
            </w:r>
          </w:p>
        </w:tc>
        <w:tc>
          <w:tcPr>
            <w:tcW w:w="849" w:type="dxa"/>
            <w:tcBorders>
              <w:top w:val="nil"/>
              <w:left w:val="nil"/>
              <w:bottom w:val="nil"/>
              <w:right w:val="nil"/>
            </w:tcBorders>
            <w:vAlign w:val="bottom"/>
          </w:tcPr>
          <w:p>
            <w:pPr>
              <w:pStyle w:val="Tabulkatext"/>
              <w:widowControl/>
              <w:suppressAutoHyphens w:val="true"/>
              <w:jc w:val="right"/>
              <w:rPr>
                <w:b/>
                <w:bCs/>
                <w:color w:val="0C1838"/>
              </w:rPr>
            </w:pPr>
            <w:r>
              <w:rPr>
                <w:b/>
                <w:bCs/>
                <w:color w:val="0C1838"/>
                <w:kern w:val="0"/>
                <w:lang w:val="cs-CZ" w:bidi="ar-SA"/>
              </w:rPr>
              <w:t>min</w:t>
            </w:r>
          </w:p>
        </w:tc>
        <w:tc>
          <w:tcPr>
            <w:tcW w:w="849" w:type="dxa"/>
            <w:tcBorders>
              <w:top w:val="nil"/>
              <w:left w:val="nil"/>
              <w:bottom w:val="nil"/>
              <w:right w:val="nil"/>
            </w:tcBorders>
            <w:vAlign w:val="bottom"/>
          </w:tcPr>
          <w:p>
            <w:pPr>
              <w:pStyle w:val="Tabulkatext"/>
              <w:widowControl/>
              <w:suppressAutoHyphens w:val="true"/>
              <w:jc w:val="right"/>
              <w:rPr>
                <w:b/>
                <w:bCs/>
                <w:color w:val="0C1838"/>
              </w:rPr>
            </w:pPr>
            <w:r>
              <w:rPr>
                <w:b/>
                <w:bCs/>
                <w:color w:val="0C1838"/>
                <w:kern w:val="0"/>
                <w:lang w:val="cs-CZ" w:bidi="ar-SA"/>
              </w:rPr>
              <w:t>max</w:t>
            </w:r>
          </w:p>
        </w:tc>
        <w:tc>
          <w:tcPr>
            <w:tcW w:w="849" w:type="dxa"/>
            <w:tcBorders>
              <w:top w:val="nil"/>
              <w:left w:val="nil"/>
              <w:bottom w:val="nil"/>
              <w:right w:val="nil"/>
            </w:tcBorders>
            <w:vAlign w:val="bottom"/>
          </w:tcPr>
          <w:p>
            <w:pPr>
              <w:pStyle w:val="Tabulkatext"/>
              <w:widowControl/>
              <w:suppressAutoHyphens w:val="true"/>
              <w:jc w:val="right"/>
              <w:rPr>
                <w:b/>
                <w:bCs/>
                <w:color w:val="0C1838"/>
              </w:rPr>
            </w:pPr>
            <w:r>
              <w:rPr>
                <w:b/>
                <w:bCs/>
                <w:color w:val="0C1838"/>
                <w:kern w:val="0"/>
                <w:lang w:val="cs-CZ" w:bidi="ar-SA"/>
              </w:rPr>
              <w:t>SD</w:t>
            </w:r>
          </w:p>
        </w:tc>
        <w:tc>
          <w:tcPr>
            <w:tcW w:w="849" w:type="dxa"/>
            <w:tcBorders>
              <w:top w:val="nil"/>
              <w:left w:val="nil"/>
              <w:bottom w:val="nil"/>
              <w:right w:val="nil"/>
            </w:tcBorders>
            <w:vAlign w:val="bottom"/>
          </w:tcPr>
          <w:p>
            <w:pPr>
              <w:pStyle w:val="Tabulkatext"/>
              <w:widowControl/>
              <w:suppressAutoHyphens w:val="true"/>
              <w:jc w:val="right"/>
              <w:rPr>
                <w:b/>
                <w:bCs/>
                <w:color w:val="0C1838"/>
              </w:rPr>
            </w:pPr>
            <w:r>
              <w:rPr>
                <w:b/>
                <w:bCs/>
                <w:color w:val="0C1838"/>
                <w:kern w:val="0"/>
                <w:lang w:val="cs-CZ" w:bidi="ar-SA"/>
              </w:rPr>
              <w:t>CV</w:t>
            </w:r>
          </w:p>
        </w:tc>
        <w:tc>
          <w:tcPr>
            <w:tcW w:w="849" w:type="dxa"/>
            <w:tcBorders>
              <w:top w:val="nil"/>
              <w:left w:val="nil"/>
              <w:bottom w:val="nil"/>
              <w:right w:val="nil"/>
            </w:tcBorders>
            <w:vAlign w:val="bottom"/>
          </w:tcPr>
          <w:p>
            <w:pPr>
              <w:pStyle w:val="Tabulkatext"/>
              <w:widowControl/>
              <w:suppressAutoHyphens w:val="true"/>
              <w:jc w:val="right"/>
              <w:rPr>
                <w:b/>
                <w:bCs/>
                <w:color w:val="0C1838"/>
              </w:rPr>
            </w:pPr>
            <w:r>
              <w:rPr>
                <w:b/>
                <w:bCs/>
                <w:color w:val="0C1838"/>
                <w:kern w:val="0"/>
                <w:lang w:val="cs-CZ" w:bidi="ar-SA"/>
              </w:rPr>
              <w:t>N_uni</w:t>
            </w:r>
          </w:p>
        </w:tc>
      </w:tr>
      <w:tr>
        <w:trPr/>
        <w:tc>
          <w:tcPr>
            <w:tcW w:w="2692" w:type="dxa"/>
            <w:tcBorders>
              <w:top w:val="nil"/>
              <w:left w:val="nil"/>
              <w:bottom w:val="nil"/>
              <w:right w:val="nil"/>
            </w:tcBorders>
            <w:vAlign w:val="center"/>
          </w:tcPr>
          <w:p>
            <w:pPr>
              <w:pStyle w:val="Tabulkatext"/>
              <w:widowControl/>
              <w:suppressAutoHyphens w:val="true"/>
              <w:rPr>
                <w:kern w:val="0"/>
                <w:lang w:val="cs-CZ" w:bidi="ar-SA"/>
              </w:rPr>
            </w:pPr>
            <w:r>
              <w:rPr>
                <w:kern w:val="0"/>
                <w:lang w:val="cs-CZ" w:eastAsia="en-US" w:bidi="ar-SA"/>
              </w:rPr>
              <w:t>[[#stats_HICP_communications]]</w:t>
            </w:r>
            <w:r>
              <w:rPr>
                <w:kern w:val="0"/>
                <w:lang w:val="cs-CZ" w:bidi="ar-SA"/>
              </w:rPr>
              <w:t>[[name]]</w:t>
            </w:r>
          </w:p>
        </w:tc>
        <w:tc>
          <w:tcPr>
            <w:tcW w:w="710" w:type="dxa"/>
            <w:tcBorders>
              <w:top w:val="nil"/>
              <w:left w:val="nil"/>
              <w:bottom w:val="nil"/>
              <w:right w:val="nil"/>
            </w:tcBorders>
            <w:vAlign w:val="center"/>
          </w:tcPr>
          <w:p>
            <w:pPr>
              <w:pStyle w:val="Tabulkatext"/>
              <w:widowControl/>
              <w:suppressAutoHyphens w:val="true"/>
              <w:rPr>
                <w:kern w:val="0"/>
                <w:lang w:val="cs-CZ" w:bidi="ar-SA"/>
              </w:rPr>
            </w:pPr>
            <w:r>
              <w:rPr>
                <w:kern w:val="0"/>
                <w:lang w:val="cs-CZ" w:bidi="ar-SA"/>
              </w:rPr>
              <w:t>[[type]]</w:t>
            </w:r>
          </w:p>
        </w:tc>
        <w:tc>
          <w:tcPr>
            <w:tcW w:w="563" w:type="dxa"/>
            <w:tcBorders>
              <w:top w:val="nil"/>
              <w:left w:val="nil"/>
              <w:bottom w:val="nil"/>
              <w:right w:val="nil"/>
            </w:tcBorders>
            <w:vAlign w:val="center"/>
          </w:tcPr>
          <w:p>
            <w:pPr>
              <w:pStyle w:val="Tabulkatext"/>
              <w:widowControl/>
              <w:suppressAutoHyphens w:val="true"/>
              <w:jc w:val="right"/>
              <w:rPr>
                <w:kern w:val="0"/>
                <w:lang w:val="cs-CZ" w:bidi="ar-SA"/>
              </w:rPr>
            </w:pPr>
            <w:r>
              <w:rPr>
                <w:kern w:val="0"/>
                <w:lang w:val="cs-CZ" w:bidi="ar-SA"/>
              </w:rPr>
              <w:t>[[N]]</w:t>
            </w:r>
          </w:p>
        </w:tc>
        <w:tc>
          <w:tcPr>
            <w:tcW w:w="850" w:type="dxa"/>
            <w:tcBorders>
              <w:top w:val="nil"/>
              <w:left w:val="nil"/>
              <w:bottom w:val="nil"/>
              <w:right w:val="nil"/>
            </w:tcBorders>
            <w:vAlign w:val="center"/>
          </w:tcPr>
          <w:p>
            <w:pPr>
              <w:pStyle w:val="Tabulkatext"/>
              <w:widowControl/>
              <w:suppressAutoHyphens w:val="true"/>
              <w:jc w:val="right"/>
              <w:rPr>
                <w:kern w:val="0"/>
                <w:lang w:val="cs-CZ" w:bidi="ar-SA"/>
              </w:rPr>
            </w:pPr>
            <w:r>
              <w:rPr>
                <w:kern w:val="0"/>
                <w:lang w:val="cs-CZ" w:bidi="ar-SA"/>
              </w:rPr>
              <w:t>[[avg]]</w:t>
            </w:r>
          </w:p>
        </w:tc>
        <w:tc>
          <w:tcPr>
            <w:tcW w:w="849" w:type="dxa"/>
            <w:tcBorders>
              <w:top w:val="nil"/>
              <w:left w:val="nil"/>
              <w:bottom w:val="nil"/>
              <w:right w:val="nil"/>
            </w:tcBorders>
            <w:vAlign w:val="center"/>
          </w:tcPr>
          <w:p>
            <w:pPr>
              <w:pStyle w:val="Tabulkatext"/>
              <w:widowControl/>
              <w:suppressAutoHyphens w:val="true"/>
              <w:jc w:val="right"/>
              <w:rPr>
                <w:kern w:val="0"/>
                <w:lang w:val="cs-CZ" w:bidi="ar-SA"/>
              </w:rPr>
            </w:pPr>
            <w:r>
              <w:rPr>
                <w:kern w:val="0"/>
                <w:lang w:val="cs-CZ" w:bidi="ar-SA"/>
              </w:rPr>
              <w:t>[[min]]</w:t>
            </w:r>
          </w:p>
        </w:tc>
        <w:tc>
          <w:tcPr>
            <w:tcW w:w="849" w:type="dxa"/>
            <w:tcBorders>
              <w:top w:val="nil"/>
              <w:left w:val="nil"/>
              <w:bottom w:val="nil"/>
              <w:right w:val="nil"/>
            </w:tcBorders>
            <w:vAlign w:val="center"/>
          </w:tcPr>
          <w:p>
            <w:pPr>
              <w:pStyle w:val="Tabulkatext"/>
              <w:widowControl/>
              <w:suppressAutoHyphens w:val="true"/>
              <w:jc w:val="right"/>
              <w:rPr>
                <w:kern w:val="0"/>
                <w:lang w:val="cs-CZ" w:bidi="ar-SA"/>
              </w:rPr>
            </w:pPr>
            <w:r>
              <w:rPr>
                <w:kern w:val="0"/>
                <w:lang w:val="cs-CZ" w:bidi="ar-SA"/>
              </w:rPr>
              <w:t>[[max]]</w:t>
            </w:r>
          </w:p>
        </w:tc>
        <w:tc>
          <w:tcPr>
            <w:tcW w:w="849" w:type="dxa"/>
            <w:tcBorders>
              <w:top w:val="nil"/>
              <w:left w:val="nil"/>
              <w:bottom w:val="nil"/>
              <w:right w:val="nil"/>
            </w:tcBorders>
            <w:vAlign w:val="center"/>
          </w:tcPr>
          <w:p>
            <w:pPr>
              <w:pStyle w:val="Tabulkatext"/>
              <w:widowControl/>
              <w:suppressAutoHyphens w:val="true"/>
              <w:jc w:val="right"/>
              <w:rPr>
                <w:kern w:val="0"/>
                <w:lang w:val="cs-CZ" w:bidi="ar-SA"/>
              </w:rPr>
            </w:pPr>
            <w:r>
              <w:rPr>
                <w:kern w:val="0"/>
                <w:lang w:val="cs-CZ" w:bidi="ar-SA"/>
              </w:rPr>
              <w:t>[[SD]]</w:t>
            </w:r>
          </w:p>
        </w:tc>
        <w:tc>
          <w:tcPr>
            <w:tcW w:w="849" w:type="dxa"/>
            <w:tcBorders>
              <w:top w:val="nil"/>
              <w:left w:val="nil"/>
              <w:bottom w:val="nil"/>
              <w:right w:val="nil"/>
            </w:tcBorders>
            <w:vAlign w:val="center"/>
          </w:tcPr>
          <w:p>
            <w:pPr>
              <w:pStyle w:val="Tabulkatext"/>
              <w:widowControl/>
              <w:suppressAutoHyphens w:val="true"/>
              <w:jc w:val="right"/>
              <w:rPr>
                <w:kern w:val="0"/>
                <w:lang w:val="cs-CZ" w:bidi="ar-SA"/>
              </w:rPr>
            </w:pPr>
            <w:r>
              <w:rPr>
                <w:kern w:val="0"/>
                <w:lang w:val="cs-CZ" w:bidi="ar-SA"/>
              </w:rPr>
              <w:t>[[CV]]</w:t>
            </w:r>
          </w:p>
        </w:tc>
        <w:tc>
          <w:tcPr>
            <w:tcW w:w="849" w:type="dxa"/>
            <w:tcBorders>
              <w:top w:val="nil"/>
              <w:left w:val="nil"/>
              <w:bottom w:val="nil"/>
              <w:right w:val="nil"/>
            </w:tcBorders>
            <w:vAlign w:val="center"/>
          </w:tcPr>
          <w:p>
            <w:pPr>
              <w:pStyle w:val="Tabulkatext"/>
              <w:widowControl/>
              <w:suppressAutoHyphens w:val="true"/>
              <w:jc w:val="right"/>
              <w:rPr>
                <w:kern w:val="0"/>
                <w:lang w:val="cs-CZ" w:bidi="ar-SA"/>
              </w:rPr>
            </w:pPr>
            <w:r>
              <w:rPr>
                <w:kern w:val="0"/>
                <w:lang w:val="cs-CZ" w:bidi="ar-SA"/>
              </w:rPr>
              <w:t>[[N_uni]][[/stats_HICP_communications]]</w:t>
            </w:r>
          </w:p>
        </w:tc>
      </w:tr>
    </w:tbl>
    <w:p>
      <w:pPr>
        <w:pStyle w:val="Zdroj"/>
        <w:rPr/>
      </w:pPr>
      <w:r>
        <w:rPr/>
        <w:t xml:space="preserve">Poznámka / Note: V tabulce je uveden počet pozorování (N), průměr (avg), minimální a maximální hodnota (min a max), směrodatná odchylka (SD), variabilita (CV) a počet unikátních pozorování (N_uni). / </w:t>
      </w:r>
      <w:r>
        <w:rPr>
          <w:lang w:val="en-GB"/>
        </w:rPr>
        <w:t>The table sets out the number of observations (N), the mean (avg), minimum and maximum values (min and max), standard deviation (SD), coefficient of variation (CV), and the number of unique observations (N_uni).</w:t>
      </w:r>
    </w:p>
    <w:p>
      <w:pPr>
        <w:pStyle w:val="Textprost"/>
        <w:rPr/>
      </w:pPr>
      <w:r>
        <w:rPr/>
      </w:r>
    </w:p>
    <w:p>
      <w:pPr>
        <w:pStyle w:val="Textprost"/>
        <w:rPr/>
      </w:pPr>
      <w:r>
        <w:rPr/>
      </w:r>
    </w:p>
    <w:p>
      <w:pPr>
        <w:pStyle w:val="Textprost"/>
        <w:rPr/>
      </w:pPr>
      <w:r>
        <w:rPr/>
      </w:r>
    </w:p>
    <w:p>
      <w:pPr>
        <w:pStyle w:val="Heading3"/>
        <w:ind w:hanging="1134" w:left="142" w:right="284"/>
        <w:rPr/>
      </w:pPr>
      <w:bookmarkStart w:id="72" w:name="_Toc229057815"/>
      <w:r>
        <w:rPr/>
        <w:t>Data BERECu</w:t>
      </w:r>
      <w:bookmarkEnd w:id="72"/>
    </w:p>
    <w:p>
      <w:pPr>
        <w:pStyle w:val="Textprost"/>
        <w:rPr/>
      </w:pPr>
      <w:r>
        <w:rPr/>
      </w:r>
    </w:p>
    <w:p>
      <w:pPr>
        <w:pStyle w:val="Heading3"/>
        <w:ind w:hanging="1134" w:left="142" w:right="284"/>
        <w:rPr/>
      </w:pPr>
      <w:bookmarkStart w:id="73" w:name="_Toc229057816"/>
      <w:r>
        <w:rPr/>
        <w:t>Data ceníkových cen mobilních tarifů v EU /</w:t>
        <w:br/>
      </w:r>
      <w:r>
        <w:rPr>
          <w:i/>
          <w:iCs/>
          <w:sz w:val="20"/>
          <w:lang w:val="en-GB"/>
        </w:rPr>
        <w:t>Data on mobile tariff list prices in the EU</w:t>
      </w:r>
      <w:bookmarkEnd w:id="73"/>
    </w:p>
    <w:p>
      <w:pPr>
        <w:pStyle w:val="Textprost"/>
        <w:rPr/>
      </w:pPr>
      <w:r>
        <w:rPr/>
        <w:t>S ohledem na předmět připravovaného sektorového šetření a zjištěné náznaky provedl Úřad mezi dny 20. října a 9. listopadu 2025 předběžný sběr údajů z veřejně dostupných zdrojů zachycujících ceníkové ceny mobilních tarifů nejvýznamnějších operátorů působících ve státech EU. Jinými slovy Úřad sestavil vlastní dataset zachycující tržní ceny mobilních tarifů ve všech členských státech EU v maximálním procesně únosném rozsahu.</w:t>
      </w:r>
      <w:r>
        <w:rPr>
          <w:rStyle w:val="FootnoteReference"/>
        </w:rPr>
        <w:footnoteReference w:id="99"/>
      </w:r>
      <w:r>
        <w:rPr/>
        <w:t xml:space="preserve"> Popisnou statistiku takto získaných proměnných uvádí Tabulka č. XXX.</w:t>
      </w:r>
    </w:p>
    <w:p>
      <w:pPr>
        <w:pStyle w:val="Tabulka"/>
        <w:numPr>
          <w:ilvl w:val="0"/>
          <w:numId w:val="3"/>
        </w:numPr>
        <w:ind w:hanging="1560" w:left="1560" w:right="0"/>
        <w:rPr/>
      </w:pPr>
      <w:bookmarkStart w:id="74" w:name="_Toc229057970"/>
      <w:r>
        <w:rPr/>
        <w:t>Popisná statistika proměnných ze sběru č. 1 ceníkových cen mobilních tarifů v EU</w:t>
      </w:r>
      <w:bookmarkEnd w:id="74"/>
    </w:p>
    <w:p>
      <w:pPr>
        <w:pStyle w:val="TabulkavAJ"/>
        <w:ind w:hanging="0" w:left="1560" w:right="0"/>
        <w:rPr>
          <w:lang w:val="cs-CZ"/>
        </w:rPr>
      </w:pPr>
      <w:bookmarkStart w:id="75" w:name="_Toc229060843"/>
      <w:r>
        <w:rPr/>
        <w:t>Descriptive statistics of variables from data collection No. 1 on mobile tariff list prices in the EU</w:t>
      </w:r>
      <w:bookmarkEnd w:id="75"/>
    </w:p>
    <w:tbl>
      <w:tblPr>
        <w:tblStyle w:val="TableGrid"/>
        <w:tblW w:w="906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7"/>
        <w:gridCol w:w="851"/>
        <w:gridCol w:w="847"/>
        <w:gridCol w:w="850"/>
        <w:gridCol w:w="849"/>
        <w:gridCol w:w="849"/>
        <w:gridCol w:w="849"/>
        <w:gridCol w:w="849"/>
        <w:gridCol w:w="849"/>
      </w:tblGrid>
      <w:tr>
        <w:trPr/>
        <w:tc>
          <w:tcPr>
            <w:tcW w:w="2267" w:type="dxa"/>
            <w:tcBorders>
              <w:top w:val="nil"/>
              <w:left w:val="nil"/>
              <w:bottom w:val="nil"/>
              <w:right w:val="nil"/>
            </w:tcBorders>
            <w:vAlign w:val="bottom"/>
          </w:tcPr>
          <w:p>
            <w:pPr>
              <w:pStyle w:val="Tabulkatext"/>
              <w:widowControl/>
              <w:suppressAutoHyphens w:val="true"/>
              <w:rPr>
                <w:b/>
                <w:bCs/>
                <w:color w:val="0C1838"/>
              </w:rPr>
            </w:pPr>
            <w:r>
              <w:rPr>
                <w:b/>
                <w:bCs/>
                <w:color w:val="0C1838"/>
                <w:kern w:val="0"/>
                <w:lang w:val="cs-CZ" w:bidi="ar-SA"/>
              </w:rPr>
              <w:t xml:space="preserve">Název / </w:t>
            </w:r>
            <w:r>
              <w:rPr>
                <w:b/>
                <w:bCs/>
                <w:i/>
                <w:iCs/>
                <w:color w:val="0C1838"/>
                <w:kern w:val="0"/>
                <w:lang w:val="cs-CZ" w:bidi="ar-SA"/>
              </w:rPr>
              <w:t>Name</w:t>
            </w:r>
          </w:p>
        </w:tc>
        <w:tc>
          <w:tcPr>
            <w:tcW w:w="851" w:type="dxa"/>
            <w:tcBorders>
              <w:top w:val="nil"/>
              <w:left w:val="nil"/>
              <w:bottom w:val="nil"/>
              <w:right w:val="nil"/>
            </w:tcBorders>
            <w:vAlign w:val="bottom"/>
          </w:tcPr>
          <w:p>
            <w:pPr>
              <w:pStyle w:val="Tabulkatext"/>
              <w:widowControl/>
              <w:suppressAutoHyphens w:val="true"/>
              <w:rPr>
                <w:b/>
                <w:bCs/>
                <w:color w:val="0C1838"/>
              </w:rPr>
            </w:pPr>
            <w:r>
              <w:rPr>
                <w:b/>
                <w:bCs/>
                <w:color w:val="0C1838"/>
                <w:kern w:val="0"/>
                <w:lang w:val="cs-CZ" w:bidi="ar-SA"/>
              </w:rPr>
              <w:t xml:space="preserve">Typ / </w:t>
            </w:r>
            <w:r>
              <w:rPr>
                <w:b/>
                <w:bCs/>
                <w:i/>
                <w:iCs/>
                <w:color w:val="0C1838"/>
                <w:kern w:val="0"/>
                <w:lang w:val="cs-CZ" w:bidi="ar-SA"/>
              </w:rPr>
              <w:t>Type</w:t>
            </w:r>
          </w:p>
        </w:tc>
        <w:tc>
          <w:tcPr>
            <w:tcW w:w="847" w:type="dxa"/>
            <w:tcBorders>
              <w:top w:val="nil"/>
              <w:left w:val="nil"/>
              <w:bottom w:val="nil"/>
              <w:right w:val="nil"/>
            </w:tcBorders>
            <w:vAlign w:val="bottom"/>
          </w:tcPr>
          <w:p>
            <w:pPr>
              <w:pStyle w:val="Tabulkatext"/>
              <w:widowControl/>
              <w:suppressAutoHyphens w:val="true"/>
              <w:jc w:val="right"/>
              <w:rPr>
                <w:b/>
                <w:bCs/>
                <w:color w:val="0C1838"/>
              </w:rPr>
            </w:pPr>
            <w:r>
              <w:rPr>
                <w:b/>
                <w:bCs/>
                <w:color w:val="0C1838"/>
                <w:kern w:val="0"/>
                <w:lang w:val="cs-CZ" w:bidi="ar-SA"/>
              </w:rPr>
              <w:t>N</w:t>
            </w:r>
          </w:p>
        </w:tc>
        <w:tc>
          <w:tcPr>
            <w:tcW w:w="850" w:type="dxa"/>
            <w:tcBorders>
              <w:top w:val="nil"/>
              <w:left w:val="nil"/>
              <w:bottom w:val="nil"/>
              <w:right w:val="nil"/>
            </w:tcBorders>
            <w:vAlign w:val="bottom"/>
          </w:tcPr>
          <w:p>
            <w:pPr>
              <w:pStyle w:val="Tabulkatext"/>
              <w:widowControl/>
              <w:suppressAutoHyphens w:val="true"/>
              <w:jc w:val="right"/>
              <w:rPr>
                <w:b/>
                <w:bCs/>
                <w:color w:val="0C1838"/>
              </w:rPr>
            </w:pPr>
            <w:r>
              <w:rPr>
                <w:b/>
                <w:bCs/>
                <w:color w:val="0C1838"/>
                <w:kern w:val="0"/>
                <w:lang w:val="cs-CZ" w:bidi="ar-SA"/>
              </w:rPr>
              <w:t>avg</w:t>
            </w:r>
          </w:p>
        </w:tc>
        <w:tc>
          <w:tcPr>
            <w:tcW w:w="849" w:type="dxa"/>
            <w:tcBorders>
              <w:top w:val="nil"/>
              <w:left w:val="nil"/>
              <w:bottom w:val="nil"/>
              <w:right w:val="nil"/>
            </w:tcBorders>
            <w:vAlign w:val="bottom"/>
          </w:tcPr>
          <w:p>
            <w:pPr>
              <w:pStyle w:val="Tabulkatext"/>
              <w:widowControl/>
              <w:suppressAutoHyphens w:val="true"/>
              <w:jc w:val="right"/>
              <w:rPr>
                <w:b/>
                <w:bCs/>
                <w:color w:val="0C1838"/>
              </w:rPr>
            </w:pPr>
            <w:r>
              <w:rPr>
                <w:b/>
                <w:bCs/>
                <w:color w:val="0C1838"/>
                <w:kern w:val="0"/>
                <w:lang w:val="cs-CZ" w:bidi="ar-SA"/>
              </w:rPr>
              <w:t>min</w:t>
            </w:r>
          </w:p>
        </w:tc>
        <w:tc>
          <w:tcPr>
            <w:tcW w:w="849" w:type="dxa"/>
            <w:tcBorders>
              <w:top w:val="nil"/>
              <w:left w:val="nil"/>
              <w:bottom w:val="nil"/>
              <w:right w:val="nil"/>
            </w:tcBorders>
            <w:vAlign w:val="bottom"/>
          </w:tcPr>
          <w:p>
            <w:pPr>
              <w:pStyle w:val="Tabulkatext"/>
              <w:widowControl/>
              <w:suppressAutoHyphens w:val="true"/>
              <w:jc w:val="right"/>
              <w:rPr>
                <w:b/>
                <w:bCs/>
                <w:color w:val="0C1838"/>
              </w:rPr>
            </w:pPr>
            <w:r>
              <w:rPr>
                <w:b/>
                <w:bCs/>
                <w:color w:val="0C1838"/>
                <w:kern w:val="0"/>
                <w:lang w:val="cs-CZ" w:bidi="ar-SA"/>
              </w:rPr>
              <w:t>max</w:t>
            </w:r>
          </w:p>
        </w:tc>
        <w:tc>
          <w:tcPr>
            <w:tcW w:w="849" w:type="dxa"/>
            <w:tcBorders>
              <w:top w:val="nil"/>
              <w:left w:val="nil"/>
              <w:bottom w:val="nil"/>
              <w:right w:val="nil"/>
            </w:tcBorders>
            <w:vAlign w:val="bottom"/>
          </w:tcPr>
          <w:p>
            <w:pPr>
              <w:pStyle w:val="Tabulkatext"/>
              <w:widowControl/>
              <w:suppressAutoHyphens w:val="true"/>
              <w:jc w:val="right"/>
              <w:rPr>
                <w:b/>
                <w:bCs/>
                <w:color w:val="0C1838"/>
              </w:rPr>
            </w:pPr>
            <w:r>
              <w:rPr>
                <w:b/>
                <w:bCs/>
                <w:color w:val="0C1838"/>
                <w:kern w:val="0"/>
                <w:lang w:val="cs-CZ" w:bidi="ar-SA"/>
              </w:rPr>
              <w:t>SD</w:t>
            </w:r>
          </w:p>
        </w:tc>
        <w:tc>
          <w:tcPr>
            <w:tcW w:w="849" w:type="dxa"/>
            <w:tcBorders>
              <w:top w:val="nil"/>
              <w:left w:val="nil"/>
              <w:bottom w:val="nil"/>
              <w:right w:val="nil"/>
            </w:tcBorders>
            <w:vAlign w:val="bottom"/>
          </w:tcPr>
          <w:p>
            <w:pPr>
              <w:pStyle w:val="Tabulkatext"/>
              <w:widowControl/>
              <w:suppressAutoHyphens w:val="true"/>
              <w:jc w:val="right"/>
              <w:rPr>
                <w:b/>
                <w:bCs/>
                <w:color w:val="0C1838"/>
              </w:rPr>
            </w:pPr>
            <w:r>
              <w:rPr>
                <w:b/>
                <w:bCs/>
                <w:color w:val="0C1838"/>
                <w:kern w:val="0"/>
                <w:lang w:val="cs-CZ" w:bidi="ar-SA"/>
              </w:rPr>
              <w:t>CV</w:t>
            </w:r>
          </w:p>
        </w:tc>
        <w:tc>
          <w:tcPr>
            <w:tcW w:w="849" w:type="dxa"/>
            <w:tcBorders>
              <w:top w:val="nil"/>
              <w:left w:val="nil"/>
              <w:bottom w:val="nil"/>
              <w:right w:val="nil"/>
            </w:tcBorders>
            <w:vAlign w:val="bottom"/>
          </w:tcPr>
          <w:p>
            <w:pPr>
              <w:pStyle w:val="Tabulkatext"/>
              <w:widowControl/>
              <w:suppressAutoHyphens w:val="true"/>
              <w:jc w:val="right"/>
              <w:rPr>
                <w:b/>
                <w:bCs/>
                <w:color w:val="0C1838"/>
              </w:rPr>
            </w:pPr>
            <w:r>
              <w:rPr>
                <w:b/>
                <w:bCs/>
                <w:color w:val="0C1838"/>
                <w:kern w:val="0"/>
                <w:lang w:val="cs-CZ" w:bidi="ar-SA"/>
              </w:rPr>
              <w:t>N_uni</w:t>
            </w:r>
          </w:p>
        </w:tc>
      </w:tr>
      <w:tr>
        <w:trPr/>
        <w:tc>
          <w:tcPr>
            <w:tcW w:w="2267" w:type="dxa"/>
            <w:tcBorders>
              <w:top w:val="nil"/>
              <w:left w:val="nil"/>
              <w:bottom w:val="nil"/>
              <w:right w:val="nil"/>
            </w:tcBorders>
            <w:vAlign w:val="center"/>
          </w:tcPr>
          <w:p>
            <w:pPr>
              <w:pStyle w:val="Tabulkatext"/>
              <w:widowControl/>
              <w:suppressAutoHyphens w:val="true"/>
              <w:rPr>
                <w:kern w:val="0"/>
                <w:lang w:val="cs-CZ" w:bidi="ar-SA"/>
              </w:rPr>
            </w:pPr>
            <w:r>
              <w:rPr>
                <w:kern w:val="0"/>
                <w:lang w:val="cs-CZ" w:eastAsia="en-US" w:bidi="ar-SA"/>
              </w:rPr>
              <w:t>[[#stats_01_EU_list_prices]]</w:t>
            </w:r>
            <w:r>
              <w:rPr>
                <w:kern w:val="0"/>
                <w:lang w:val="cs-CZ" w:bidi="ar-SA"/>
              </w:rPr>
              <w:t>[[name]]</w:t>
            </w:r>
          </w:p>
        </w:tc>
        <w:tc>
          <w:tcPr>
            <w:tcW w:w="851" w:type="dxa"/>
            <w:tcBorders>
              <w:top w:val="nil"/>
              <w:left w:val="nil"/>
              <w:bottom w:val="nil"/>
              <w:right w:val="nil"/>
            </w:tcBorders>
            <w:vAlign w:val="center"/>
          </w:tcPr>
          <w:p>
            <w:pPr>
              <w:pStyle w:val="Tabulkatext"/>
              <w:widowControl/>
              <w:suppressAutoHyphens w:val="true"/>
              <w:rPr>
                <w:kern w:val="0"/>
                <w:lang w:val="cs-CZ" w:bidi="ar-SA"/>
              </w:rPr>
            </w:pPr>
            <w:r>
              <w:rPr>
                <w:kern w:val="0"/>
                <w:lang w:val="cs-CZ" w:bidi="ar-SA"/>
              </w:rPr>
              <w:t>[[type]]</w:t>
            </w:r>
          </w:p>
        </w:tc>
        <w:tc>
          <w:tcPr>
            <w:tcW w:w="847" w:type="dxa"/>
            <w:tcBorders>
              <w:top w:val="nil"/>
              <w:left w:val="nil"/>
              <w:bottom w:val="nil"/>
              <w:right w:val="nil"/>
            </w:tcBorders>
            <w:vAlign w:val="center"/>
          </w:tcPr>
          <w:p>
            <w:pPr>
              <w:pStyle w:val="Tabulkatext"/>
              <w:widowControl/>
              <w:suppressAutoHyphens w:val="true"/>
              <w:jc w:val="right"/>
              <w:rPr>
                <w:kern w:val="0"/>
                <w:lang w:val="cs-CZ" w:bidi="ar-SA"/>
              </w:rPr>
            </w:pPr>
            <w:r>
              <w:rPr>
                <w:kern w:val="0"/>
                <w:lang w:val="cs-CZ" w:bidi="ar-SA"/>
              </w:rPr>
              <w:t>[[N]]</w:t>
            </w:r>
          </w:p>
        </w:tc>
        <w:tc>
          <w:tcPr>
            <w:tcW w:w="850" w:type="dxa"/>
            <w:tcBorders>
              <w:top w:val="nil"/>
              <w:left w:val="nil"/>
              <w:bottom w:val="nil"/>
              <w:right w:val="nil"/>
            </w:tcBorders>
            <w:vAlign w:val="center"/>
          </w:tcPr>
          <w:p>
            <w:pPr>
              <w:pStyle w:val="Tabulkatext"/>
              <w:widowControl/>
              <w:suppressAutoHyphens w:val="true"/>
              <w:jc w:val="right"/>
              <w:rPr>
                <w:kern w:val="0"/>
                <w:lang w:val="cs-CZ" w:bidi="ar-SA"/>
              </w:rPr>
            </w:pPr>
            <w:r>
              <w:rPr>
                <w:kern w:val="0"/>
                <w:lang w:val="cs-CZ" w:bidi="ar-SA"/>
              </w:rPr>
              <w:t>[[avg]]</w:t>
            </w:r>
          </w:p>
        </w:tc>
        <w:tc>
          <w:tcPr>
            <w:tcW w:w="849" w:type="dxa"/>
            <w:tcBorders>
              <w:top w:val="nil"/>
              <w:left w:val="nil"/>
              <w:bottom w:val="nil"/>
              <w:right w:val="nil"/>
            </w:tcBorders>
            <w:vAlign w:val="center"/>
          </w:tcPr>
          <w:p>
            <w:pPr>
              <w:pStyle w:val="Tabulkatext"/>
              <w:widowControl/>
              <w:suppressAutoHyphens w:val="true"/>
              <w:jc w:val="right"/>
              <w:rPr>
                <w:kern w:val="0"/>
                <w:lang w:val="cs-CZ" w:bidi="ar-SA"/>
              </w:rPr>
            </w:pPr>
            <w:r>
              <w:rPr>
                <w:kern w:val="0"/>
                <w:lang w:val="cs-CZ" w:bidi="ar-SA"/>
              </w:rPr>
              <w:t>[[min]]</w:t>
            </w:r>
          </w:p>
        </w:tc>
        <w:tc>
          <w:tcPr>
            <w:tcW w:w="849" w:type="dxa"/>
            <w:tcBorders>
              <w:top w:val="nil"/>
              <w:left w:val="nil"/>
              <w:bottom w:val="nil"/>
              <w:right w:val="nil"/>
            </w:tcBorders>
            <w:vAlign w:val="center"/>
          </w:tcPr>
          <w:p>
            <w:pPr>
              <w:pStyle w:val="Tabulkatext"/>
              <w:widowControl/>
              <w:suppressAutoHyphens w:val="true"/>
              <w:jc w:val="right"/>
              <w:rPr>
                <w:kern w:val="0"/>
                <w:lang w:val="cs-CZ" w:bidi="ar-SA"/>
              </w:rPr>
            </w:pPr>
            <w:r>
              <w:rPr>
                <w:kern w:val="0"/>
                <w:lang w:val="cs-CZ" w:bidi="ar-SA"/>
              </w:rPr>
              <w:t>[[max]]</w:t>
            </w:r>
          </w:p>
        </w:tc>
        <w:tc>
          <w:tcPr>
            <w:tcW w:w="849" w:type="dxa"/>
            <w:tcBorders>
              <w:top w:val="nil"/>
              <w:left w:val="nil"/>
              <w:bottom w:val="nil"/>
              <w:right w:val="nil"/>
            </w:tcBorders>
            <w:vAlign w:val="center"/>
          </w:tcPr>
          <w:p>
            <w:pPr>
              <w:pStyle w:val="Tabulkatext"/>
              <w:widowControl/>
              <w:suppressAutoHyphens w:val="true"/>
              <w:jc w:val="right"/>
              <w:rPr>
                <w:kern w:val="0"/>
                <w:lang w:val="cs-CZ" w:bidi="ar-SA"/>
              </w:rPr>
            </w:pPr>
            <w:r>
              <w:rPr>
                <w:kern w:val="0"/>
                <w:lang w:val="cs-CZ" w:bidi="ar-SA"/>
              </w:rPr>
              <w:t>[[SD]]</w:t>
            </w:r>
          </w:p>
        </w:tc>
        <w:tc>
          <w:tcPr>
            <w:tcW w:w="849" w:type="dxa"/>
            <w:tcBorders>
              <w:top w:val="nil"/>
              <w:left w:val="nil"/>
              <w:bottom w:val="nil"/>
              <w:right w:val="nil"/>
            </w:tcBorders>
            <w:vAlign w:val="center"/>
          </w:tcPr>
          <w:p>
            <w:pPr>
              <w:pStyle w:val="Tabulkatext"/>
              <w:widowControl/>
              <w:suppressAutoHyphens w:val="true"/>
              <w:jc w:val="right"/>
              <w:rPr>
                <w:kern w:val="0"/>
                <w:lang w:val="cs-CZ" w:bidi="ar-SA"/>
              </w:rPr>
            </w:pPr>
            <w:r>
              <w:rPr>
                <w:kern w:val="0"/>
                <w:lang w:val="cs-CZ" w:bidi="ar-SA"/>
              </w:rPr>
              <w:t>[[CV]]</w:t>
            </w:r>
          </w:p>
        </w:tc>
        <w:tc>
          <w:tcPr>
            <w:tcW w:w="849" w:type="dxa"/>
            <w:tcBorders>
              <w:top w:val="nil"/>
              <w:left w:val="nil"/>
              <w:bottom w:val="nil"/>
              <w:right w:val="nil"/>
            </w:tcBorders>
            <w:vAlign w:val="center"/>
          </w:tcPr>
          <w:p>
            <w:pPr>
              <w:pStyle w:val="Tabulkatext"/>
              <w:widowControl/>
              <w:suppressAutoHyphens w:val="true"/>
              <w:jc w:val="right"/>
              <w:rPr>
                <w:kern w:val="0"/>
                <w:lang w:val="cs-CZ" w:bidi="ar-SA"/>
              </w:rPr>
            </w:pPr>
            <w:r>
              <w:rPr>
                <w:kern w:val="0"/>
                <w:lang w:val="cs-CZ" w:bidi="ar-SA"/>
              </w:rPr>
              <w:t>[[N_uni]][[/stats_01_EU_list_prices]]</w:t>
            </w:r>
          </w:p>
        </w:tc>
      </w:tr>
    </w:tbl>
    <w:p>
      <w:pPr>
        <w:pStyle w:val="Zdroj"/>
        <w:rPr/>
      </w:pPr>
      <w:r>
        <w:rPr/>
        <w:t xml:space="preserve">Poznámka / Note: V tabulce je uveden počet pozorování (N), průměr (avg), minimální a maximální hodnota (min a max), směrodatná odchylka (SD), variabilita (CV) a počet unikátních pozorování (N_uni). / </w:t>
      </w:r>
      <w:r>
        <w:rPr>
          <w:lang w:val="en-GB"/>
        </w:rPr>
        <w:t>The table sets out the number of observations (N), the mean (avg), minimum and maximum values (min and max), standard deviation (SD), coefficient of variation (CV), and the number of unique observations (N_uni).</w:t>
      </w:r>
    </w:p>
    <w:p>
      <w:pPr>
        <w:pStyle w:val="Textprost"/>
        <w:rPr/>
      </w:pPr>
      <w:r>
        <w:rPr/>
        <w:t>Z tabulky je zřejmé,</w:t>
      </w:r>
      <w:r>
        <w:rPr>
          <w:rStyle w:val="FootnoteReference"/>
        </w:rPr>
        <w:footnoteReference w:id="100"/>
      </w:r>
      <w:r>
        <w:rPr/>
        <w:t xml:space="preserve"> že do analýzy nevstupují všechna pozorování, neboť dataset nebyl z důvodu procesní úspory a efektivnosti zpětně zacelován.</w:t>
      </w:r>
    </w:p>
    <w:p>
      <w:pPr>
        <w:pStyle w:val="Textprost"/>
        <w:rPr/>
      </w:pPr>
      <w:r>
        <w:rPr/>
        <w:t>Na základě zjištěných indicií předběžného posouzení provedl Úřad opakovaný sběr ceníkových cen mobilních tarifů v EU z veřejně dostupných zdrojů. Popisnou statistiku takto získaných proměnných z opakovaného sběru (dále jen „sběr č. 2“) uvádí Tabulka č. XXX.</w:t>
      </w:r>
    </w:p>
    <w:p>
      <w:pPr>
        <w:pStyle w:val="Tabulka"/>
        <w:numPr>
          <w:ilvl w:val="0"/>
          <w:numId w:val="3"/>
        </w:numPr>
        <w:ind w:hanging="1560" w:left="1560" w:right="0"/>
        <w:rPr/>
      </w:pPr>
      <w:bookmarkStart w:id="76" w:name="_Toc229057971"/>
      <w:r>
        <w:rPr/>
        <w:t>Popisná statistika proměnných ze sběru č. 2 ceníkových cen mobilních tarifů v EU</w:t>
      </w:r>
      <w:bookmarkEnd w:id="76"/>
    </w:p>
    <w:p>
      <w:pPr>
        <w:pStyle w:val="TabulkavAJ"/>
        <w:ind w:hanging="0" w:left="1560" w:right="0"/>
        <w:rPr/>
      </w:pPr>
      <w:bookmarkStart w:id="77" w:name="_Toc229060844"/>
      <w:r>
        <w:rPr/>
        <w:t>Descriptive statistics of variables from data collection No. 2 on mobile tariff list prices in the EU</w:t>
      </w:r>
      <w:bookmarkEnd w:id="77"/>
    </w:p>
    <w:tbl>
      <w:tblPr>
        <w:tblStyle w:val="TableGrid"/>
        <w:tblW w:w="906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7"/>
        <w:gridCol w:w="851"/>
        <w:gridCol w:w="847"/>
        <w:gridCol w:w="850"/>
        <w:gridCol w:w="849"/>
        <w:gridCol w:w="849"/>
        <w:gridCol w:w="849"/>
        <w:gridCol w:w="849"/>
        <w:gridCol w:w="849"/>
      </w:tblGrid>
      <w:tr>
        <w:trPr/>
        <w:tc>
          <w:tcPr>
            <w:tcW w:w="2267" w:type="dxa"/>
            <w:tcBorders>
              <w:top w:val="nil"/>
              <w:left w:val="nil"/>
              <w:bottom w:val="nil"/>
              <w:right w:val="nil"/>
            </w:tcBorders>
            <w:vAlign w:val="bottom"/>
          </w:tcPr>
          <w:p>
            <w:pPr>
              <w:pStyle w:val="Tabulkatext"/>
              <w:widowControl/>
              <w:suppressAutoHyphens w:val="true"/>
              <w:rPr>
                <w:b/>
                <w:bCs/>
                <w:color w:val="0C1838"/>
              </w:rPr>
            </w:pPr>
            <w:r>
              <w:rPr>
                <w:b/>
                <w:bCs/>
                <w:color w:val="0C1838"/>
                <w:kern w:val="0"/>
                <w:lang w:val="cs-CZ" w:bidi="ar-SA"/>
              </w:rPr>
              <w:t>Název / Name</w:t>
            </w:r>
          </w:p>
        </w:tc>
        <w:tc>
          <w:tcPr>
            <w:tcW w:w="851" w:type="dxa"/>
            <w:tcBorders>
              <w:top w:val="nil"/>
              <w:left w:val="nil"/>
              <w:bottom w:val="nil"/>
              <w:right w:val="nil"/>
            </w:tcBorders>
            <w:vAlign w:val="bottom"/>
          </w:tcPr>
          <w:p>
            <w:pPr>
              <w:pStyle w:val="Tabulkatext"/>
              <w:widowControl/>
              <w:suppressAutoHyphens w:val="true"/>
              <w:rPr>
                <w:b/>
                <w:bCs/>
                <w:color w:val="0C1838"/>
              </w:rPr>
            </w:pPr>
            <w:r>
              <w:rPr>
                <w:b/>
                <w:bCs/>
                <w:color w:val="0C1838"/>
                <w:kern w:val="0"/>
                <w:lang w:val="cs-CZ" w:bidi="ar-SA"/>
              </w:rPr>
              <w:t>Typ / Type</w:t>
            </w:r>
          </w:p>
        </w:tc>
        <w:tc>
          <w:tcPr>
            <w:tcW w:w="847" w:type="dxa"/>
            <w:tcBorders>
              <w:top w:val="nil"/>
              <w:left w:val="nil"/>
              <w:bottom w:val="nil"/>
              <w:right w:val="nil"/>
            </w:tcBorders>
            <w:vAlign w:val="bottom"/>
          </w:tcPr>
          <w:p>
            <w:pPr>
              <w:pStyle w:val="Tabulkatext"/>
              <w:widowControl/>
              <w:suppressAutoHyphens w:val="true"/>
              <w:jc w:val="right"/>
              <w:rPr>
                <w:b/>
                <w:bCs/>
                <w:color w:val="0C1838"/>
              </w:rPr>
            </w:pPr>
            <w:r>
              <w:rPr>
                <w:b/>
                <w:bCs/>
                <w:color w:val="0C1838"/>
                <w:kern w:val="0"/>
                <w:lang w:val="cs-CZ" w:bidi="ar-SA"/>
              </w:rPr>
              <w:t>N</w:t>
            </w:r>
          </w:p>
        </w:tc>
        <w:tc>
          <w:tcPr>
            <w:tcW w:w="850" w:type="dxa"/>
            <w:tcBorders>
              <w:top w:val="nil"/>
              <w:left w:val="nil"/>
              <w:bottom w:val="nil"/>
              <w:right w:val="nil"/>
            </w:tcBorders>
            <w:vAlign w:val="bottom"/>
          </w:tcPr>
          <w:p>
            <w:pPr>
              <w:pStyle w:val="Tabulkatext"/>
              <w:widowControl/>
              <w:suppressAutoHyphens w:val="true"/>
              <w:jc w:val="right"/>
              <w:rPr>
                <w:b/>
                <w:bCs/>
                <w:color w:val="0C1838"/>
              </w:rPr>
            </w:pPr>
            <w:r>
              <w:rPr>
                <w:b/>
                <w:bCs/>
                <w:color w:val="0C1838"/>
                <w:kern w:val="0"/>
                <w:lang w:val="cs-CZ" w:bidi="ar-SA"/>
              </w:rPr>
              <w:t>avg</w:t>
            </w:r>
          </w:p>
        </w:tc>
        <w:tc>
          <w:tcPr>
            <w:tcW w:w="849" w:type="dxa"/>
            <w:tcBorders>
              <w:top w:val="nil"/>
              <w:left w:val="nil"/>
              <w:bottom w:val="nil"/>
              <w:right w:val="nil"/>
            </w:tcBorders>
            <w:vAlign w:val="bottom"/>
          </w:tcPr>
          <w:p>
            <w:pPr>
              <w:pStyle w:val="Tabulkatext"/>
              <w:widowControl/>
              <w:suppressAutoHyphens w:val="true"/>
              <w:jc w:val="right"/>
              <w:rPr>
                <w:b/>
                <w:bCs/>
                <w:color w:val="0C1838"/>
              </w:rPr>
            </w:pPr>
            <w:r>
              <w:rPr>
                <w:b/>
                <w:bCs/>
                <w:color w:val="0C1838"/>
                <w:kern w:val="0"/>
                <w:lang w:val="cs-CZ" w:bidi="ar-SA"/>
              </w:rPr>
              <w:t>min</w:t>
            </w:r>
          </w:p>
        </w:tc>
        <w:tc>
          <w:tcPr>
            <w:tcW w:w="849" w:type="dxa"/>
            <w:tcBorders>
              <w:top w:val="nil"/>
              <w:left w:val="nil"/>
              <w:bottom w:val="nil"/>
              <w:right w:val="nil"/>
            </w:tcBorders>
            <w:vAlign w:val="bottom"/>
          </w:tcPr>
          <w:p>
            <w:pPr>
              <w:pStyle w:val="Tabulkatext"/>
              <w:widowControl/>
              <w:suppressAutoHyphens w:val="true"/>
              <w:jc w:val="right"/>
              <w:rPr>
                <w:b/>
                <w:bCs/>
                <w:color w:val="0C1838"/>
              </w:rPr>
            </w:pPr>
            <w:r>
              <w:rPr>
                <w:b/>
                <w:bCs/>
                <w:color w:val="0C1838"/>
                <w:kern w:val="0"/>
                <w:lang w:val="cs-CZ" w:bidi="ar-SA"/>
              </w:rPr>
              <w:t>max</w:t>
            </w:r>
          </w:p>
        </w:tc>
        <w:tc>
          <w:tcPr>
            <w:tcW w:w="849" w:type="dxa"/>
            <w:tcBorders>
              <w:top w:val="nil"/>
              <w:left w:val="nil"/>
              <w:bottom w:val="nil"/>
              <w:right w:val="nil"/>
            </w:tcBorders>
            <w:vAlign w:val="bottom"/>
          </w:tcPr>
          <w:p>
            <w:pPr>
              <w:pStyle w:val="Tabulkatext"/>
              <w:widowControl/>
              <w:suppressAutoHyphens w:val="true"/>
              <w:jc w:val="right"/>
              <w:rPr>
                <w:b/>
                <w:bCs/>
                <w:color w:val="0C1838"/>
              </w:rPr>
            </w:pPr>
            <w:r>
              <w:rPr>
                <w:b/>
                <w:bCs/>
                <w:color w:val="0C1838"/>
                <w:kern w:val="0"/>
                <w:lang w:val="cs-CZ" w:bidi="ar-SA"/>
              </w:rPr>
              <w:t>SD</w:t>
            </w:r>
          </w:p>
        </w:tc>
        <w:tc>
          <w:tcPr>
            <w:tcW w:w="849" w:type="dxa"/>
            <w:tcBorders>
              <w:top w:val="nil"/>
              <w:left w:val="nil"/>
              <w:bottom w:val="nil"/>
              <w:right w:val="nil"/>
            </w:tcBorders>
            <w:vAlign w:val="bottom"/>
          </w:tcPr>
          <w:p>
            <w:pPr>
              <w:pStyle w:val="Tabulkatext"/>
              <w:widowControl/>
              <w:suppressAutoHyphens w:val="true"/>
              <w:jc w:val="right"/>
              <w:rPr>
                <w:b/>
                <w:bCs/>
                <w:color w:val="0C1838"/>
              </w:rPr>
            </w:pPr>
            <w:r>
              <w:rPr>
                <w:b/>
                <w:bCs/>
                <w:color w:val="0C1838"/>
                <w:kern w:val="0"/>
                <w:lang w:val="cs-CZ" w:bidi="ar-SA"/>
              </w:rPr>
              <w:t>CV</w:t>
            </w:r>
          </w:p>
        </w:tc>
        <w:tc>
          <w:tcPr>
            <w:tcW w:w="849" w:type="dxa"/>
            <w:tcBorders>
              <w:top w:val="nil"/>
              <w:left w:val="nil"/>
              <w:bottom w:val="nil"/>
              <w:right w:val="nil"/>
            </w:tcBorders>
            <w:vAlign w:val="bottom"/>
          </w:tcPr>
          <w:p>
            <w:pPr>
              <w:pStyle w:val="Tabulkatext"/>
              <w:widowControl/>
              <w:suppressAutoHyphens w:val="true"/>
              <w:jc w:val="right"/>
              <w:rPr>
                <w:b/>
                <w:bCs/>
                <w:color w:val="0C1838"/>
              </w:rPr>
            </w:pPr>
            <w:r>
              <w:rPr>
                <w:b/>
                <w:bCs/>
                <w:color w:val="0C1838"/>
                <w:kern w:val="0"/>
                <w:lang w:val="cs-CZ" w:bidi="ar-SA"/>
              </w:rPr>
              <w:t>N_uni</w:t>
            </w:r>
          </w:p>
        </w:tc>
      </w:tr>
      <w:tr>
        <w:trPr/>
        <w:tc>
          <w:tcPr>
            <w:tcW w:w="2267" w:type="dxa"/>
            <w:tcBorders>
              <w:top w:val="nil"/>
              <w:left w:val="nil"/>
              <w:bottom w:val="nil"/>
              <w:right w:val="nil"/>
            </w:tcBorders>
            <w:vAlign w:val="center"/>
          </w:tcPr>
          <w:p>
            <w:pPr>
              <w:pStyle w:val="Tabulkatext"/>
              <w:widowControl/>
              <w:suppressAutoHyphens w:val="true"/>
              <w:rPr>
                <w:kern w:val="0"/>
                <w:lang w:val="cs-CZ" w:bidi="ar-SA"/>
              </w:rPr>
            </w:pPr>
            <w:r>
              <w:rPr>
                <w:kern w:val="0"/>
                <w:lang w:val="cs-CZ" w:eastAsia="en-US" w:bidi="ar-SA"/>
              </w:rPr>
              <w:t>[[#stats_02_EU_list_prices]]</w:t>
            </w:r>
            <w:r>
              <w:rPr>
                <w:kern w:val="0"/>
                <w:lang w:val="cs-CZ" w:bidi="ar-SA"/>
              </w:rPr>
              <w:t>[[name]]</w:t>
            </w:r>
          </w:p>
        </w:tc>
        <w:tc>
          <w:tcPr>
            <w:tcW w:w="851" w:type="dxa"/>
            <w:tcBorders>
              <w:top w:val="nil"/>
              <w:left w:val="nil"/>
              <w:bottom w:val="nil"/>
              <w:right w:val="nil"/>
            </w:tcBorders>
            <w:vAlign w:val="center"/>
          </w:tcPr>
          <w:p>
            <w:pPr>
              <w:pStyle w:val="Tabulkatext"/>
              <w:widowControl/>
              <w:suppressAutoHyphens w:val="true"/>
              <w:rPr>
                <w:kern w:val="0"/>
                <w:lang w:val="cs-CZ" w:bidi="ar-SA"/>
              </w:rPr>
            </w:pPr>
            <w:r>
              <w:rPr>
                <w:kern w:val="0"/>
                <w:lang w:val="cs-CZ" w:bidi="ar-SA"/>
              </w:rPr>
              <w:t>[[type]]</w:t>
            </w:r>
          </w:p>
        </w:tc>
        <w:tc>
          <w:tcPr>
            <w:tcW w:w="847" w:type="dxa"/>
            <w:tcBorders>
              <w:top w:val="nil"/>
              <w:left w:val="nil"/>
              <w:bottom w:val="nil"/>
              <w:right w:val="nil"/>
            </w:tcBorders>
            <w:vAlign w:val="center"/>
          </w:tcPr>
          <w:p>
            <w:pPr>
              <w:pStyle w:val="Tabulkatext"/>
              <w:widowControl/>
              <w:suppressAutoHyphens w:val="true"/>
              <w:jc w:val="right"/>
              <w:rPr>
                <w:kern w:val="0"/>
                <w:lang w:val="cs-CZ" w:bidi="ar-SA"/>
              </w:rPr>
            </w:pPr>
            <w:r>
              <w:rPr>
                <w:kern w:val="0"/>
                <w:lang w:val="cs-CZ" w:bidi="ar-SA"/>
              </w:rPr>
              <w:t>[[N]]</w:t>
            </w:r>
          </w:p>
        </w:tc>
        <w:tc>
          <w:tcPr>
            <w:tcW w:w="850" w:type="dxa"/>
            <w:tcBorders>
              <w:top w:val="nil"/>
              <w:left w:val="nil"/>
              <w:bottom w:val="nil"/>
              <w:right w:val="nil"/>
            </w:tcBorders>
            <w:vAlign w:val="center"/>
          </w:tcPr>
          <w:p>
            <w:pPr>
              <w:pStyle w:val="Tabulkatext"/>
              <w:widowControl/>
              <w:suppressAutoHyphens w:val="true"/>
              <w:jc w:val="right"/>
              <w:rPr>
                <w:kern w:val="0"/>
                <w:lang w:val="cs-CZ" w:bidi="ar-SA"/>
              </w:rPr>
            </w:pPr>
            <w:r>
              <w:rPr>
                <w:kern w:val="0"/>
                <w:lang w:val="cs-CZ" w:bidi="ar-SA"/>
              </w:rPr>
              <w:t>[[avg]]</w:t>
            </w:r>
          </w:p>
        </w:tc>
        <w:tc>
          <w:tcPr>
            <w:tcW w:w="849" w:type="dxa"/>
            <w:tcBorders>
              <w:top w:val="nil"/>
              <w:left w:val="nil"/>
              <w:bottom w:val="nil"/>
              <w:right w:val="nil"/>
            </w:tcBorders>
            <w:vAlign w:val="center"/>
          </w:tcPr>
          <w:p>
            <w:pPr>
              <w:pStyle w:val="Tabulkatext"/>
              <w:widowControl/>
              <w:suppressAutoHyphens w:val="true"/>
              <w:jc w:val="right"/>
              <w:rPr>
                <w:kern w:val="0"/>
                <w:lang w:val="cs-CZ" w:bidi="ar-SA"/>
              </w:rPr>
            </w:pPr>
            <w:r>
              <w:rPr>
                <w:kern w:val="0"/>
                <w:lang w:val="cs-CZ" w:bidi="ar-SA"/>
              </w:rPr>
              <w:t>[[min]]</w:t>
            </w:r>
          </w:p>
        </w:tc>
        <w:tc>
          <w:tcPr>
            <w:tcW w:w="849" w:type="dxa"/>
            <w:tcBorders>
              <w:top w:val="nil"/>
              <w:left w:val="nil"/>
              <w:bottom w:val="nil"/>
              <w:right w:val="nil"/>
            </w:tcBorders>
            <w:vAlign w:val="center"/>
          </w:tcPr>
          <w:p>
            <w:pPr>
              <w:pStyle w:val="Tabulkatext"/>
              <w:widowControl/>
              <w:suppressAutoHyphens w:val="true"/>
              <w:jc w:val="right"/>
              <w:rPr>
                <w:kern w:val="0"/>
                <w:lang w:val="cs-CZ" w:bidi="ar-SA"/>
              </w:rPr>
            </w:pPr>
            <w:r>
              <w:rPr>
                <w:kern w:val="0"/>
                <w:lang w:val="cs-CZ" w:bidi="ar-SA"/>
              </w:rPr>
              <w:t>[[max]]</w:t>
            </w:r>
          </w:p>
        </w:tc>
        <w:tc>
          <w:tcPr>
            <w:tcW w:w="849" w:type="dxa"/>
            <w:tcBorders>
              <w:top w:val="nil"/>
              <w:left w:val="nil"/>
              <w:bottom w:val="nil"/>
              <w:right w:val="nil"/>
            </w:tcBorders>
            <w:vAlign w:val="center"/>
          </w:tcPr>
          <w:p>
            <w:pPr>
              <w:pStyle w:val="Tabulkatext"/>
              <w:widowControl/>
              <w:suppressAutoHyphens w:val="true"/>
              <w:jc w:val="right"/>
              <w:rPr>
                <w:kern w:val="0"/>
                <w:lang w:val="cs-CZ" w:bidi="ar-SA"/>
              </w:rPr>
            </w:pPr>
            <w:r>
              <w:rPr>
                <w:kern w:val="0"/>
                <w:lang w:val="cs-CZ" w:bidi="ar-SA"/>
              </w:rPr>
              <w:t>[[SD]]</w:t>
            </w:r>
          </w:p>
        </w:tc>
        <w:tc>
          <w:tcPr>
            <w:tcW w:w="849" w:type="dxa"/>
            <w:tcBorders>
              <w:top w:val="nil"/>
              <w:left w:val="nil"/>
              <w:bottom w:val="nil"/>
              <w:right w:val="nil"/>
            </w:tcBorders>
            <w:vAlign w:val="center"/>
          </w:tcPr>
          <w:p>
            <w:pPr>
              <w:pStyle w:val="Tabulkatext"/>
              <w:widowControl/>
              <w:suppressAutoHyphens w:val="true"/>
              <w:jc w:val="right"/>
              <w:rPr>
                <w:kern w:val="0"/>
                <w:lang w:val="cs-CZ" w:bidi="ar-SA"/>
              </w:rPr>
            </w:pPr>
            <w:r>
              <w:rPr>
                <w:kern w:val="0"/>
                <w:lang w:val="cs-CZ" w:bidi="ar-SA"/>
              </w:rPr>
              <w:t>[[CV]]</w:t>
            </w:r>
          </w:p>
        </w:tc>
        <w:tc>
          <w:tcPr>
            <w:tcW w:w="849" w:type="dxa"/>
            <w:tcBorders>
              <w:top w:val="nil"/>
              <w:left w:val="nil"/>
              <w:bottom w:val="nil"/>
              <w:right w:val="nil"/>
            </w:tcBorders>
            <w:vAlign w:val="center"/>
          </w:tcPr>
          <w:p>
            <w:pPr>
              <w:pStyle w:val="Tabulkatext"/>
              <w:widowControl/>
              <w:suppressAutoHyphens w:val="true"/>
              <w:jc w:val="right"/>
              <w:rPr>
                <w:kern w:val="0"/>
                <w:lang w:val="cs-CZ" w:bidi="ar-SA"/>
              </w:rPr>
            </w:pPr>
            <w:r>
              <w:rPr>
                <w:kern w:val="0"/>
                <w:lang w:val="cs-CZ" w:bidi="ar-SA"/>
              </w:rPr>
              <w:t>[[N_uni]][[/stats_02_EU_list_prices]]</w:t>
            </w:r>
          </w:p>
        </w:tc>
      </w:tr>
    </w:tbl>
    <w:p>
      <w:pPr>
        <w:pStyle w:val="Zdroj"/>
        <w:rPr/>
      </w:pPr>
      <w:r>
        <w:rPr/>
        <w:t xml:space="preserve">Poznámka / Note: V tabulce je uveden počet pozorování (N), průměr (avg), minimální a maximální hodnota (min a max), směrodatná odchylka (SD), variabilita (CV) a počet unikátních pozorování (N_uni). / </w:t>
      </w:r>
      <w:r>
        <w:rPr>
          <w:lang w:val="en-GB"/>
        </w:rPr>
        <w:t>The table sets out the number of observations (N), the mean (avg), minimum and maximum values (min and max), standard deviation (SD), coefficient of variation (CV), and the number of unique observations (N_uni).</w:t>
      </w:r>
    </w:p>
    <w:p>
      <w:pPr>
        <w:pStyle w:val="Heading3"/>
        <w:ind w:hanging="1134" w:left="142" w:right="284"/>
        <w:rPr/>
      </w:pPr>
      <w:bookmarkStart w:id="78" w:name="_Toc229057817"/>
      <w:r>
        <w:rPr/>
        <w:t>Vyžádané podklady a informace od mobilních operátorů</w:t>
      </w:r>
      <w:bookmarkEnd w:id="78"/>
    </w:p>
    <w:p>
      <w:pPr>
        <w:pStyle w:val="Textprost"/>
        <w:rPr/>
      </w:pPr>
      <w:r>
        <w:rPr/>
        <w:t>sersh</w:t>
      </w:r>
    </w:p>
    <w:p>
      <w:pPr>
        <w:pStyle w:val="Heading3"/>
        <w:ind w:hanging="1134" w:left="142" w:right="284"/>
        <w:rPr/>
      </w:pPr>
      <w:bookmarkStart w:id="79" w:name="_Toc229057818"/>
      <w:r>
        <w:rPr/>
        <w:t>Vyžádané podklady a informace od virtuálních mobilních operátorů</w:t>
      </w:r>
      <w:bookmarkEnd w:id="79"/>
    </w:p>
    <w:p>
      <w:pPr>
        <w:pStyle w:val="Textprost"/>
        <w:rPr/>
      </w:pPr>
      <w:r>
        <w:rPr/>
        <w:t>Ser</w:t>
      </w:r>
    </w:p>
    <w:p>
      <w:pPr>
        <w:pStyle w:val="Heading3"/>
        <w:ind w:hanging="1134" w:left="142" w:right="284"/>
        <w:rPr/>
      </w:pPr>
      <w:bookmarkStart w:id="80" w:name="_Toc229057819"/>
      <w:r>
        <w:rPr/>
        <w:t>Transakční údaje</w:t>
      </w:r>
      <w:bookmarkEnd w:id="80"/>
    </w:p>
    <w:p>
      <w:pPr>
        <w:pStyle w:val="Textprost"/>
        <w:rPr/>
      </w:pPr>
      <w:r>
        <w:rPr/>
        <w:t>Sdg</w:t>
      </w:r>
    </w:p>
    <w:p>
      <w:pPr>
        <w:pStyle w:val="Heading3"/>
        <w:ind w:hanging="1134" w:left="142" w:right="284"/>
        <w:rPr/>
      </w:pPr>
      <w:bookmarkStart w:id="81" w:name="_Toc229057820"/>
      <w:r>
        <w:rPr/>
        <w:t>Účetní a finanční údaje</w:t>
      </w:r>
      <w:bookmarkEnd w:id="81"/>
    </w:p>
    <w:p>
      <w:pPr>
        <w:pStyle w:val="Textprost"/>
        <w:rPr/>
      </w:pPr>
      <w:r>
        <w:rPr/>
        <w:t>fdxngh</w:t>
      </w:r>
    </w:p>
    <w:p>
      <w:pPr>
        <w:pStyle w:val="Heading2"/>
        <w:ind w:hanging="1135" w:left="142" w:right="284"/>
        <w:rPr/>
      </w:pPr>
      <w:bookmarkStart w:id="82" w:name="_Toc229057821"/>
      <w:r>
        <w:rPr/>
        <w:t>Metodika šetření</w:t>
      </w:r>
      <w:bookmarkEnd w:id="82"/>
    </w:p>
    <w:p>
      <w:pPr>
        <w:pStyle w:val="Textprost"/>
        <w:rPr/>
      </w:pPr>
      <w:r>
        <w:rPr/>
        <w:t>V této části Úřad nastiňuje, jaké metody zejména ekonometrické, využil v jednotlivých analýzách. Pro lepší přehlednost Úřad místo standardního zápisu ekonometrických modelů pomocí rovnice jako např.:</w:t>
      </w:r>
    </w:p>
    <w:p>
      <w:pPr>
        <w:pStyle w:val="Rovnice"/>
        <w:numPr>
          <w:ilvl w:val="0"/>
          <w:numId w:val="10"/>
        </w:numPr>
        <w:ind w:hanging="284" w:left="142" w:right="0"/>
        <w:rPr/>
      </w:pPr>
      <w:r>
        <w:rPr/>
        <w:t xml:space="preserve"> </w:t>
      </w:r>
      <w:r>
        <w:rPr/>
        <w:tab/>
        <w:t>[[% $y = \alpha + \beta X + \epsilon$]]</w:t>
      </w:r>
    </w:p>
    <w:p>
      <w:pPr>
        <w:pStyle w:val="Textprost"/>
        <w:rPr/>
      </w:pPr>
      <w:r>
        <w:rPr/>
        <w:t>uvádí vždy vysvětlovanou proměnnou a vysvětlující proměnné tak, jak je v analýzách označoval, se slovní specifikací metody využité při odhadu.</w:t>
      </w:r>
    </w:p>
    <w:p>
      <w:pPr>
        <w:pStyle w:val="Textprost"/>
        <w:rPr/>
      </w:pPr>
      <w:r>
        <w:rPr/>
        <w:t>Analýzy byly uskutečněny pomocí skriptů v jazycích Python, R, JavaScript, přičemž data byla zpracovávána přednostně ve formátech xlsx, csv, json a doplňkových formátech používaných soutěžiteli. Všechny analýzy a celé sektorové šetření bylo prováděno ve vlastním softwaru Úřadu tzv. MEASURE, který byl mimo jiné představen odborné veřejnosti na workshopu Oddělení hlavního ekonoma uskutečněném dne 25. 3. 2026. Celé sektorové šetření bylo prováděno v rámci tzv. laboratoře, přičemž přístup do ní byl striktně omezen. Všechna data a skripty vč. softwaru byla přístupna pouze z vnitřní sítě Úřadu a nacházela se na dedikovaném serveru Oddělení hlavního ekonoma. Ke dni vydání této závěrečné zprávy byla laboratoř archivována (z důvodů úspory úložného prostoru, kapacity spisové služby a zamezení duplikace souborů ve spisu) bez datových podkladů do spisu tohoto sektorového šetření. Tímto postupem byla zajištěna úplná přezkoumatelnost analýz zde prováděných, a tedy závěrů, ke kterým Úřad tímto postupem dospěl.</w:t>
      </w:r>
    </w:p>
    <w:p>
      <w:pPr>
        <w:pStyle w:val="Textprost"/>
        <w:rPr/>
      </w:pPr>
      <w:r>
        <w:rPr/>
        <w:t>Tam, kde to bylo možné, Úřad preferoval prezentaci výsledků analýz za pomocí grafické vizualizace, aby text závěrečné zprávy nebyl zatěžován větším množstvím v tabulkách uváděných regresních výsledků.</w:t>
      </w:r>
    </w:p>
    <w:p>
      <w:pPr>
        <w:pStyle w:val="Textprost"/>
        <w:rPr/>
      </w:pPr>
      <w:r>
        <w:rPr/>
        <w:t xml:space="preserve">Zjištění, ke kterým Úřad dospěl, stejně tak jako závěry, které z nich vyvozoval, jsou vždy vizuálně odlišené od hlavního textu závěrečné zprávy. </w:t>
      </w:r>
    </w:p>
    <w:p>
      <w:pPr>
        <w:pStyle w:val="Textprost"/>
        <w:rPr/>
      </w:pPr>
      <w:r>
        <w:rPr/>
        <w:t>Závěrečná zpráva byla automatizovaně renderována za pomocí výše uvedeného softwaru vždy ve dvou verzích. Jedna obsahující obchodní tajemství pro interní potřeby Úřadu a jedna, ze které bylo obchodní tajemství odstraněno a která byla Úřadem zveřejněna. V důsledku automatizovaného renderování závěrečné zprávy jsou výsledky analýzy, údaje a hodnoty vždy aktuální ke dni renderování závěrečné zprávy. Rámcový rozsah Úřadem provedeného šetření soutěžních podmínek ve zkoumané oblasti je uveden v bibliografických údajích závěrečné zprávy, a to v podobě počtu zpracovaných souborů, řádků provedeného kódu (tzv. „</w:t>
      </w:r>
      <w:r>
        <w:rPr>
          <w:i/>
          <w:iCs/>
        </w:rPr>
        <w:t>lines of code</w:t>
      </w:r>
      <w:r>
        <w:rPr/>
        <w:t>“) a času nezbytného pro strojové provedení všech analýz, tvorbu a úpravu výstupů a renderování dvou verzí závěrečné zprávy (tzv. „</w:t>
      </w:r>
      <w:r>
        <w:rPr>
          <w:i/>
          <w:iCs/>
        </w:rPr>
        <w:t>render time</w:t>
      </w:r>
      <w:r>
        <w:rPr/>
        <w:t>“).</w:t>
      </w:r>
    </w:p>
    <w:p>
      <w:pPr>
        <w:pStyle w:val="Heading3"/>
        <w:ind w:hanging="1134" w:left="142" w:right="284"/>
        <w:rPr/>
      </w:pPr>
      <w:bookmarkStart w:id="83" w:name="_Toc229057822"/>
      <w:r>
        <w:rPr/>
        <w:t>První analýza… atd.</w:t>
      </w:r>
      <w:bookmarkEnd w:id="83"/>
    </w:p>
    <w:p>
      <w:pPr>
        <w:pStyle w:val="Textprost"/>
        <w:rPr/>
      </w:pPr>
      <w:r>
        <w:rPr/>
      </w:r>
    </w:p>
    <w:p>
      <w:pPr>
        <w:pStyle w:val="Textprost"/>
        <w:rPr/>
      </w:pPr>
      <w:r>
        <w:rPr/>
      </w:r>
    </w:p>
    <w:p>
      <w:pPr>
        <w:pStyle w:val="Textprost"/>
        <w:rPr/>
      </w:pPr>
      <w:r>
        <w:rPr/>
      </w:r>
    </w:p>
    <w:p>
      <w:pPr>
        <w:pStyle w:val="Heading3"/>
        <w:ind w:hanging="1134" w:left="142" w:right="284"/>
        <w:rPr/>
      </w:pPr>
      <w:bookmarkStart w:id="84" w:name="_Toc229057823"/>
      <w:r>
        <w:rPr/>
        <w:t>Modelování hedonického rozkladu ceníkových cen tarifních mobilních služeb v Evropě</w:t>
      </w:r>
      <w:bookmarkEnd w:id="84"/>
    </w:p>
    <w:p>
      <w:pPr>
        <w:pStyle w:val="Textkol"/>
        <w:rPr/>
      </w:pPr>
      <w:r>
        <w:rPr/>
        <w:t>Tady už se může sepisovat metodika – stačí odstavec/dva textu, rovnicový zápis modelu nahrazen tabulkou; na proměnné budeme odkazovat názvy proměnných „P_EUR_D“</w:t>
      </w:r>
    </w:p>
    <w:p>
      <w:pPr>
        <w:pStyle w:val="Textprost"/>
        <w:rPr/>
      </w:pPr>
      <w:r>
        <w:rPr/>
      </w:r>
    </w:p>
    <w:p>
      <w:pPr>
        <w:pStyle w:val="Textprost"/>
        <w:rPr/>
      </w:pPr>
      <w:r>
        <w:rPr/>
        <w:t>S ohledem na indicii získanou předběžným zkoumáním možné cenové odchylky na základě prvního předběžného sběru ceníkových cen tarifních služeb v EU, přistoupil Úřad k jejich opětovnému prověření, aby tuto indicii potvrdil. Obdobně jako při předběžném posouzení provedl Úřad hedonický rozklad ceníkových cen tarifních služeb získaných sběrem č. 2, a to jak za pomocí odhadu lineárního i log-lineárního OLS odhadu. Modelové specifikace uvádí Tabulky č. XXX až XXX.</w:t>
      </w:r>
    </w:p>
    <w:p>
      <w:pPr>
        <w:pStyle w:val="Tabulka"/>
        <w:numPr>
          <w:ilvl w:val="0"/>
          <w:numId w:val="3"/>
        </w:numPr>
        <w:ind w:hanging="1560" w:left="1560" w:right="0"/>
        <w:rPr/>
      </w:pPr>
      <w:bookmarkStart w:id="85" w:name="_Toc229057972"/>
      <w:r>
        <w:rPr/>
        <w:t>OLS odhad lineárního hedonického rozkladu ceníkových cen tarifů ze sběru č. 2</w:t>
      </w:r>
      <w:bookmarkEnd w:id="85"/>
    </w:p>
    <w:p>
      <w:pPr>
        <w:pStyle w:val="TabulkavAJ"/>
        <w:ind w:hanging="0" w:left="1560" w:right="0"/>
        <w:rPr>
          <w:lang w:val="cs-CZ" w:eastAsia="en-US"/>
        </w:rPr>
      </w:pPr>
      <w:bookmarkStart w:id="86" w:name="_Toc229057948"/>
      <w:bookmarkStart w:id="87" w:name="_Toc229060845"/>
      <w:r>
        <w:rPr/>
        <w:t>OLS estimation of a linear hedonic decomposition of tariff list prices based on data collection No. 2 [[#EU_list_prices_02_regressions]][[#MM_02_hedonic_lin_OLS]]</w:t>
      </w:r>
      <w:bookmarkEnd w:id="86"/>
      <w:bookmarkEnd w:id="87"/>
    </w:p>
    <w:tbl>
      <w:tblPr>
        <w:tblStyle w:val="TableGrid"/>
        <w:tblW w:w="906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47"/>
        <w:gridCol w:w="6513"/>
      </w:tblGrid>
      <w:tr>
        <w:trPr/>
        <w:tc>
          <w:tcPr>
            <w:tcW w:w="2547" w:type="dxa"/>
            <w:tcBorders>
              <w:top w:val="nil"/>
              <w:left w:val="nil"/>
              <w:bottom w:val="nil"/>
              <w:right w:val="nil"/>
            </w:tcBorders>
          </w:tcPr>
          <w:p>
            <w:pPr>
              <w:pStyle w:val="Tabulkatext"/>
              <w:widowControl/>
              <w:suppressAutoHyphens w:val="true"/>
              <w:rPr>
                <w:b/>
                <w:color w:val="0C1838"/>
              </w:rPr>
            </w:pPr>
            <w:r>
              <w:rPr>
                <w:b/>
                <w:color w:val="0C1838"/>
                <w:kern w:val="0"/>
                <w:lang w:val="cs-CZ" w:bidi="ar-SA"/>
              </w:rPr>
              <w:t xml:space="preserve">Kategorie / </w:t>
            </w:r>
            <w:r>
              <w:rPr>
                <w:b/>
                <w:i/>
                <w:color w:val="0C1838"/>
                <w:kern w:val="0"/>
                <w:lang w:val="cs-CZ" w:bidi="ar-SA"/>
              </w:rPr>
              <w:t>Category</w:t>
            </w:r>
          </w:p>
        </w:tc>
        <w:tc>
          <w:tcPr>
            <w:tcW w:w="6513" w:type="dxa"/>
            <w:tcBorders>
              <w:top w:val="nil"/>
              <w:left w:val="nil"/>
              <w:bottom w:val="nil"/>
              <w:right w:val="nil"/>
            </w:tcBorders>
          </w:tcPr>
          <w:p>
            <w:pPr>
              <w:pStyle w:val="Tabulkatext"/>
              <w:widowControl/>
              <w:suppressAutoHyphens w:val="true"/>
              <w:rPr>
                <w:b/>
                <w:color w:val="0C1838"/>
              </w:rPr>
            </w:pPr>
            <w:r>
              <w:rPr>
                <w:b/>
                <w:bCs/>
                <w:color w:val="0C1838"/>
                <w:kern w:val="0"/>
                <w:lang w:val="cs-CZ" w:bidi="ar-SA"/>
              </w:rPr>
              <w:t xml:space="preserve">Proměnná / </w:t>
            </w:r>
            <w:r>
              <w:rPr>
                <w:b/>
                <w:bCs/>
                <w:i/>
                <w:iCs/>
                <w:color w:val="0C1838"/>
                <w:kern w:val="0"/>
                <w:lang w:val="cs-CZ" w:bidi="ar-SA"/>
              </w:rPr>
              <w:t>Variable</w:t>
            </w:r>
          </w:p>
        </w:tc>
      </w:tr>
      <w:tr>
        <w:trPr/>
        <w:tc>
          <w:tcPr>
            <w:tcW w:w="2547" w:type="dxa"/>
            <w:tcBorders>
              <w:top w:val="nil"/>
              <w:left w:val="nil"/>
              <w:bottom w:val="nil"/>
              <w:right w:val="nil"/>
            </w:tcBorders>
          </w:tcPr>
          <w:p>
            <w:pPr>
              <w:pStyle w:val="Tabulkatext"/>
              <w:widowControl/>
              <w:suppressAutoHyphens w:val="true"/>
              <w:rPr>
                <w:kern w:val="0"/>
                <w:lang w:val="cs-CZ" w:bidi="ar-SA"/>
              </w:rPr>
            </w:pPr>
            <w:r>
              <w:rPr>
                <w:kern w:val="0"/>
                <w:lang w:val="cs-CZ" w:bidi="ar-SA"/>
              </w:rPr>
              <w:t xml:space="preserve">Vysvětlovaná proměnná / </w:t>
            </w:r>
            <w:r>
              <w:rPr>
                <w:i/>
                <w:iCs/>
                <w:kern w:val="0"/>
                <w:lang w:val="cs-CZ" w:bidi="ar-SA"/>
              </w:rPr>
              <w:t>Dependent variable</w:t>
            </w:r>
          </w:p>
        </w:tc>
        <w:tc>
          <w:tcPr>
            <w:tcW w:w="6513" w:type="dxa"/>
            <w:tcBorders>
              <w:top w:val="nil"/>
              <w:left w:val="nil"/>
              <w:bottom w:val="nil"/>
              <w:right w:val="nil"/>
            </w:tcBorders>
            <w:vAlign w:val="center"/>
          </w:tcPr>
          <w:p>
            <w:pPr>
              <w:pStyle w:val="Tabulkatext"/>
              <w:widowControl/>
              <w:suppressAutoHyphens w:val="true"/>
              <w:rPr>
                <w:kern w:val="0"/>
                <w:lang w:val="cs-CZ" w:bidi="ar-SA"/>
              </w:rPr>
            </w:pPr>
            <w:r>
              <w:rPr>
                <w:kern w:val="0"/>
                <w:lang w:val="cs-CZ" w:bidi="ar-SA"/>
              </w:rPr>
              <w:t>[[dependent_variable]]</w:t>
            </w:r>
          </w:p>
        </w:tc>
      </w:tr>
      <w:tr>
        <w:trPr/>
        <w:tc>
          <w:tcPr>
            <w:tcW w:w="2547" w:type="dxa"/>
            <w:tcBorders>
              <w:top w:val="nil"/>
              <w:left w:val="nil"/>
              <w:bottom w:val="nil"/>
              <w:right w:val="nil"/>
            </w:tcBorders>
          </w:tcPr>
          <w:p>
            <w:pPr>
              <w:pStyle w:val="Tabulkatext"/>
              <w:widowControl/>
              <w:suppressAutoHyphens w:val="true"/>
              <w:rPr>
                <w:kern w:val="0"/>
                <w:lang w:val="cs-CZ" w:bidi="ar-SA"/>
              </w:rPr>
            </w:pPr>
            <w:r>
              <w:rPr>
                <w:kern w:val="0"/>
                <w:lang w:val="cs-CZ" w:bidi="ar-SA"/>
              </w:rPr>
              <w:t xml:space="preserve">Vysvětlující proměnné / </w:t>
            </w:r>
            <w:r>
              <w:rPr>
                <w:i/>
                <w:iCs/>
                <w:kern w:val="0"/>
                <w:lang w:val="cs-CZ" w:bidi="ar-SA"/>
              </w:rPr>
              <w:t>Explanatory variables</w:t>
            </w:r>
          </w:p>
        </w:tc>
        <w:tc>
          <w:tcPr>
            <w:tcW w:w="6513" w:type="dxa"/>
            <w:tcBorders>
              <w:top w:val="nil"/>
              <w:left w:val="nil"/>
              <w:bottom w:val="nil"/>
              <w:right w:val="nil"/>
            </w:tcBorders>
            <w:vAlign w:val="center"/>
          </w:tcPr>
          <w:p>
            <w:pPr>
              <w:pStyle w:val="Tabulkatext"/>
              <w:widowControl/>
              <w:suppressAutoHyphens w:val="true"/>
              <w:rPr>
                <w:kern w:val="0"/>
                <w:lang w:val="cs-CZ" w:bidi="ar-SA"/>
              </w:rPr>
            </w:pPr>
            <w:r>
              <w:rPr>
                <w:kern w:val="0"/>
                <w:lang w:val="cs-CZ" w:bidi="ar-SA"/>
              </w:rPr>
              <w:t>[[#explanatory_variables]][[name]]; [[/explanatory_variables]]</w:t>
            </w:r>
          </w:p>
        </w:tc>
      </w:tr>
      <w:tr>
        <w:trPr/>
        <w:tc>
          <w:tcPr>
            <w:tcW w:w="2547" w:type="dxa"/>
            <w:tcBorders>
              <w:top w:val="nil"/>
              <w:left w:val="nil"/>
              <w:bottom w:val="nil"/>
              <w:right w:val="nil"/>
            </w:tcBorders>
          </w:tcPr>
          <w:p>
            <w:pPr>
              <w:pStyle w:val="Tabulkatext"/>
              <w:widowControl/>
              <w:suppressAutoHyphens w:val="true"/>
              <w:rPr>
                <w:kern w:val="0"/>
                <w:lang w:val="cs-CZ" w:bidi="ar-SA"/>
              </w:rPr>
            </w:pPr>
            <w:r>
              <w:rPr>
                <w:kern w:val="0"/>
                <w:lang w:val="cs-CZ" w:bidi="ar-SA"/>
              </w:rPr>
              <w:t>Počet pozorování /</w:t>
            </w:r>
          </w:p>
          <w:p>
            <w:pPr>
              <w:pStyle w:val="Tabulkatext"/>
              <w:widowControl/>
              <w:suppressAutoHyphens w:val="true"/>
              <w:rPr>
                <w:kern w:val="0"/>
                <w:lang w:val="cs-CZ" w:bidi="ar-SA"/>
              </w:rPr>
            </w:pPr>
            <w:r>
              <w:rPr>
                <w:kern w:val="0"/>
                <w:lang w:val="cs-CZ" w:bidi="ar-SA"/>
              </w:rPr>
              <w:t>No. of observations</w:t>
            </w:r>
          </w:p>
        </w:tc>
        <w:tc>
          <w:tcPr>
            <w:tcW w:w="6513" w:type="dxa"/>
            <w:tcBorders>
              <w:top w:val="nil"/>
              <w:left w:val="nil"/>
              <w:bottom w:val="nil"/>
              <w:right w:val="nil"/>
            </w:tcBorders>
            <w:vAlign w:val="center"/>
          </w:tcPr>
          <w:p>
            <w:pPr>
              <w:pStyle w:val="Tabulkatext"/>
              <w:widowControl/>
              <w:suppressAutoHyphens w:val="true"/>
              <w:rPr>
                <w:kern w:val="0"/>
                <w:lang w:val="cs-CZ" w:bidi="ar-SA"/>
              </w:rPr>
            </w:pPr>
            <w:r>
              <w:rPr>
                <w:kern w:val="0"/>
                <w:lang w:val="cs-CZ" w:bidi="ar-SA"/>
              </w:rPr>
              <w:t>[[N]]</w:t>
            </w:r>
          </w:p>
        </w:tc>
      </w:tr>
    </w:tbl>
    <w:p>
      <w:pPr>
        <w:pStyle w:val="Zdroj"/>
        <w:rPr/>
      </w:pPr>
      <w:r>
        <w:rPr/>
        <w:t xml:space="preserve">Zdroj / Source: Vlastní zpracování Úřadu na základě shromážděných dat / </w:t>
      </w:r>
      <w:r>
        <w:rPr>
          <w:lang w:val="en-GB"/>
        </w:rPr>
        <w:t>Prepared by the Office on the basis of the data collected</w:t>
      </w:r>
      <w:r>
        <w:rPr/>
        <w:t>. [[/MM_02_hedonic_lin_OLS]][[/EU_list_prices_02_regressions]]</w:t>
      </w:r>
    </w:p>
    <w:p>
      <w:pPr>
        <w:pStyle w:val="Textprost"/>
        <w:rPr/>
      </w:pPr>
      <w:r>
        <w:rPr/>
        <w:t>Při opětovném zkoumání Úřad pro zachycení všeobecné ekonomické úrovně využil údaje Eurostatu o reálných výdajích domácností vyjádřené v paritě kupní síly a přepočtené Úřadem na koruny a měsíc.</w:t>
      </w:r>
    </w:p>
    <w:p>
      <w:pPr>
        <w:pStyle w:val="Tabulka"/>
        <w:numPr>
          <w:ilvl w:val="0"/>
          <w:numId w:val="3"/>
        </w:numPr>
        <w:ind w:hanging="1560" w:left="1560" w:right="0"/>
        <w:rPr/>
      </w:pPr>
      <w:bookmarkStart w:id="88" w:name="_Toc229057973"/>
      <w:r>
        <w:rPr/>
        <w:t>OLS odhad lineárního inverzního hedonického rozkladu ceníkových cen tarifů ze sběru č. 2</w:t>
      </w:r>
      <w:bookmarkEnd w:id="88"/>
    </w:p>
    <w:p>
      <w:pPr>
        <w:pStyle w:val="TabulkavAJ"/>
        <w:ind w:hanging="0" w:left="1560" w:right="0"/>
        <w:rPr>
          <w:lang w:val="cs-CZ" w:eastAsia="en-US"/>
        </w:rPr>
      </w:pPr>
      <w:bookmarkStart w:id="89" w:name="_Toc229057949"/>
      <w:bookmarkStart w:id="90" w:name="_Toc229060846"/>
      <w:r>
        <w:rPr/>
        <w:t>OLS estimation of an inverse linear hedonic decomposition of tariff list prices based on data collection No. 2[[#EU_list_prices_02_regressions]][[#MM_02_hedonic_lin_OLS_inverse]]</w:t>
      </w:r>
      <w:bookmarkEnd w:id="89"/>
      <w:bookmarkEnd w:id="90"/>
    </w:p>
    <w:tbl>
      <w:tblPr>
        <w:tblStyle w:val="TableGrid"/>
        <w:tblW w:w="906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47"/>
        <w:gridCol w:w="6513"/>
      </w:tblGrid>
      <w:tr>
        <w:trPr/>
        <w:tc>
          <w:tcPr>
            <w:tcW w:w="2547" w:type="dxa"/>
            <w:tcBorders>
              <w:top w:val="nil"/>
              <w:left w:val="nil"/>
              <w:bottom w:val="nil"/>
              <w:right w:val="nil"/>
            </w:tcBorders>
          </w:tcPr>
          <w:p>
            <w:pPr>
              <w:pStyle w:val="Tabulkatext"/>
              <w:widowControl/>
              <w:suppressAutoHyphens w:val="true"/>
              <w:rPr>
                <w:b/>
                <w:bCs/>
                <w:color w:val="0C1838"/>
              </w:rPr>
            </w:pPr>
            <w:r>
              <w:rPr>
                <w:b/>
                <w:bCs/>
                <w:color w:val="0C1838"/>
                <w:kern w:val="0"/>
                <w:lang w:val="cs-CZ" w:bidi="ar-SA"/>
              </w:rPr>
              <w:t xml:space="preserve">Kategorie / </w:t>
            </w:r>
            <w:r>
              <w:rPr>
                <w:b/>
                <w:bCs/>
                <w:i/>
                <w:iCs/>
                <w:color w:val="0C1838"/>
                <w:kern w:val="0"/>
                <w:lang w:val="cs-CZ" w:bidi="ar-SA"/>
              </w:rPr>
              <w:t>Category</w:t>
            </w:r>
          </w:p>
        </w:tc>
        <w:tc>
          <w:tcPr>
            <w:tcW w:w="6513" w:type="dxa"/>
            <w:tcBorders>
              <w:top w:val="nil"/>
              <w:left w:val="nil"/>
              <w:bottom w:val="nil"/>
              <w:right w:val="nil"/>
            </w:tcBorders>
          </w:tcPr>
          <w:p>
            <w:pPr>
              <w:pStyle w:val="Tabulkatext"/>
              <w:widowControl/>
              <w:suppressAutoHyphens w:val="true"/>
              <w:rPr>
                <w:b/>
                <w:bCs/>
                <w:color w:val="0C1838"/>
              </w:rPr>
            </w:pPr>
            <w:r>
              <w:rPr>
                <w:b/>
                <w:bCs/>
                <w:color w:val="0C1838"/>
                <w:kern w:val="0"/>
                <w:lang w:val="cs-CZ" w:bidi="ar-SA"/>
              </w:rPr>
              <w:t xml:space="preserve">Proměnná / </w:t>
            </w:r>
            <w:r>
              <w:rPr>
                <w:b/>
                <w:bCs/>
                <w:i/>
                <w:iCs/>
                <w:color w:val="0C1838"/>
                <w:kern w:val="0"/>
                <w:lang w:val="cs-CZ" w:bidi="ar-SA"/>
              </w:rPr>
              <w:t>Variable</w:t>
            </w:r>
          </w:p>
        </w:tc>
      </w:tr>
      <w:tr>
        <w:trPr/>
        <w:tc>
          <w:tcPr>
            <w:tcW w:w="2547" w:type="dxa"/>
            <w:tcBorders>
              <w:top w:val="nil"/>
              <w:left w:val="nil"/>
              <w:bottom w:val="nil"/>
              <w:right w:val="nil"/>
            </w:tcBorders>
          </w:tcPr>
          <w:p>
            <w:pPr>
              <w:pStyle w:val="Tabulkatext"/>
              <w:widowControl/>
              <w:suppressAutoHyphens w:val="true"/>
              <w:rPr>
                <w:kern w:val="0"/>
                <w:lang w:val="cs-CZ" w:bidi="ar-SA"/>
              </w:rPr>
            </w:pPr>
            <w:r>
              <w:rPr>
                <w:kern w:val="0"/>
                <w:lang w:val="cs-CZ" w:bidi="ar-SA"/>
              </w:rPr>
              <w:t xml:space="preserve">Vysvětlovaná proměnná / </w:t>
            </w:r>
            <w:r>
              <w:rPr>
                <w:i/>
                <w:iCs/>
                <w:kern w:val="0"/>
                <w:lang w:val="cs-CZ" w:bidi="ar-SA"/>
              </w:rPr>
              <w:t>Dependent variable</w:t>
            </w:r>
          </w:p>
        </w:tc>
        <w:tc>
          <w:tcPr>
            <w:tcW w:w="6513" w:type="dxa"/>
            <w:tcBorders>
              <w:top w:val="nil"/>
              <w:left w:val="nil"/>
              <w:bottom w:val="nil"/>
              <w:right w:val="nil"/>
            </w:tcBorders>
            <w:vAlign w:val="center"/>
          </w:tcPr>
          <w:p>
            <w:pPr>
              <w:pStyle w:val="Tabulkatext"/>
              <w:widowControl/>
              <w:suppressAutoHyphens w:val="true"/>
              <w:rPr>
                <w:kern w:val="0"/>
                <w:lang w:val="cs-CZ" w:bidi="ar-SA"/>
              </w:rPr>
            </w:pPr>
            <w:r>
              <w:rPr>
                <w:kern w:val="0"/>
                <w:lang w:val="cs-CZ" w:bidi="ar-SA"/>
              </w:rPr>
              <w:t>[[dependent_variable]]</w:t>
            </w:r>
          </w:p>
        </w:tc>
      </w:tr>
      <w:tr>
        <w:trPr/>
        <w:tc>
          <w:tcPr>
            <w:tcW w:w="2547" w:type="dxa"/>
            <w:tcBorders>
              <w:top w:val="nil"/>
              <w:left w:val="nil"/>
              <w:bottom w:val="nil"/>
              <w:right w:val="nil"/>
            </w:tcBorders>
          </w:tcPr>
          <w:p>
            <w:pPr>
              <w:pStyle w:val="Tabulkatext"/>
              <w:widowControl/>
              <w:suppressAutoHyphens w:val="true"/>
              <w:rPr>
                <w:kern w:val="0"/>
                <w:lang w:val="cs-CZ" w:bidi="ar-SA"/>
              </w:rPr>
            </w:pPr>
            <w:r>
              <w:rPr>
                <w:kern w:val="0"/>
                <w:lang w:val="cs-CZ" w:bidi="ar-SA"/>
              </w:rPr>
              <w:t xml:space="preserve">Vysvětlující proměnné / </w:t>
            </w:r>
            <w:r>
              <w:rPr>
                <w:i/>
                <w:iCs/>
                <w:kern w:val="0"/>
                <w:lang w:val="cs-CZ" w:bidi="ar-SA"/>
              </w:rPr>
              <w:t>Explanatory variables</w:t>
            </w:r>
          </w:p>
        </w:tc>
        <w:tc>
          <w:tcPr>
            <w:tcW w:w="6513" w:type="dxa"/>
            <w:tcBorders>
              <w:top w:val="nil"/>
              <w:left w:val="nil"/>
              <w:bottom w:val="nil"/>
              <w:right w:val="nil"/>
            </w:tcBorders>
            <w:vAlign w:val="center"/>
          </w:tcPr>
          <w:p>
            <w:pPr>
              <w:pStyle w:val="Tabulkatext"/>
              <w:widowControl/>
              <w:suppressAutoHyphens w:val="true"/>
              <w:rPr>
                <w:kern w:val="0"/>
                <w:lang w:val="cs-CZ" w:bidi="ar-SA"/>
              </w:rPr>
            </w:pPr>
            <w:r>
              <w:rPr>
                <w:kern w:val="0"/>
                <w:lang w:val="cs-CZ" w:bidi="ar-SA"/>
              </w:rPr>
              <w:t>[[#explanatory_variables]][[name]]; [[/explanatory_variables]]</w:t>
            </w:r>
          </w:p>
        </w:tc>
      </w:tr>
      <w:tr>
        <w:trPr/>
        <w:tc>
          <w:tcPr>
            <w:tcW w:w="2547" w:type="dxa"/>
            <w:tcBorders>
              <w:top w:val="nil"/>
              <w:left w:val="nil"/>
              <w:bottom w:val="nil"/>
              <w:right w:val="nil"/>
            </w:tcBorders>
          </w:tcPr>
          <w:p>
            <w:pPr>
              <w:pStyle w:val="Tabulkatext"/>
              <w:widowControl/>
              <w:suppressAutoHyphens w:val="true"/>
              <w:rPr>
                <w:kern w:val="0"/>
                <w:lang w:val="cs-CZ" w:bidi="ar-SA"/>
              </w:rPr>
            </w:pPr>
            <w:r>
              <w:rPr>
                <w:kern w:val="0"/>
                <w:lang w:val="cs-CZ" w:bidi="ar-SA"/>
              </w:rPr>
              <w:t>Počet pozorování /</w:t>
            </w:r>
          </w:p>
          <w:p>
            <w:pPr>
              <w:pStyle w:val="Tabulkatext"/>
              <w:widowControl/>
              <w:suppressAutoHyphens w:val="true"/>
              <w:rPr>
                <w:kern w:val="0"/>
                <w:lang w:val="cs-CZ" w:bidi="ar-SA"/>
              </w:rPr>
            </w:pPr>
            <w:r>
              <w:rPr>
                <w:kern w:val="0"/>
                <w:lang w:val="cs-CZ" w:bidi="ar-SA"/>
              </w:rPr>
              <w:t>No. of observations</w:t>
            </w:r>
          </w:p>
        </w:tc>
        <w:tc>
          <w:tcPr>
            <w:tcW w:w="6513" w:type="dxa"/>
            <w:tcBorders>
              <w:top w:val="nil"/>
              <w:left w:val="nil"/>
              <w:bottom w:val="nil"/>
              <w:right w:val="nil"/>
            </w:tcBorders>
            <w:vAlign w:val="center"/>
          </w:tcPr>
          <w:p>
            <w:pPr>
              <w:pStyle w:val="Tabulkatext"/>
              <w:widowControl/>
              <w:suppressAutoHyphens w:val="true"/>
              <w:rPr>
                <w:kern w:val="0"/>
                <w:lang w:val="cs-CZ" w:bidi="ar-SA"/>
              </w:rPr>
            </w:pPr>
            <w:r>
              <w:rPr>
                <w:kern w:val="0"/>
                <w:lang w:val="cs-CZ" w:bidi="ar-SA"/>
              </w:rPr>
              <w:t>[[N]]</w:t>
            </w:r>
          </w:p>
        </w:tc>
      </w:tr>
    </w:tbl>
    <w:p>
      <w:pPr>
        <w:pStyle w:val="Zdroj"/>
        <w:rPr/>
      </w:pPr>
      <w:r>
        <w:rPr/>
        <w:t xml:space="preserve">Zdroj / Source: Vlastní zpracování Úřadu na základě shromážděných dat / </w:t>
      </w:r>
      <w:r>
        <w:rPr>
          <w:lang w:val="en-GB"/>
        </w:rPr>
        <w:t>Prepared by the Office on the basis of the data collected</w:t>
      </w:r>
      <w:r>
        <w:rPr/>
        <w:t>. [[/MM_02_hedonic_lin_OLS_inverse]][[/EU_list_prices_02_regressions]]</w:t>
      </w:r>
    </w:p>
    <w:p>
      <w:pPr>
        <w:pStyle w:val="Textprost"/>
        <w:rPr/>
      </w:pPr>
      <w:r>
        <w:rPr/>
        <w:t>Obdobně jako při předběžném zkoumání provedl Úřad i inverzní hedonický rozklad cen, přičemž odhadnuté koeficienty pro dummy proměnné států vyjadřují odchylku od zkoumané situace v ČR. Takto provedené hedonické rozklady byly provázeny problematickými hodnotami testů předpokladů modelů, proto Úřad přistoupil i k odhadu log-lineární formy těchto modelů.</w:t>
      </w:r>
    </w:p>
    <w:p>
      <w:pPr>
        <w:pStyle w:val="Tabulka"/>
        <w:numPr>
          <w:ilvl w:val="0"/>
          <w:numId w:val="3"/>
        </w:numPr>
        <w:ind w:hanging="1560" w:left="1560" w:right="0"/>
        <w:rPr/>
      </w:pPr>
      <w:bookmarkStart w:id="91" w:name="_Toc229057974"/>
      <w:r>
        <w:rPr/>
        <w:t>OLS odhad log-lineárního hedonického rozkladu ceníkových cen tarifů ze sběru č. 2</w:t>
      </w:r>
      <w:bookmarkEnd w:id="91"/>
    </w:p>
    <w:p>
      <w:pPr>
        <w:pStyle w:val="TabulkavAJ"/>
        <w:ind w:hanging="0" w:left="1560" w:right="0"/>
        <w:rPr>
          <w:lang w:val="cs-CZ" w:eastAsia="en-US"/>
        </w:rPr>
      </w:pPr>
      <w:bookmarkStart w:id="92" w:name="_Toc229060847"/>
      <w:bookmarkStart w:id="93" w:name="_Toc229057950"/>
      <w:r>
        <w:rPr/>
        <w:t>OLS estimation of a log-linear hedonic decomposition of tariff list prices based on data collection No. 2 [[#EU_list_prices_02_regressions]][[#MM_02_hedonic_log_OLS]]</w:t>
      </w:r>
      <w:bookmarkEnd w:id="92"/>
      <w:bookmarkEnd w:id="93"/>
    </w:p>
    <w:tbl>
      <w:tblPr>
        <w:tblStyle w:val="TableGrid"/>
        <w:tblW w:w="906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47"/>
        <w:gridCol w:w="6513"/>
      </w:tblGrid>
      <w:tr>
        <w:trPr/>
        <w:tc>
          <w:tcPr>
            <w:tcW w:w="2547" w:type="dxa"/>
            <w:tcBorders>
              <w:top w:val="nil"/>
              <w:left w:val="nil"/>
              <w:bottom w:val="nil"/>
              <w:right w:val="nil"/>
            </w:tcBorders>
          </w:tcPr>
          <w:p>
            <w:pPr>
              <w:pStyle w:val="Tabulkatext"/>
              <w:widowControl/>
              <w:suppressAutoHyphens w:val="true"/>
              <w:rPr>
                <w:b/>
                <w:bCs/>
                <w:color w:val="0C1838"/>
              </w:rPr>
            </w:pPr>
            <w:r>
              <w:rPr>
                <w:b/>
                <w:bCs/>
                <w:color w:val="0C1838"/>
                <w:kern w:val="0"/>
                <w:lang w:val="cs-CZ" w:bidi="ar-SA"/>
              </w:rPr>
              <w:t xml:space="preserve">Kategorie / </w:t>
            </w:r>
            <w:r>
              <w:rPr>
                <w:b/>
                <w:bCs/>
                <w:i/>
                <w:iCs/>
                <w:color w:val="0C1838"/>
                <w:kern w:val="0"/>
                <w:lang w:val="cs-CZ" w:bidi="ar-SA"/>
              </w:rPr>
              <w:t>Category</w:t>
            </w:r>
          </w:p>
        </w:tc>
        <w:tc>
          <w:tcPr>
            <w:tcW w:w="6513" w:type="dxa"/>
            <w:tcBorders>
              <w:top w:val="nil"/>
              <w:left w:val="nil"/>
              <w:bottom w:val="nil"/>
              <w:right w:val="nil"/>
            </w:tcBorders>
          </w:tcPr>
          <w:p>
            <w:pPr>
              <w:pStyle w:val="Tabulkatext"/>
              <w:widowControl/>
              <w:suppressAutoHyphens w:val="true"/>
              <w:rPr>
                <w:b/>
                <w:bCs/>
                <w:color w:val="0C1838"/>
              </w:rPr>
            </w:pPr>
            <w:r>
              <w:rPr>
                <w:b/>
                <w:bCs/>
                <w:color w:val="0C1838"/>
                <w:kern w:val="0"/>
                <w:lang w:val="cs-CZ" w:bidi="ar-SA"/>
              </w:rPr>
              <w:t xml:space="preserve">Proměnná / </w:t>
            </w:r>
            <w:r>
              <w:rPr>
                <w:b/>
                <w:bCs/>
                <w:i/>
                <w:iCs/>
                <w:color w:val="0C1838"/>
                <w:kern w:val="0"/>
                <w:lang w:val="cs-CZ" w:bidi="ar-SA"/>
              </w:rPr>
              <w:t>Variable</w:t>
            </w:r>
          </w:p>
        </w:tc>
      </w:tr>
      <w:tr>
        <w:trPr/>
        <w:tc>
          <w:tcPr>
            <w:tcW w:w="2547" w:type="dxa"/>
            <w:tcBorders>
              <w:top w:val="nil"/>
              <w:left w:val="nil"/>
              <w:bottom w:val="nil"/>
              <w:right w:val="nil"/>
            </w:tcBorders>
          </w:tcPr>
          <w:p>
            <w:pPr>
              <w:pStyle w:val="Tabulkatext"/>
              <w:widowControl/>
              <w:suppressAutoHyphens w:val="true"/>
              <w:rPr>
                <w:kern w:val="0"/>
                <w:lang w:val="cs-CZ" w:bidi="ar-SA"/>
              </w:rPr>
            </w:pPr>
            <w:r>
              <w:rPr>
                <w:kern w:val="0"/>
                <w:lang w:val="cs-CZ" w:bidi="ar-SA"/>
              </w:rPr>
              <w:t xml:space="preserve">Vysvětlovaná proměnná / </w:t>
            </w:r>
            <w:r>
              <w:rPr>
                <w:i/>
                <w:iCs/>
                <w:kern w:val="0"/>
                <w:lang w:val="cs-CZ" w:bidi="ar-SA"/>
              </w:rPr>
              <w:t>Dependent variable</w:t>
            </w:r>
          </w:p>
        </w:tc>
        <w:tc>
          <w:tcPr>
            <w:tcW w:w="6513" w:type="dxa"/>
            <w:tcBorders>
              <w:top w:val="nil"/>
              <w:left w:val="nil"/>
              <w:bottom w:val="nil"/>
              <w:right w:val="nil"/>
            </w:tcBorders>
            <w:vAlign w:val="center"/>
          </w:tcPr>
          <w:p>
            <w:pPr>
              <w:pStyle w:val="Tabulkatext"/>
              <w:widowControl/>
              <w:suppressAutoHyphens w:val="true"/>
              <w:rPr>
                <w:kern w:val="0"/>
                <w:lang w:val="cs-CZ" w:bidi="ar-SA"/>
              </w:rPr>
            </w:pPr>
            <w:r>
              <w:rPr>
                <w:kern w:val="0"/>
                <w:lang w:val="cs-CZ" w:bidi="ar-SA"/>
              </w:rPr>
              <w:t>[[dependent_variable]]</w:t>
            </w:r>
          </w:p>
        </w:tc>
      </w:tr>
      <w:tr>
        <w:trPr/>
        <w:tc>
          <w:tcPr>
            <w:tcW w:w="2547" w:type="dxa"/>
            <w:tcBorders>
              <w:top w:val="nil"/>
              <w:left w:val="nil"/>
              <w:bottom w:val="nil"/>
              <w:right w:val="nil"/>
            </w:tcBorders>
          </w:tcPr>
          <w:p>
            <w:pPr>
              <w:pStyle w:val="Tabulkatext"/>
              <w:widowControl/>
              <w:suppressAutoHyphens w:val="true"/>
              <w:rPr>
                <w:kern w:val="0"/>
                <w:lang w:val="cs-CZ" w:bidi="ar-SA"/>
              </w:rPr>
            </w:pPr>
            <w:r>
              <w:rPr>
                <w:kern w:val="0"/>
                <w:lang w:val="cs-CZ" w:bidi="ar-SA"/>
              </w:rPr>
              <w:t xml:space="preserve">Vysvětlující proměnné / </w:t>
            </w:r>
            <w:r>
              <w:rPr>
                <w:i/>
                <w:iCs/>
                <w:kern w:val="0"/>
                <w:lang w:val="cs-CZ" w:bidi="ar-SA"/>
              </w:rPr>
              <w:t>Explanatory variables</w:t>
            </w:r>
          </w:p>
        </w:tc>
        <w:tc>
          <w:tcPr>
            <w:tcW w:w="6513" w:type="dxa"/>
            <w:tcBorders>
              <w:top w:val="nil"/>
              <w:left w:val="nil"/>
              <w:bottom w:val="nil"/>
              <w:right w:val="nil"/>
            </w:tcBorders>
            <w:vAlign w:val="center"/>
          </w:tcPr>
          <w:p>
            <w:pPr>
              <w:pStyle w:val="Tabulkatext"/>
              <w:widowControl/>
              <w:suppressAutoHyphens w:val="true"/>
              <w:rPr>
                <w:kern w:val="0"/>
                <w:lang w:val="cs-CZ" w:bidi="ar-SA"/>
              </w:rPr>
            </w:pPr>
            <w:r>
              <w:rPr>
                <w:kern w:val="0"/>
                <w:lang w:val="cs-CZ" w:bidi="ar-SA"/>
              </w:rPr>
              <w:t>[[#explanatory_variables]][[name]]; [[/explanatory_variables]]</w:t>
            </w:r>
          </w:p>
        </w:tc>
      </w:tr>
      <w:tr>
        <w:trPr/>
        <w:tc>
          <w:tcPr>
            <w:tcW w:w="2547" w:type="dxa"/>
            <w:tcBorders>
              <w:top w:val="nil"/>
              <w:left w:val="nil"/>
              <w:bottom w:val="nil"/>
              <w:right w:val="nil"/>
            </w:tcBorders>
          </w:tcPr>
          <w:p>
            <w:pPr>
              <w:pStyle w:val="Tabulkatext"/>
              <w:widowControl/>
              <w:suppressAutoHyphens w:val="true"/>
              <w:rPr>
                <w:kern w:val="0"/>
                <w:lang w:val="cs-CZ" w:bidi="ar-SA"/>
              </w:rPr>
            </w:pPr>
            <w:r>
              <w:rPr>
                <w:kern w:val="0"/>
                <w:lang w:val="cs-CZ" w:bidi="ar-SA"/>
              </w:rPr>
              <w:t>Počet pozorování /</w:t>
            </w:r>
          </w:p>
          <w:p>
            <w:pPr>
              <w:pStyle w:val="Tabulkatext"/>
              <w:widowControl/>
              <w:suppressAutoHyphens w:val="true"/>
              <w:rPr>
                <w:kern w:val="0"/>
                <w:lang w:val="cs-CZ" w:bidi="ar-SA"/>
              </w:rPr>
            </w:pPr>
            <w:r>
              <w:rPr>
                <w:kern w:val="0"/>
                <w:lang w:val="cs-CZ" w:bidi="ar-SA"/>
              </w:rPr>
              <w:t>No. of observations</w:t>
            </w:r>
          </w:p>
        </w:tc>
        <w:tc>
          <w:tcPr>
            <w:tcW w:w="6513" w:type="dxa"/>
            <w:tcBorders>
              <w:top w:val="nil"/>
              <w:left w:val="nil"/>
              <w:bottom w:val="nil"/>
              <w:right w:val="nil"/>
            </w:tcBorders>
            <w:vAlign w:val="center"/>
          </w:tcPr>
          <w:p>
            <w:pPr>
              <w:pStyle w:val="Tabulkatext"/>
              <w:widowControl/>
              <w:suppressAutoHyphens w:val="true"/>
              <w:rPr>
                <w:kern w:val="0"/>
                <w:lang w:val="cs-CZ" w:bidi="ar-SA"/>
              </w:rPr>
            </w:pPr>
            <w:r>
              <w:rPr>
                <w:kern w:val="0"/>
                <w:lang w:val="cs-CZ" w:bidi="ar-SA"/>
              </w:rPr>
              <w:t>[[N]]</w:t>
            </w:r>
          </w:p>
        </w:tc>
      </w:tr>
    </w:tbl>
    <w:p>
      <w:pPr>
        <w:pStyle w:val="Zdroj"/>
        <w:rPr/>
      </w:pPr>
      <w:r>
        <w:rPr/>
        <w:t xml:space="preserve">Zdroj / Source: Vlastní zpracování Úřadu na základě shromážděných dat / </w:t>
      </w:r>
      <w:r>
        <w:rPr>
          <w:lang w:val="en-GB"/>
        </w:rPr>
        <w:t>Prepared by the Office on the basis of the data collected</w:t>
      </w:r>
      <w:r>
        <w:rPr/>
        <w:t>. [[/MM_02_hedonic_log_OLS]][[/EU_list_prices_02_regressions]]</w:t>
      </w:r>
    </w:p>
    <w:p>
      <w:pPr>
        <w:pStyle w:val="Tabulka"/>
        <w:numPr>
          <w:ilvl w:val="0"/>
          <w:numId w:val="3"/>
        </w:numPr>
        <w:ind w:hanging="1560" w:left="1560" w:right="0"/>
        <w:rPr/>
      </w:pPr>
      <w:bookmarkStart w:id="94" w:name="_Toc229057975"/>
      <w:r>
        <w:rPr/>
        <w:t>OLS odhad log-lineárního inverzního hedonického rozkladu ceníkových cen tarifů ze sběru č. 2</w:t>
      </w:r>
      <w:bookmarkEnd w:id="94"/>
    </w:p>
    <w:p>
      <w:pPr>
        <w:pStyle w:val="TabulkavAJ"/>
        <w:ind w:hanging="0" w:left="1560" w:right="0"/>
        <w:rPr>
          <w:lang w:val="cs-CZ" w:eastAsia="en-US"/>
        </w:rPr>
      </w:pPr>
      <w:bookmarkStart w:id="95" w:name="_Toc229057951"/>
      <w:bookmarkStart w:id="96" w:name="_Toc229060848"/>
      <w:r>
        <w:rPr/>
        <w:t>OLS estimation of an inverse log-linear hedonic decomposition of tariff list prices based on data collection No. 2 [[#EU_list_prices_02_regressions]][[#MM_02_hedonic_log_OLS_inverse]]</w:t>
      </w:r>
      <w:bookmarkEnd w:id="95"/>
      <w:bookmarkEnd w:id="96"/>
    </w:p>
    <w:tbl>
      <w:tblPr>
        <w:tblStyle w:val="TableGrid"/>
        <w:tblW w:w="906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47"/>
        <w:gridCol w:w="6513"/>
      </w:tblGrid>
      <w:tr>
        <w:trPr/>
        <w:tc>
          <w:tcPr>
            <w:tcW w:w="2547" w:type="dxa"/>
            <w:tcBorders>
              <w:top w:val="nil"/>
              <w:left w:val="nil"/>
              <w:bottom w:val="nil"/>
              <w:right w:val="nil"/>
            </w:tcBorders>
          </w:tcPr>
          <w:p>
            <w:pPr>
              <w:pStyle w:val="Tabulkatext"/>
              <w:widowControl/>
              <w:suppressAutoHyphens w:val="true"/>
              <w:rPr>
                <w:b/>
                <w:bCs/>
                <w:color w:val="0C1838"/>
              </w:rPr>
            </w:pPr>
            <w:r>
              <w:rPr>
                <w:b/>
                <w:bCs/>
                <w:color w:val="0C1838"/>
                <w:kern w:val="0"/>
                <w:lang w:val="cs-CZ" w:bidi="ar-SA"/>
              </w:rPr>
              <w:t xml:space="preserve">Kategorie / </w:t>
            </w:r>
            <w:r>
              <w:rPr>
                <w:b/>
                <w:bCs/>
                <w:i/>
                <w:iCs/>
                <w:color w:val="0C1838"/>
                <w:kern w:val="0"/>
                <w:lang w:val="cs-CZ" w:bidi="ar-SA"/>
              </w:rPr>
              <w:t>Category</w:t>
            </w:r>
          </w:p>
        </w:tc>
        <w:tc>
          <w:tcPr>
            <w:tcW w:w="6513" w:type="dxa"/>
            <w:tcBorders>
              <w:top w:val="nil"/>
              <w:left w:val="nil"/>
              <w:bottom w:val="nil"/>
              <w:right w:val="nil"/>
            </w:tcBorders>
          </w:tcPr>
          <w:p>
            <w:pPr>
              <w:pStyle w:val="Tabulkatext"/>
              <w:widowControl/>
              <w:suppressAutoHyphens w:val="true"/>
              <w:rPr>
                <w:b/>
                <w:bCs/>
                <w:color w:val="0C1838"/>
              </w:rPr>
            </w:pPr>
            <w:r>
              <w:rPr>
                <w:b/>
                <w:bCs/>
                <w:color w:val="0C1838"/>
                <w:kern w:val="0"/>
                <w:lang w:val="cs-CZ" w:bidi="ar-SA"/>
              </w:rPr>
              <w:t xml:space="preserve">Proměnná / </w:t>
            </w:r>
            <w:r>
              <w:rPr>
                <w:b/>
                <w:bCs/>
                <w:i/>
                <w:iCs/>
                <w:color w:val="0C1838"/>
                <w:kern w:val="0"/>
                <w:lang w:val="cs-CZ" w:bidi="ar-SA"/>
              </w:rPr>
              <w:t>Variable</w:t>
            </w:r>
          </w:p>
        </w:tc>
      </w:tr>
      <w:tr>
        <w:trPr/>
        <w:tc>
          <w:tcPr>
            <w:tcW w:w="2547" w:type="dxa"/>
            <w:tcBorders>
              <w:top w:val="nil"/>
              <w:left w:val="nil"/>
              <w:bottom w:val="nil"/>
              <w:right w:val="nil"/>
            </w:tcBorders>
          </w:tcPr>
          <w:p>
            <w:pPr>
              <w:pStyle w:val="Tabulkatext"/>
              <w:widowControl/>
              <w:suppressAutoHyphens w:val="true"/>
              <w:rPr>
                <w:kern w:val="0"/>
                <w:lang w:val="cs-CZ" w:bidi="ar-SA"/>
              </w:rPr>
            </w:pPr>
            <w:r>
              <w:rPr>
                <w:kern w:val="0"/>
                <w:lang w:val="cs-CZ" w:bidi="ar-SA"/>
              </w:rPr>
              <w:t xml:space="preserve">Vysvětlovaná proměnná / </w:t>
            </w:r>
            <w:r>
              <w:rPr>
                <w:i/>
                <w:iCs/>
                <w:kern w:val="0"/>
                <w:lang w:val="cs-CZ" w:bidi="ar-SA"/>
              </w:rPr>
              <w:t>Dependent variable</w:t>
            </w:r>
          </w:p>
        </w:tc>
        <w:tc>
          <w:tcPr>
            <w:tcW w:w="6513" w:type="dxa"/>
            <w:tcBorders>
              <w:top w:val="nil"/>
              <w:left w:val="nil"/>
              <w:bottom w:val="nil"/>
              <w:right w:val="nil"/>
            </w:tcBorders>
            <w:vAlign w:val="center"/>
          </w:tcPr>
          <w:p>
            <w:pPr>
              <w:pStyle w:val="Tabulkatext"/>
              <w:widowControl/>
              <w:suppressAutoHyphens w:val="true"/>
              <w:rPr>
                <w:kern w:val="0"/>
                <w:lang w:val="cs-CZ" w:bidi="ar-SA"/>
              </w:rPr>
            </w:pPr>
            <w:r>
              <w:rPr>
                <w:kern w:val="0"/>
                <w:lang w:val="cs-CZ" w:bidi="ar-SA"/>
              </w:rPr>
              <w:t>[[dependent_variable]]</w:t>
            </w:r>
          </w:p>
        </w:tc>
      </w:tr>
      <w:tr>
        <w:trPr/>
        <w:tc>
          <w:tcPr>
            <w:tcW w:w="2547" w:type="dxa"/>
            <w:tcBorders>
              <w:top w:val="nil"/>
              <w:left w:val="nil"/>
              <w:bottom w:val="nil"/>
              <w:right w:val="nil"/>
            </w:tcBorders>
          </w:tcPr>
          <w:p>
            <w:pPr>
              <w:pStyle w:val="Tabulkatext"/>
              <w:widowControl/>
              <w:suppressAutoHyphens w:val="true"/>
              <w:rPr>
                <w:kern w:val="0"/>
                <w:lang w:val="cs-CZ" w:bidi="ar-SA"/>
              </w:rPr>
            </w:pPr>
            <w:r>
              <w:rPr>
                <w:kern w:val="0"/>
                <w:lang w:val="cs-CZ" w:bidi="ar-SA"/>
              </w:rPr>
              <w:t xml:space="preserve">Vysvětlující proměnné / </w:t>
            </w:r>
            <w:r>
              <w:rPr>
                <w:i/>
                <w:iCs/>
                <w:kern w:val="0"/>
                <w:lang w:val="cs-CZ" w:bidi="ar-SA"/>
              </w:rPr>
              <w:t>Explanatory variables</w:t>
            </w:r>
          </w:p>
        </w:tc>
        <w:tc>
          <w:tcPr>
            <w:tcW w:w="6513" w:type="dxa"/>
            <w:tcBorders>
              <w:top w:val="nil"/>
              <w:left w:val="nil"/>
              <w:bottom w:val="nil"/>
              <w:right w:val="nil"/>
            </w:tcBorders>
            <w:vAlign w:val="center"/>
          </w:tcPr>
          <w:p>
            <w:pPr>
              <w:pStyle w:val="Tabulkatext"/>
              <w:widowControl/>
              <w:suppressAutoHyphens w:val="true"/>
              <w:rPr>
                <w:kern w:val="0"/>
                <w:lang w:val="cs-CZ" w:bidi="ar-SA"/>
              </w:rPr>
            </w:pPr>
            <w:r>
              <w:rPr>
                <w:kern w:val="0"/>
                <w:lang w:val="cs-CZ" w:bidi="ar-SA"/>
              </w:rPr>
              <w:t>[[#explanatory_variables]][[name]]; [[/explanatory_variables]]</w:t>
            </w:r>
          </w:p>
        </w:tc>
      </w:tr>
      <w:tr>
        <w:trPr/>
        <w:tc>
          <w:tcPr>
            <w:tcW w:w="2547" w:type="dxa"/>
            <w:tcBorders>
              <w:top w:val="nil"/>
              <w:left w:val="nil"/>
              <w:bottom w:val="nil"/>
              <w:right w:val="nil"/>
            </w:tcBorders>
          </w:tcPr>
          <w:p>
            <w:pPr>
              <w:pStyle w:val="Tabulkatext"/>
              <w:widowControl/>
              <w:suppressAutoHyphens w:val="true"/>
              <w:rPr>
                <w:kern w:val="0"/>
                <w:lang w:val="cs-CZ" w:bidi="ar-SA"/>
              </w:rPr>
            </w:pPr>
            <w:r>
              <w:rPr>
                <w:kern w:val="0"/>
                <w:lang w:val="cs-CZ" w:bidi="ar-SA"/>
              </w:rPr>
              <w:t>Počet pozorování /</w:t>
            </w:r>
          </w:p>
          <w:p>
            <w:pPr>
              <w:pStyle w:val="Tabulkatext"/>
              <w:widowControl/>
              <w:suppressAutoHyphens w:val="true"/>
              <w:rPr>
                <w:kern w:val="0"/>
                <w:lang w:val="cs-CZ" w:bidi="ar-SA"/>
              </w:rPr>
            </w:pPr>
            <w:r>
              <w:rPr>
                <w:kern w:val="0"/>
                <w:lang w:val="cs-CZ" w:bidi="ar-SA"/>
              </w:rPr>
              <w:t>No. of observations</w:t>
            </w:r>
          </w:p>
        </w:tc>
        <w:tc>
          <w:tcPr>
            <w:tcW w:w="6513" w:type="dxa"/>
            <w:tcBorders>
              <w:top w:val="nil"/>
              <w:left w:val="nil"/>
              <w:bottom w:val="nil"/>
              <w:right w:val="nil"/>
            </w:tcBorders>
            <w:vAlign w:val="center"/>
          </w:tcPr>
          <w:p>
            <w:pPr>
              <w:pStyle w:val="Tabulkatext"/>
              <w:widowControl/>
              <w:suppressAutoHyphens w:val="true"/>
              <w:rPr>
                <w:kern w:val="0"/>
                <w:lang w:val="cs-CZ" w:bidi="ar-SA"/>
              </w:rPr>
            </w:pPr>
            <w:r>
              <w:rPr>
                <w:kern w:val="0"/>
                <w:lang w:val="cs-CZ" w:bidi="ar-SA"/>
              </w:rPr>
              <w:t>[[N]]</w:t>
            </w:r>
          </w:p>
        </w:tc>
      </w:tr>
    </w:tbl>
    <w:p>
      <w:pPr>
        <w:pStyle w:val="Zdroj"/>
        <w:rPr/>
      </w:pPr>
      <w:r>
        <w:rPr/>
        <w:t xml:space="preserve">Zdroj / Source: Vlastní zpracování Úřadu na základě shromážděných dat / </w:t>
      </w:r>
      <w:r>
        <w:rPr>
          <w:lang w:val="en-GB"/>
        </w:rPr>
        <w:t>Prepared by the Office on the basis of the data collected</w:t>
      </w:r>
      <w:r>
        <w:rPr/>
        <w:t>. [[/MM_02_hedonic_log_OLS_inverse]][[/EU_list_prices_02_regressions]]</w:t>
      </w:r>
    </w:p>
    <w:p>
      <w:pPr>
        <w:pStyle w:val="Textprost"/>
        <w:rPr/>
      </w:pPr>
      <w:r>
        <w:rPr/>
        <w:t>I pro všechny zde uvedené modely platí, že Úřad v analýze počítal směrodatné chyby jako robustní (HC3).</w:t>
      </w:r>
    </w:p>
    <w:p>
      <w:pPr>
        <w:pStyle w:val="Textprost"/>
        <w:rPr/>
      </w:pPr>
      <w:r>
        <w:rPr/>
      </w:r>
    </w:p>
    <w:p>
      <w:pPr>
        <w:pStyle w:val="Textprost"/>
        <w:rPr/>
      </w:pPr>
      <w:r>
        <w:rPr/>
      </w:r>
    </w:p>
    <w:p>
      <w:pPr>
        <w:pStyle w:val="Textprost"/>
        <w:rPr/>
      </w:pPr>
      <w:r>
        <w:rPr/>
      </w:r>
    </w:p>
    <w:p>
      <w:pPr>
        <w:pStyle w:val="Heading3"/>
        <w:ind w:hanging="1134" w:left="142" w:right="284"/>
        <w:rPr/>
      </w:pPr>
      <w:bookmarkStart w:id="97" w:name="_Toc229057824"/>
      <w:r>
        <w:rPr/>
        <w:t>Modelování relativních ceníkových cen služeb pevného připojení k internetu v Evropě</w:t>
      </w:r>
      <w:bookmarkEnd w:id="97"/>
    </w:p>
    <w:p>
      <w:pPr>
        <w:pStyle w:val="Textprost"/>
        <w:rPr/>
      </w:pPr>
      <w:r>
        <w:rPr/>
      </w:r>
    </w:p>
    <w:p>
      <w:pPr>
        <w:pStyle w:val="Textprost"/>
        <w:rPr/>
      </w:pPr>
      <w:r>
        <w:rPr/>
      </w:r>
    </w:p>
    <w:p>
      <w:pPr>
        <w:pStyle w:val="Heading3"/>
        <w:ind w:hanging="1134" w:left="142" w:right="284"/>
        <w:rPr/>
      </w:pPr>
      <w:bookmarkStart w:id="98" w:name="_Toc229057825"/>
      <w:r>
        <w:rPr/>
        <w:t>Modelování relativní cenové mezery a informační asymetrie v EU</w:t>
      </w:r>
      <w:bookmarkEnd w:id="98"/>
    </w:p>
    <w:p>
      <w:pPr>
        <w:pStyle w:val="Textprost"/>
        <w:rPr/>
      </w:pPr>
      <w:r>
        <w:rPr/>
        <w:t>Při posuzování relativního rozsahu informační asymetrie v rámci EU spočítal Úřad rozdíl mezi průměrnou cenou mobilního tarifu ze sběru údajů č. 02, nejvyšší a nejnižší zjištěnou cenou v daném státě a údajem ARPU, který zveřejňuje organizace BEREC.</w:t>
      </w:r>
    </w:p>
    <w:p>
      <w:pPr>
        <w:pStyle w:val="Textprost"/>
        <w:rPr/>
      </w:pPr>
      <w:r>
        <w:rPr/>
        <w:t>Úřad dále</w:t>
      </w:r>
    </w:p>
    <w:p>
      <w:pPr>
        <w:pStyle w:val="Textprost"/>
        <w:rPr/>
      </w:pPr>
      <w:r>
        <w:rPr/>
      </w:r>
    </w:p>
    <w:p>
      <w:pPr>
        <w:pStyle w:val="Textprost"/>
        <w:rPr/>
      </w:pPr>
      <w:r>
        <w:rPr/>
      </w:r>
    </w:p>
    <w:p>
      <w:pPr>
        <w:pStyle w:val="Textprost"/>
        <w:rPr/>
      </w:pPr>
      <w:r>
        <w:rPr/>
      </w:r>
    </w:p>
    <w:p>
      <w:pPr>
        <w:pStyle w:val="Heading3"/>
        <w:ind w:hanging="1134" w:left="142" w:right="284"/>
        <w:rPr/>
      </w:pPr>
      <w:bookmarkStart w:id="99" w:name="_Toc229057826"/>
      <w:r>
        <w:rPr/>
        <w:t>Modelování elasticit</w:t>
      </w:r>
      <w:bookmarkEnd w:id="99"/>
    </w:p>
    <w:p>
      <w:pPr>
        <w:pStyle w:val="Textprost"/>
        <w:rPr/>
      </w:pPr>
      <w:r>
        <w:rPr/>
      </w:r>
    </w:p>
    <w:p>
      <w:pPr>
        <w:pStyle w:val="Textprost"/>
        <w:rPr/>
      </w:pPr>
      <w:r>
        <w:rPr/>
      </w:r>
    </w:p>
    <w:p>
      <w:pPr>
        <w:pStyle w:val="Heading3"/>
        <w:ind w:hanging="1134" w:left="142" w:right="284"/>
        <w:rPr/>
      </w:pPr>
      <w:bookmarkStart w:id="100" w:name="_Toc229057827"/>
      <w:r>
        <w:rPr/>
        <w:t>Modelování poptávek</w:t>
      </w:r>
      <w:bookmarkEnd w:id="100"/>
    </w:p>
    <w:p>
      <w:pPr>
        <w:pStyle w:val="Textprost"/>
        <w:rPr/>
      </w:pPr>
      <w:r>
        <w:rPr/>
        <w:t>Xxx</w:t>
      </w:r>
    </w:p>
    <w:p>
      <w:pPr>
        <w:pStyle w:val="Textprost"/>
        <w:rPr/>
      </w:pPr>
      <w:r>
        <w:rPr/>
      </w:r>
    </w:p>
    <w:p>
      <w:pPr>
        <w:pStyle w:val="Heading3"/>
        <w:ind w:hanging="1134" w:left="142" w:right="284"/>
        <w:rPr/>
      </w:pPr>
      <w:bookmarkStart w:id="101" w:name="_Toc229057828"/>
      <w:r>
        <w:rPr/>
        <w:t>Modelování mezního příjmu na základě skutečných cen</w:t>
      </w:r>
      <w:bookmarkEnd w:id="101"/>
    </w:p>
    <w:p>
      <w:pPr>
        <w:pStyle w:val="Textprost"/>
        <w:rPr/>
      </w:pPr>
      <w:r>
        <w:rPr/>
      </w:r>
    </w:p>
    <w:p>
      <w:pPr>
        <w:pStyle w:val="Textprost"/>
        <w:rPr/>
      </w:pPr>
      <w:r>
        <w:rPr/>
      </w:r>
    </w:p>
    <w:p>
      <w:pPr>
        <w:pStyle w:val="Heading3"/>
        <w:ind w:hanging="1134" w:left="142" w:right="284"/>
        <w:rPr/>
      </w:pPr>
      <w:bookmarkStart w:id="102" w:name="_Toc229057829"/>
      <w:r>
        <w:rPr/>
        <w:t>Odhad a modelování rozsahu cenové diskriminace</w:t>
      </w:r>
      <w:bookmarkEnd w:id="102"/>
    </w:p>
    <w:p>
      <w:pPr>
        <w:pStyle w:val="Textprost"/>
        <w:rPr/>
      </w:pPr>
      <w:r>
        <w:rPr/>
      </w:r>
    </w:p>
    <w:p>
      <w:pPr>
        <w:pStyle w:val="Textprost"/>
        <w:rPr/>
      </w:pPr>
      <w:r>
        <w:rPr/>
      </w:r>
    </w:p>
    <w:p>
      <w:pPr>
        <w:pStyle w:val="Heading3"/>
        <w:ind w:hanging="1134" w:left="142" w:right="284"/>
        <w:rPr/>
      </w:pPr>
      <w:bookmarkStart w:id="103" w:name="_Toc229057830"/>
      <w:r>
        <w:rPr/>
        <w:t>Výpočet odčerpaného přebytku spotřebitelů</w:t>
      </w:r>
      <w:bookmarkEnd w:id="103"/>
    </w:p>
    <w:p>
      <w:pPr>
        <w:pStyle w:val="Textprost"/>
        <w:rPr/>
      </w:pPr>
      <w:r>
        <w:rPr/>
      </w:r>
    </w:p>
    <w:p>
      <w:pPr>
        <w:pStyle w:val="Textprost"/>
        <w:rPr/>
      </w:pPr>
      <w:r>
        <w:rPr/>
      </w:r>
    </w:p>
    <w:p>
      <w:pPr>
        <w:pStyle w:val="Heading3"/>
        <w:ind w:hanging="1134" w:left="142" w:right="284"/>
        <w:rPr/>
      </w:pPr>
      <w:bookmarkStart w:id="104" w:name="_Toc229057831"/>
      <w:r>
        <w:rPr/>
        <w:t xml:space="preserve">Odhad </w:t>
      </w:r>
      <w:r>
        <w:rPr>
          <w:i/>
          <w:iCs/>
        </w:rPr>
        <w:t>lock-in</w:t>
      </w:r>
      <w:r>
        <w:rPr/>
        <w:t xml:space="preserve"> efektů</w:t>
      </w:r>
      <w:bookmarkEnd w:id="104"/>
    </w:p>
    <w:p>
      <w:pPr>
        <w:pStyle w:val="Textprost"/>
        <w:rPr/>
      </w:pPr>
      <w:r>
        <w:rPr/>
      </w:r>
    </w:p>
    <w:p>
      <w:pPr>
        <w:pStyle w:val="Textprost"/>
        <w:rPr/>
      </w:pPr>
      <w:r>
        <w:rPr/>
      </w:r>
    </w:p>
    <w:p>
      <w:pPr>
        <w:pStyle w:val="Textprost"/>
        <w:rPr/>
      </w:pPr>
      <w:r>
        <w:rPr/>
        <w:t>Ayeh</w:t>
      </w:r>
    </w:p>
    <w:p>
      <w:pPr>
        <w:pStyle w:val="Textprost"/>
        <w:rPr/>
      </w:pPr>
      <w:r>
        <w:rPr/>
      </w:r>
    </w:p>
    <w:p>
      <w:pPr>
        <w:pStyle w:val="Normal"/>
        <w:rPr/>
      </w:pPr>
      <w:r>
        <w:rPr/>
      </w:r>
      <w:r>
        <w:br w:type="page"/>
      </w:r>
    </w:p>
    <w:p>
      <w:pPr>
        <w:pStyle w:val="Textprost"/>
        <w:spacing w:before="0" w:after="160"/>
        <w:rPr/>
      </w:pPr>
      <w:r>
        <w:rPr/>
      </w:r>
    </w:p>
    <w:p>
      <w:pPr>
        <w:pStyle w:val="Heading1"/>
        <w:ind w:hanging="1135" w:left="142" w:right="284"/>
        <w:rPr/>
      </w:pPr>
      <w:bookmarkStart w:id="105" w:name="_Toc229057832"/>
      <w:r>
        <w:rPr/>
        <w:t>Právní a regulatorní kontext šetřené oblasti</w:t>
      </w:r>
      <w:bookmarkEnd w:id="105"/>
    </w:p>
    <w:tbl>
      <w:tblPr>
        <w:tblStyle w:val="TableGrid"/>
        <w:tblW w:w="906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30"/>
        <w:gridCol w:w="4530"/>
      </w:tblGrid>
      <w:tr>
        <w:trPr/>
        <w:tc>
          <w:tcPr>
            <w:tcW w:w="4530" w:type="dxa"/>
            <w:tcBorders>
              <w:top w:val="nil"/>
              <w:left w:val="nil"/>
              <w:bottom w:val="nil"/>
              <w:right w:val="nil"/>
            </w:tcBorders>
          </w:tcPr>
          <w:p>
            <w:pPr>
              <w:pStyle w:val="Textprost"/>
              <w:widowControl/>
              <w:suppressAutoHyphens w:val="true"/>
              <w:rPr>
                <w:kern w:val="0"/>
                <w:lang w:val="cs-CZ" w:bidi="ar-SA"/>
              </w:rPr>
            </w:pPr>
            <w:r>
              <w:rPr>
                <w:kern w:val="0"/>
                <w:lang w:val="cs-CZ" w:bidi="ar-SA"/>
              </w:rPr>
              <w:t>Právní a regulatorní rámec elektronických komunikací tvoří souběh unijní a národní úpravy. Vedle obecných pravidel ochrany hospodářské soutěže stanoví i zvláštní podmínky fungování tohoto odvětví, vymezuje cíle veřejnoprávní regulace a určuje meze regulatorních zásahů do trhu.</w:t>
            </w:r>
          </w:p>
          <w:p>
            <w:pPr>
              <w:pStyle w:val="Textprost"/>
              <w:widowControl/>
              <w:suppressAutoHyphens w:val="true"/>
              <w:spacing w:before="0" w:after="160"/>
              <w:rPr>
                <w:kern w:val="0"/>
                <w:lang w:val="cs-CZ" w:bidi="ar-SA"/>
              </w:rPr>
            </w:pPr>
            <w:r>
              <w:rPr>
                <w:kern w:val="0"/>
                <w:lang w:val="cs-CZ" w:bidi="ar-SA"/>
              </w:rPr>
              <w:t>Elektronické komunikace obecně představují sektor, v němž se soutěžní mechanismy prolínají s využíváním omezených veřejných zdrojů, zejména rádiového spektra, s vysokými infrastrukturními investicemi a výrazným veřejným zájmem na dostupnosti, kvalitě, bezpečnosti a odolnosti služeb. Českou i evropskou právní úpravu je proto třeba chápat jako systém, v němž se vedle sebe uplatňuje sektorová regulace ex ante a obecné soutěžní právo, jež dopadá jak na následný postih protisoutěžního jednání, tak na preventivní kontrolu spojování soutěžitelů.</w:t>
            </w:r>
          </w:p>
        </w:tc>
        <w:tc>
          <w:tcPr>
            <w:tcW w:w="4530" w:type="dxa"/>
            <w:tcBorders>
              <w:top w:val="nil"/>
              <w:left w:val="nil"/>
              <w:bottom w:val="nil"/>
              <w:right w:val="nil"/>
            </w:tcBorders>
          </w:tcPr>
          <w:p>
            <w:pPr>
              <w:pStyle w:val="TextprostvAJ"/>
              <w:widowControl/>
              <w:suppressAutoHyphens w:val="true"/>
              <w:spacing w:before="0" w:after="160"/>
              <w:rPr>
                <w:highlight w:val="yellow"/>
              </w:rPr>
            </w:pPr>
            <w:r>
              <w:rPr>
                <w:kern w:val="0"/>
                <w:lang w:bidi="ar-SA"/>
              </w:rPr>
              <w:t>The legal and regulatory framework for electronic communications is characterised by the coexistence of national and European Union legislation. In addition to general competition rules, it establishes specific conditions for the operation of this sector, defines the objectives of public regulation, and sets limits on regulatory intervention in the market.</w:t>
            </w:r>
          </w:p>
        </w:tc>
      </w:tr>
    </w:tbl>
    <w:p>
      <w:pPr>
        <w:pStyle w:val="Heading2"/>
        <w:ind w:hanging="1134" w:left="142" w:right="284"/>
        <w:rPr/>
      </w:pPr>
      <w:bookmarkStart w:id="106" w:name="_Toc229057833"/>
      <w:r>
        <w:rPr/>
        <w:t>Evropský právní rámec</w:t>
      </w:r>
      <w:bookmarkEnd w:id="106"/>
    </w:p>
    <w:p>
      <w:pPr>
        <w:pStyle w:val="Textprost"/>
        <w:rPr/>
      </w:pPr>
      <w:r>
        <w:rPr/>
        <w:t>Evropský právní rámec elektronických komunikací vychází především ze směrnice Evropského parlamentu a Rady (EU) 2018/1972 ze dne 11. prosince 2018, kterou se stanoví evropský kodex pro elektronické komunikace.</w:t>
      </w:r>
      <w:r>
        <w:rPr>
          <w:rStyle w:val="FootnoteReference"/>
        </w:rPr>
        <w:footnoteReference w:id="101"/>
      </w:r>
      <w:r>
        <w:rPr/>
        <w:t xml:space="preserve"> Tato směrnice vytvořila harmonizovaný rámec pro regulaci sítí elektronických komunikací, služeb elektronických komunikací, přidružených prostředků a vybraných souvisejících aspektů koncových zařízení. Jejím cílem je podporovat konektivitu, investice a inovace, posilovat hospodářskou soutěž a současně zajistit vysokou úroveň ochrany koncových uživatelů na vnitřním trhu.</w:t>
      </w:r>
    </w:p>
    <w:p>
      <w:pPr>
        <w:pStyle w:val="Textprost"/>
        <w:rPr/>
      </w:pPr>
      <w:r>
        <w:rPr/>
        <w:t>Na tento základ navazují přímo použitelná unijní nařízení. Významnou roli sehrává zejména nařízení Evropského parlamentu a Rady (EU) 2015/2120 ze dne 25. listopadu 2015, kterým se stanoví opatření týkající se přístupu k otevřenému internetu a mění směrnice 2002/22/ES o univerzální službě a právech uživatelů týkajících se sítí a služeb elektronických komunikací a nařízení (EU) č. 531/2012 o roamingu ve veřejných mobilních komunikačních sítích v Unii.</w:t>
      </w:r>
      <w:r>
        <w:rPr>
          <w:rStyle w:val="FootnoteReference"/>
        </w:rPr>
        <w:footnoteReference w:id="102"/>
      </w:r>
      <w:r>
        <w:rPr/>
        <w:t xml:space="preserve"> Předmětné nařízení upravuje přístup k otevřenému internetu a zakotvuje zásadu rovného a nediskriminačního zacházení s internetovým provozem, představuje tak klíčový právní základ síťové neutrality v unijním prostoru.</w:t>
      </w:r>
    </w:p>
    <w:p>
      <w:pPr>
        <w:pStyle w:val="Textprost"/>
        <w:rPr/>
      </w:pPr>
      <w:r>
        <w:rPr/>
        <w:t>Dalším významným předpisem je nařízení Evropského parlamentu a Rady (EU) 2022/612 ze dne 6. dubna 2022 o roamingu ve veřejných mobilních komunikačních sítích v Unii,</w:t>
      </w:r>
      <w:r>
        <w:rPr>
          <w:rStyle w:val="FootnoteReference"/>
        </w:rPr>
        <w:footnoteReference w:id="103"/>
      </w:r>
      <w:r>
        <w:rPr/>
        <w:t xml:space="preserve"> které prodloužilo a přepracovalo režim roamingu za domácích podmínek do 30. 6. 2032. Jeho cílem je zachovat zákaz maloobchodních roamingových příplatků a současně posílit kvalitu roamingových služeb, informovanost uživatelů a ochranu před nepřiměřenými cenami.</w:t>
      </w:r>
    </w:p>
    <w:p>
      <w:pPr>
        <w:pStyle w:val="Textprost"/>
        <w:rPr/>
      </w:pPr>
      <w:r>
        <w:rPr/>
        <w:t>Součást aktuálního evropského rámce tvoří i nařízení Evropského parlamentu a Rady (EU) 2024/1309 ze dne 29. dubna 2024 o opatřeních ke snížení nákladů na budování gigabitových sítí elektronických komunikací, o změně nařízení (EU) 2015/2120 a o zrušení směrnice 2014/61/EU (nařízení o gigabitové infrastruktuře).</w:t>
      </w:r>
      <w:r>
        <w:rPr>
          <w:rStyle w:val="FootnoteReference"/>
        </w:rPr>
        <w:footnoteReference w:id="104"/>
      </w:r>
      <w:r>
        <w:rPr/>
        <w:t xml:space="preserve"> Jeho účelem je usnadnit a urychlit výstavbu sítí s velmi vysokou kapacitou prostřednictvím lepšího sdílení fyzické infrastruktury, větší koordinace stavebních prací a odstranění vybraných administrativních překážek, a tím snížit investiční náklady na rozvoj digitální infrastruktury.</w:t>
      </w:r>
    </w:p>
    <w:p>
      <w:pPr>
        <w:pStyle w:val="Textprost"/>
        <w:rPr/>
      </w:pPr>
      <w:r>
        <w:rPr/>
        <w:t>Evropská úprava tedy nesměřuje pouze k ochraně uživatelů, ale i k harmonizaci podmínek hospodářské soutěže, k rozvoji sítí s vysokou kapacitou, k předvídatelnějším investičním podmínkám a ke snižování regulatorních i infrastrukturních bariér v rámci EU.</w:t>
      </w:r>
    </w:p>
    <w:p>
      <w:pPr>
        <w:pStyle w:val="Heading2"/>
        <w:ind w:hanging="1135" w:left="142" w:right="284"/>
        <w:rPr/>
      </w:pPr>
      <w:bookmarkStart w:id="107" w:name="_Toc229057834"/>
      <w:r>
        <w:rPr/>
        <w:t>Role a kompetence nadnárodních orgánů</w:t>
      </w:r>
      <w:bookmarkEnd w:id="107"/>
    </w:p>
    <w:p>
      <w:pPr>
        <w:pStyle w:val="Textprost"/>
        <w:rPr/>
      </w:pPr>
      <w:r>
        <w:rPr/>
        <w:t>Vedle samotných pramenů unijního práva je nezbytné zohlednit i institucionální rámec jejich uplatňování. Elektronické komunikace nejsou v EU ponechány pouze autonomnímu rozhodování členských států, ale podléhají víceúrovňovému dohledu, jehož účelem je omezovat riziko regulatorní roztříštěnosti a podporovat jednotné fungování vnitřního trhu. V tomto rámci zaujímají klíčové postavení zejména Evropská komise a Sdružení evropských regulačních orgánů v oblasti elektronických komunikací BEREC (dále jen „</w:t>
      </w:r>
      <w:r>
        <w:rPr>
          <w:b/>
          <w:bCs/>
        </w:rPr>
        <w:t>BEREC</w:t>
      </w:r>
      <w:r>
        <w:rPr/>
        <w:t>“).</w:t>
      </w:r>
    </w:p>
    <w:p>
      <w:pPr>
        <w:pStyle w:val="Heading3"/>
        <w:ind w:hanging="1134" w:left="142" w:right="284"/>
        <w:rPr/>
      </w:pPr>
      <w:bookmarkStart w:id="108" w:name="_Toc229057835"/>
      <w:r>
        <w:rPr/>
        <w:t>Evropská komise</w:t>
      </w:r>
      <w:bookmarkEnd w:id="108"/>
    </w:p>
    <w:p>
      <w:pPr>
        <w:pStyle w:val="Textprost"/>
        <w:rPr/>
      </w:pPr>
      <w:r>
        <w:rPr/>
        <w:t>Evropská komise nevystupuje v oblasti elektronických komunikací jako běžný sektorový regulátor jednotlivých národních trhů. Její role spočívá především v zajišťování jednoty, konzistence a souladu národních regulatorních opatření s unijním právem a s cíli vnitřního trhu. Význam této funkce se projevuje zejména v notifikačních a konzultačních postupech, v jejichž rámci jsou národní regulační orgány povinny oznamovat Komisi, BEREC a regulačním orgánům ostatních členských států návrhy významných regulačních opatření, zejména při analýzách relevantních trhů, určování podniků s významnou tržní silou a ukládání či rušení nápravných opatření.</w:t>
      </w:r>
    </w:p>
    <w:p>
      <w:pPr>
        <w:pStyle w:val="Textprost"/>
        <w:rPr/>
      </w:pPr>
      <w:r>
        <w:rPr/>
        <w:t>Komise zde plní koordinační i dozorovou funkci. V případě vážných pochybností může zahájit hloubkový přezkum notifikovaného návrhu a v unijním právem předvídaných situacích požadovat jeho stažení či úpravu. Praktický význam této pravomoci ukázal i případ českého velkoobchodního trhu mobilního přístupu z roku 2023, v němž Komise po hloubkovém přezkumu z důvodu vážných pochybností o souladu návrhu s právem EU požadovala, aby ČTÚ stáhl návrh regulačního opatření týkajícího se velkoobchodního přístupu k mobilním sítím v ČR;</w:t>
      </w:r>
      <w:r>
        <w:rPr>
          <w:rStyle w:val="FootnoteReference"/>
        </w:rPr>
        <w:footnoteReference w:id="105"/>
      </w:r>
      <w:r>
        <w:rPr/>
        <w:t xml:space="preserve"> závěry Komise podpořilo i BEREC.</w:t>
      </w:r>
      <w:r>
        <w:rPr>
          <w:rStyle w:val="FootnoteReference"/>
        </w:rPr>
        <w:footnoteReference w:id="106"/>
      </w:r>
    </w:p>
    <w:p>
      <w:pPr>
        <w:pStyle w:val="Heading3"/>
        <w:ind w:hanging="1134" w:left="142" w:right="284"/>
        <w:rPr/>
      </w:pPr>
      <w:bookmarkStart w:id="109" w:name="_Toc229057836"/>
      <w:r>
        <w:rPr/>
        <w:t>Sdružení evropských regulačních orgánů v oblasti elektronických komunikací BEREC</w:t>
      </w:r>
      <w:bookmarkEnd w:id="109"/>
    </w:p>
    <w:p>
      <w:pPr>
        <w:pStyle w:val="Textprost"/>
        <w:rPr/>
      </w:pPr>
      <w:r>
        <w:rPr/>
        <w:t>BEREC představuje významný prvek institucionálního rámce regulace elektronických komunikací v EU. Jeho postavení upravuje nařízení Evropského parlamentu a Rady (EU) 2018/1971 ze dne 11. prosince 2018 o zřízení Sdružení evropských regulačních orgánů v oblasti elektronických komunikací (BEREC) a Agentury na podporu BEREC (Úřad BEREC), o změně nařízení (EU) 2015/2120 a o zrušení nařízení (ES) č. 1211/2009.</w:t>
      </w:r>
      <w:r>
        <w:rPr>
          <w:rStyle w:val="FootnoteReference"/>
        </w:rPr>
        <w:footnoteReference w:id="107"/>
      </w:r>
      <w:r>
        <w:rPr/>
        <w:t xml:space="preserve"> </w:t>
      </w:r>
    </w:p>
    <w:p>
      <w:pPr>
        <w:pStyle w:val="Textprost"/>
        <w:rPr/>
      </w:pPr>
      <w:r>
        <w:rPr/>
        <w:t>BEREC propojuje vnitrostátní regulační orgány a přispívá k jednotnému a ke konzistentnímu uplatňování pravidel elektronických komunikací v celé EU. Jeho posláním je podporovat Komisi i národní regulační orgány při provádění unijního regulatorního rámce, posilovat soudržnost regulatorních přístupů a napomáhat sbližování rozhodovací praxe v jednotlivých členských státech. Současně poskytuje odborné poradenství unijním institucím a na evropské úrovni doplňuje činnost vnitrostátních regulačních orgánů.</w:t>
      </w:r>
    </w:p>
    <w:p>
      <w:pPr>
        <w:pStyle w:val="Textprost"/>
        <w:rPr/>
      </w:pPr>
      <w:r>
        <w:rPr/>
        <w:t>Mezi hlavní úkoly BEREC patří zejména účast v konzultačních a notifikačních postupech, vydávání odborných stanovisek k návrhům regulačních opatření, sdílení osvědčených regulačních postupů a formulace doporučení či pokynů k vybraným otázkám regulatorní praxe. Významnou roli plní rovněž při posuzování otázek s přeshraničním rozměrem a při monitorování odvětví elektronických komunikací, o jehož vývoji pravidelně zveřejňuje zprávy.</w:t>
      </w:r>
    </w:p>
    <w:p>
      <w:pPr>
        <w:pStyle w:val="Textprost"/>
        <w:rPr/>
      </w:pPr>
      <w:r>
        <w:rPr/>
        <w:t>Význam BEREC spočívá především v omezení rizika regulatorní roztříštěnosti a v podpoře jednotnějšího výkladu i aplikace pravidel v oblastech jako relevantní trhy, přístupové povinnosti, roaming, otevřený internet nebo jiné otázky s přeshraničním dopadem. V institucionálním rámci elektronických komunikací tak BEREC představuje především expertní a koordinační platformu propojující evropskou a národní úroveň regulace.</w:t>
      </w:r>
    </w:p>
    <w:p>
      <w:pPr>
        <w:pStyle w:val="Heading2"/>
        <w:ind w:hanging="1135" w:left="142" w:right="284"/>
        <w:rPr/>
      </w:pPr>
      <w:bookmarkStart w:id="110" w:name="_Toc229057837"/>
      <w:r>
        <w:rPr/>
        <w:t>Český právní rámec</w:t>
      </w:r>
      <w:bookmarkEnd w:id="110"/>
    </w:p>
    <w:p>
      <w:pPr>
        <w:pStyle w:val="Textprost"/>
        <w:rPr/>
      </w:pPr>
      <w:r>
        <w:rPr/>
        <w:t>Český právní rámec elektronických komunikací navazuje na evropskou úpravu a jeho základ tvoří zákon č. 127/2005 Sb., o elektronických komunikacích a o změně některých souvisejících zákonů (zákon o elektronických komunikacích), ve znění pozdějších předpisů (dále jen „</w:t>
      </w:r>
      <w:r>
        <w:rPr>
          <w:b/>
          <w:bCs/>
        </w:rPr>
        <w:t>zákon o elektronických komunikacích</w:t>
      </w:r>
      <w:r>
        <w:rPr/>
        <w:t>“). Tento zákon na základě práva EU upravuje podmínky podnikání, výkon komunikační činnosti a výkon státní správy včetně regulace trhu v oblasti elektronických komunikací. Současně vymezuje pravidla pro správu omezených zdrojů, zejména rádiového spektra a čísel, a stanoví práva a povinnosti podnikatelů i koncových uživatelů.</w:t>
      </w:r>
    </w:p>
    <w:p>
      <w:pPr>
        <w:pStyle w:val="Textprost"/>
        <w:rPr/>
      </w:pPr>
      <w:r>
        <w:rPr/>
        <w:t>Významnou změnu přinesla novela tohoto zákona provedená zákonem č. 374/2021 Sb., účinná převážně od 1. 1. 2022, která do českého právního řádu implementovala evropský kodex pro elektronické komunikace. Další významná novela byla přijata zákonem č. 23/2025 Sb., účinným od 1. 7. 2025. Tato novela upravila některé instituty zákona o elektronických komunikacích a rozšířila kompetence ČTÚ mimo jiné v oblasti rozhodování některých účastnických sporů.</w:t>
      </w:r>
    </w:p>
    <w:p>
      <w:pPr>
        <w:pStyle w:val="Textprost"/>
        <w:rPr/>
      </w:pPr>
      <w:r>
        <w:rPr/>
        <w:t>Český rámec je dále dotvářen prováděcími předpisy, opatřeními obecné povahy, všeobecnými oprávněními a rozhodovací činností ČTÚ. Zvláštního významu nabývají analýzy relevantních trhů, které ČTÚ provádí v intervalu od jednoho do pěti let podle vývoje tržních podmínek a vydává je formou opatření obecné povahy. Na jejich základě ČTÚ posuzuje, zda jsou dotčené trhy efektivně konkurenční, a v případě zjištění významné tržní síly ukládá dotčeným podnikům nápravná opatření.</w:t>
      </w:r>
    </w:p>
    <w:p>
      <w:pPr>
        <w:pStyle w:val="Textprost"/>
        <w:rPr/>
      </w:pPr>
      <w:r>
        <w:rPr/>
        <w:t>Součást českého právního rámce představuje i zákon č. 194/2017 Sb., o opatřeních ke snížení nákladů na zavádění vysokorychlostních sítí elektronických komunikací a o změně některých souvisejících zákonů, ve znění pozdějších předpisů. Tento zákon upravuje pravidla zavádění vysokorychlostních sítí a koordinaci staveb infrastruktury, a doplňuje tak sektorovou regulaci o nástroje směřující ke snížení investičních a realizačních bariér při výstavbě sítí.</w:t>
      </w:r>
    </w:p>
    <w:p>
      <w:pPr>
        <w:pStyle w:val="Textprost"/>
        <w:rPr/>
      </w:pPr>
      <w:r>
        <w:rPr/>
        <w:t>Zvláštní význam má v českém právním rámci správa rádiového spektra. Na zákonný rámec navazuje plán využití rádiového spektra vydávaný ČTÚ, v němž ČTÚ stanoví technické parametry a podmínky využití rádiového spektra jednotlivými radiokomunikačními službami. Předmětný plán navazuje na plán přidělení kmitočtových pásem, tedy na vyhlášku č. 105/2010 Sb., o plánu přidělení kmitočtových pásem (národní kmitočtová tabulka). Správa spektra přitom nepředstavuje pouze technicko-administrativní agendu, ale má i zásadní soutěžní význam, neboť způsob přidělování a podmínky využívání kmitočtů mohou významně ovlivnit strukturu trhu, nákladovou pozici soutěžitelů i podmínky vstupu nových soutěžitelů na trh.</w:t>
      </w:r>
    </w:p>
    <w:p>
      <w:pPr>
        <w:pStyle w:val="Textprost"/>
        <w:rPr/>
      </w:pPr>
      <w:r>
        <w:rPr/>
        <w:t>Českou právní úpravu lze obecně vnímat jako průběžně aktualizovaný systém propojující harmonizované evropské požadavky, domácí regulační nástroje, správu vzácných zdrojů, podporu síťových investic a ochranu hospodářské soutěže. Současně platí, že zákon o elektronických komunikacích nezbavuje významu obecné soutěžní právo, ale naopak předpokládá jeho souběžné uplatnění tam, kde sektorová regulace sama o sobě nepostačuje.</w:t>
      </w:r>
    </w:p>
    <w:p>
      <w:pPr>
        <w:pStyle w:val="Heading2"/>
        <w:ind w:hanging="1135" w:left="142" w:right="284"/>
        <w:rPr/>
      </w:pPr>
      <w:bookmarkStart w:id="111" w:name="_Toc229057838"/>
      <w:r>
        <w:rPr/>
        <w:t>Role a kompetence příslušných národních orgánů</w:t>
      </w:r>
      <w:bookmarkEnd w:id="111"/>
    </w:p>
    <w:p>
      <w:pPr>
        <w:pStyle w:val="Textprost"/>
        <w:rPr/>
      </w:pPr>
      <w:r>
        <w:rPr/>
        <w:t xml:space="preserve">Právní rámec elektronických komunikací se ve vnitrostátní rovině neprojevuje pouze prostřednictvím právních předpisů, ale rovněž skrze působnost několika veřejných institucí, jejichž pravomoci se navzájem doplňují a v řadě ohledů se funkční prolínají. Institucionální uspořádání tohoto odvětví přitom odráží jeho mnohovrstevnatou povahu. Vedle otázek hospodářské soutěže a regulace trhu zahrnuje též problematiku rozvoje infrastruktury, správy omezených zdrojů, ochrany koncových uživatelů, bezpečnosti sítí i ochrany soukromí. </w:t>
      </w:r>
    </w:p>
    <w:p>
      <w:pPr>
        <w:pStyle w:val="Textprost"/>
        <w:rPr/>
      </w:pPr>
      <w:r>
        <w:rPr/>
        <w:t>Na vrcholu tohoto institucionálního rámce stojí vláda ČR, která společně s Ministerstvem průmyslu a obchodu (dále jen „</w:t>
      </w:r>
      <w:r>
        <w:rPr>
          <w:b/>
          <w:bCs/>
        </w:rPr>
        <w:t>MPO</w:t>
      </w:r>
      <w:r>
        <w:rPr/>
        <w:t>“) a v dílčích oblastech s Ministerstvem vnitra vytváří strategický, koncepční a částečně i normotvorný rámec fungování odvětví. Vlastní sektorovou regulaci a správní dohled nad trhem poté vykonává ČTÚ jako nezávislý národní regulátor. Vedle něj se v oblasti elektronických komunikací uplatňuje rovněž obecná ochrana hospodářské soutěže vykonávaná ÚOHS, agenda kybernetické a informační bezpečnosti svěřená Národnímu úřadu pro kybernetickou a informační bezpečnost (dále jen „</w:t>
      </w:r>
      <w:r>
        <w:rPr>
          <w:b/>
        </w:rPr>
        <w:t>NÚKIB</w:t>
      </w:r>
      <w:r>
        <w:rPr/>
        <w:t>“) a v určitých otázkách také dohled ÚOOÚ. Teprve v souhrnu působnosti těchto orgánů se ukazuje, jak se v sektoru elektronických komunikací propojuje veřejný zájem na rozvoji moderní infrastruktury, bezpečnosti a ochraně uživatelů s požadavkem zachování účinné hospodářské soutěže.</w:t>
      </w:r>
    </w:p>
    <w:p>
      <w:pPr>
        <w:pStyle w:val="Heading3"/>
        <w:ind w:hanging="1134" w:left="142" w:right="284"/>
        <w:rPr/>
      </w:pPr>
      <w:bookmarkStart w:id="112" w:name="_Toc229057839"/>
      <w:r>
        <w:rPr/>
        <w:t>Vláda České republiky, Ministerstvo průmyslu a obchodu a Ministerstvo vnitra</w:t>
      </w:r>
      <w:bookmarkEnd w:id="112"/>
    </w:p>
    <w:p>
      <w:pPr>
        <w:pStyle w:val="Textprost"/>
        <w:rPr/>
      </w:pPr>
      <w:r>
        <w:rPr/>
        <w:t>Role vlády ČR v sektoru elektronických komunikací je především strategická, koordinační a částečně normotvorná, nikoliv každodenně regulatorní. Zákon o elektronických komunikacích jí výslovně svěřuje oprávnění vydávat nařízení k provedení vybraných ustanovení tohoto zákona. Tato zmocnění se vztahují pouze k dílčím oblastem, a vládu proto nelze chápat jako orgán vykonávající běžnou sektorovou regulaci trhu elektronických komunikací. V institucionálním rámci odvětví tak vláda vystupuje především jako vrcholný orgán politického řízení a koordinace, který schvaluje základní směry veřejné politiky a prostřednictvím nařízení spoluvytváří dílčí normativní rámec fungování sektoru.</w:t>
      </w:r>
    </w:p>
    <w:p>
      <w:pPr>
        <w:pStyle w:val="Textprost"/>
        <w:rPr/>
      </w:pPr>
      <w:r>
        <w:rPr/>
        <w:t>Stěžejním ústředním orgánem státní správy pro elektronické komunikace je MPO, s výjimkou záležitostí zákonem svěřených do působnosti ČTÚ. Tato pozice plyne již z kompetenčního zákona</w:t>
      </w:r>
      <w:r>
        <w:rPr>
          <w:rStyle w:val="FootnoteReference"/>
        </w:rPr>
        <w:footnoteReference w:id="108"/>
      </w:r>
      <w:r>
        <w:rPr/>
        <w:t xml:space="preserve"> a v zákoně o elektronických komunikacích se promítá do rozsáhlé koncepční, koordinační a mezinárodní působnosti ministerstva. MPO zejména předkládá vládě návrhy státní politiky elektronických komunikací a hlavních zásad jejího rozvoje, sleduje jejich realizaci, zabezpečuje mezinárodní vztahy v této oblasti a plní závazky vyplývající z členství ČR v EU a v dalších mezinárodních strukturách, není-li jejich plnění svěřeno ČTÚ. Současně zastupuje ČR v orgánech EU v rozsahu své působnosti a plní vůči Komisi oznamovací a informační povinnosti. Významná je rovněž jeho role v oblasti strategického plánování, koordinace a harmonizace využívání rádiového spektra na unijní úrovni.</w:t>
      </w:r>
    </w:p>
    <w:p>
      <w:pPr>
        <w:pStyle w:val="Textprost"/>
        <w:rPr/>
      </w:pPr>
      <w:r>
        <w:rPr/>
        <w:t>MPO však nevystupuje pouze jako nositel státní politiky, nýbrž též jako normotvorný orgán. Zákon o elektronických komunikacích jej zmocňuje k vydávání prováděcích vyhlášek v řadě technických a procesních oblastí; v některých případech tak činí samostatně, v jiných ve spolupráci s Ministerstvem vnitra. Současně mu zákon přiznává významné informační postavení vůči ČTÚ, který je povinen na žádost MPO poskytovat informace nezbytné pro výkon působnosti svěřené ministerstvu. MPO tak v institucionálním uspořádání odvětví nepůsobí jako každodenní regulátor jednotlivých podnikatelů, ale jako hlavní gestor státní politiky elektronických komunikací, legislativní přípravy a mezinárodního zastoupení ČR v této oblasti.</w:t>
      </w:r>
    </w:p>
    <w:p>
      <w:pPr>
        <w:pStyle w:val="Textprost"/>
        <w:rPr/>
      </w:pPr>
      <w:r>
        <w:rPr/>
        <w:t>Aktuálním příkladem výkonu této strategické a koncepční role je Akční plán 3.0 k provedení některých opatření pro podporu plánování a výstavby sítí elektronických komunikací,</w:t>
      </w:r>
      <w:r>
        <w:rPr>
          <w:rStyle w:val="FootnoteCharacters"/>
        </w:rPr>
        <w:t xml:space="preserve"> </w:t>
      </w:r>
      <w:r>
        <w:rPr>
          <w:rStyle w:val="FootnoteReference"/>
        </w:rPr>
        <w:footnoteReference w:id="109"/>
      </w:r>
      <w:r>
        <w:rPr/>
        <w:t xml:space="preserve"> schválený vládou dne 16. 7. 2025 usnesením č. 543. Tento dokument směřuje zejména ke zrychlení a zjednodušení výstavby sítí elektronických komunikací, ke snížení investičních nákladů, k odstranění administrativních bariér a ke zlepšení konektivity v tzv. bílých místech, tedy v lokalitách s nedostatečně kvalitním připojením na území ČR.</w:t>
      </w:r>
    </w:p>
    <w:p>
      <w:pPr>
        <w:pStyle w:val="Textprost"/>
        <w:rPr/>
      </w:pPr>
      <w:r>
        <w:rPr/>
        <w:t>Vedle MPO je třeba zohlednit i postavení Ministerstva vnitra (dále jen „</w:t>
      </w:r>
      <w:r>
        <w:rPr>
          <w:b/>
          <w:bCs/>
        </w:rPr>
        <w:t>MV</w:t>
      </w:r>
      <w:r>
        <w:rPr/>
        <w:t>“), jehož role se v oblasti elektronických komunikací uplatňuje především v bezpečnostní, krizové a koordinační rovině. Podle kompetenčního zákona je MV ústředním orgánem státní správy mimo jiné pro krizové řízení, ochranu obyvatelstva a integrovaný záchranný systém. Zároveň zajišťuje komunikační sítě pro Policii ČR, složky integrovaného záchranného systému a územní orgány státní správy a plní koordinační úlohu pro komunikační technologie. V institucionálním rámci elektronických komunikací tak MV vystupuje jako orgán odpovědný za fungování komunikační infrastruktury státu v bezpečnostně citlivých oblastech a ve veřejné správě.</w:t>
      </w:r>
    </w:p>
    <w:p>
      <w:pPr>
        <w:pStyle w:val="Textprost"/>
        <w:rPr/>
      </w:pPr>
      <w:r>
        <w:rPr/>
        <w:t>Význam MV se promítá i přímo do zákona o elektronických komunikacích, který mu v některých oblastech svěřuje vydávání prováděcích vyhlášek, zejména tam, kde se elektronické komunikace propojují s bezpečnostními a záchrannými funkcemi státu nebo s uchováváním a předáváním provozních a lokalizačních údajů pro zákonem stanovené účely. V některých případech MV vydává tyto předpisy samostatně, v jiných ve spolupráci s MPO. Jeho působnost tedy doplňuje obecný strategický rámec vytvářený vládou a MPO o dimenzi bezpečnosti, krizové připravenosti a koordinace komunikačních technologií ve veřejném sektoru.</w:t>
      </w:r>
    </w:p>
    <w:p>
      <w:pPr>
        <w:pStyle w:val="Textprost"/>
        <w:rPr/>
      </w:pPr>
      <w:r>
        <w:rPr/>
        <w:t>V institucionálním souhrnu lze uzavřít, že vláda, MPO a MV vytvářejí základní politický, koncepční a zčásti i normativní rámec fungování odvětví elektronických komunikací. Zatímco vláda stojí na úrovni vrcholného politického rozhodování a dílčí normotvorby, MPO představuje hlavního gestora státní politiky elektronických komunikací a mezinárodního zastoupení ČR v této oblasti. MV tento rámec doplňuje tam, kde se elektronické komunikace propojují s krizovým řízením, bezpečnostní infrastrukturou a fungováním veřejné správy. Vlastní průběžnou sektorovou regulaci a dohled nad fungováním trhu však vykonává především ČTÚ.</w:t>
      </w:r>
    </w:p>
    <w:p>
      <w:pPr>
        <w:pStyle w:val="Heading3"/>
        <w:ind w:hanging="1134" w:left="142" w:right="284"/>
        <w:rPr/>
      </w:pPr>
      <w:bookmarkStart w:id="113" w:name="_Toc229057840"/>
      <w:r>
        <w:rPr/>
        <w:t>Český telekomunikační úřad</w:t>
      </w:r>
      <w:bookmarkEnd w:id="113"/>
    </w:p>
    <w:p>
      <w:pPr>
        <w:pStyle w:val="Textprost"/>
        <w:rPr/>
      </w:pPr>
      <w:r>
        <w:rPr/>
        <w:t>ČTÚ představuje hlavního národního sektorového regulátora v oblasti elektronických komunikací. Zákon o elektronických komunikacích jej konstruuje jako ústřední správní úřad pro výkon státní správy ve věcech stanovených tímto zákonem, včetně regulace trhu a stanovování podmínek pro podnikání v oblasti elektronických komunikací a poštovních služeb. Jeho institucionální význam je podtržen i tím, že disponuje samostatnou kapitolou státního rozpočtu a při výkonu své působnosti postupuje nezávisle; řídí se pouze zákony a ostatními právními předpisy a nesmí přijímat ani vyžadovat pokyny od jiného orgánu nebo osoby.</w:t>
      </w:r>
    </w:p>
    <w:p>
      <w:pPr>
        <w:pStyle w:val="Textprost"/>
        <w:rPr/>
      </w:pPr>
      <w:r>
        <w:rPr/>
        <w:t>Rozsah pravomocí ČTÚ je mimořádně široký a zahrnuje jak výkon státní správy, tak vlastní regulatorní zásahy do fungování trhu. ČTÚ vydává všeobecná oprávnění pro podnikání v elektronických komunikacích, vede evidenci podnikatelů, rozhoduje o změně nebo zrušení oprávnění, vydává opatření obecné povahy, provádí analýzy relevantních trhů, určuje podniky s významnou tržní silou a ukládá jim zvláštní povinnosti. Současně stanovuje poskytovatele univerzální služby, rozhoduje o úhradě jejích nákladů, vydává cenová rozhodnutí, vykonává kontrolu cen, rozhoduje ve sporech podle zákona, spravuje rádiové kmitočty a čísla, organizuje výběrová řízení na příděly kmitočtů, stanovuje a vybírá poplatky, ukládá a vymáhá sankce a vykonává kontrolu elektronických komunikací, včetně vyhledávání a odstraňování zdrojů rušení. Vedle toho zajišťuje státní statistickou službu v oblasti elektronických komunikací, vydává Telekomunikační věstník a zveřejňuje regulatorní rozhodnutí a další relevantní informace.</w:t>
      </w:r>
    </w:p>
    <w:p>
      <w:pPr>
        <w:pStyle w:val="Textprost"/>
        <w:rPr/>
      </w:pPr>
      <w:r>
        <w:rPr/>
        <w:t>Z hlediska soutěžního uspořádání trhu je významné, že ČTÚ vykonává sektorovou regulaci ex ante. Prostřednictvím analýz relevantních trhů posuzuje, zda je konkrétní trh efektivně konkurenční, a tam, kde tomu tak není, ukládá podnikům s významnou tržní silou nápravná opatření. Právě zde se nejvýrazněji projevuje odlišnost sektorové regulace od obecného soutěžního práva, jež zpravidla reaguje až na konkrétní protisoutěžní jednání nebo preventivně přezkoumává spojování soutěžitelů.</w:t>
      </w:r>
    </w:p>
    <w:p>
      <w:pPr>
        <w:pStyle w:val="Textprost"/>
        <w:rPr/>
      </w:pPr>
      <w:r>
        <w:rPr/>
        <w:t>Zásadní hospodářský význam má rovněž správa rádiového spektra, včetně stanovení podmínek jeho využívání a rozhodování o přídělech a dalších individuálních oprávněních. Tato agenda přímo ovlivňuje strukturu trhu, investiční strategie soutěžitelů i možnosti rozvoje konkurence, neboť způsob rozdělování spektra, nastavení aukčních podmínek i povinnosti spojené s příděly mohou mít značný dopad na podobu soutěžního prostředí. ČTÚ je proto v tomto směru nejen technickým správcem omezených zdrojů, ale i orgánem s bezprostředním vlivem na soutěžní podmínky v odvětví. Specifickou roli plní též v infrastrukturní oblasti, neboť podle zvláštní právní úpravy působí jako jednotné informační místo pro zavádění vysokorychlostních, resp. gigabitových sítí elektronických komunikací.</w:t>
      </w:r>
    </w:p>
    <w:p>
      <w:pPr>
        <w:pStyle w:val="Textprost"/>
        <w:rPr/>
      </w:pPr>
      <w:r>
        <w:rPr/>
        <w:t>V kontextu současného vývoje je vhodné zdůraznit, že právní úprava v posledních letech postavení ČTÚ dále posílila. Novela provedená zákonem č. 23/2025 Sb., účinná od 1. 7. 2025, rozšířila jeho kompetence mimo jiné v oblasti rozhodování některých účastnických sporů. Význam ČTÚ tak roste nejen jako správce spektra a tržního analytika, ale i jako orgánu, který bezprostředně ovlivňuje spotřebitelské a smluvní vztahy v sektoru elektronických komunikací.</w:t>
      </w:r>
    </w:p>
    <w:p>
      <w:pPr>
        <w:pStyle w:val="Textprost"/>
        <w:rPr/>
      </w:pPr>
      <w:r>
        <w:rPr/>
        <w:t>Výkon pravomocí ČTÚ přitom neprobíhá izolovaně v čistě národním rámci, nýbrž je zasazen do evropského institucionálního systému a podléhá unijním konzultačním a koordinačním mechanismům. Ani národní sektorový regulátor proto nevykonává svou působnost ve zcela autonomním prostoru, ale jako součást širšího evropského regulatorního uspořádání.</w:t>
      </w:r>
    </w:p>
    <w:p>
      <w:pPr>
        <w:pStyle w:val="Heading3"/>
        <w:ind w:hanging="1134" w:left="142" w:right="284"/>
        <w:rPr/>
      </w:pPr>
      <w:bookmarkStart w:id="114" w:name="_Toc229057841"/>
      <w:commentRangeStart w:id="15"/>
      <w:r>
        <w:rPr/>
        <w:t>Úřad pro ochranu hospodářské soutěže</w:t>
      </w:r>
      <w:bookmarkEnd w:id="114"/>
      <w:commentRangeEnd w:id="15"/>
      <w:r>
        <w:commentReference w:id="15"/>
      </w:r>
      <w:r>
        <w:rPr/>
      </w:r>
    </w:p>
    <w:p>
      <w:pPr>
        <w:pStyle w:val="Textkol"/>
        <w:rPr/>
      </w:pPr>
      <w:r>
        <w:rPr/>
        <w:t xml:space="preserve">Tady by se hodilo shrnout všechno, co úřad za posledních pár let dělal; SŠ2017, podněty, fúze a zakončit nějakým shrnutím přístupu k mobilním službám (ev. telekomunikacím obecně); uvedl bych i ty připomínky, co jsme předkládali ČTÚ v dopisech předsedy (nespěchá to a když by byla volnější chvíle dali bychom to s Janou a Marťou nějak dohromady) netahal bych do toho zakázky. </w:t>
      </w:r>
      <w:r>
        <w:rPr>
          <w:highlight w:val="green"/>
        </w:rPr>
        <w:t>MARŤO, KDYŽTAK BYCH PAK POPROSILA JANU O PODKLADY A ZAPRACOVALA BYCH.</w:t>
      </w:r>
    </w:p>
    <w:p>
      <w:pPr>
        <w:pStyle w:val="Textprost"/>
        <w:rPr/>
      </w:pPr>
      <w:r>
        <w:rPr/>
        <w:t>Vedle ČTÚ působí v oblasti elektronických komunikací rovněž ÚOHS. Jeho role se od působnosti ČTÚ odlišuje jak právním základem, tak povahou zásahů. Zatímco ČTÚ vykonává vůči sektoru především zvláštní regulaci ex ante, ÚOHS uplatňuje obecné soutěžní právo, zejména při postihu zakázaných dohod, zneužití dominantního postavení a při kontrole spojování soutěžitelů. Oba režimy se tak v sektoru elektronických komunikací vzájemně doplňují. ČTÚ reguluje strukturu a fungování trhu tam, kde hospodářská soutěž nefunguje dostatečně efektivně, ÚOHS zasahuje proti konkrétním soutěžně škodlivým jednáním a posuzuje transakce, jež mohou strukturu trhu významně ovlivnit.</w:t>
      </w:r>
    </w:p>
    <w:p>
      <w:pPr>
        <w:pStyle w:val="Textprost"/>
        <w:rPr/>
      </w:pPr>
      <w:r>
        <w:rPr/>
        <w:t>Koordinační vazbu mezi oběma institucemi potvrzuje i memorandum o spolupráci při regulaci a dozoru, které ÚOHS a ČTÚ uzavřely dne 21. 10. 2025. Memorandum navázalo na dřívější rámec spolupráce a dále rozvinulo institucionální koordinaci mezi oběma orgány. Předpokládá zejména vzájemné konzultace, součinnost při řešení jednotlivých případů, sdílení relevantních podkladů a dat i užší spolupráci při využívání analytických nástrojů a metodických postupů. Tato skutečnost názorně ukazuje, že vztah sektorové regulace a soutěžního práva nelze chápat jako vztah dvou oddělených světů, ale spíše jako souběžné a vzájemně se doplňující mechanismy veřejnoprávní kontroly trhu.</w:t>
      </w:r>
    </w:p>
    <w:p>
      <w:pPr>
        <w:pStyle w:val="Textprost"/>
        <w:rPr/>
      </w:pPr>
      <w:r>
        <w:rPr/>
        <w:t>Role ÚOHS v oblasti elektronických komunikací přitom nespočívá pouze v abstraktní ochraně hospodářské soutěže, ale rovněž v průběžném dohledu nad strukturou trhu a podmínkami přístupu k infrastruktuře. Jeho činnost lze v této oblasti rozdělit zejména do tří linií, a to na provádění sektorových šetření, zásahy proti možnému narušení soutěže a posuzování významných spojení soutěžitelů.</w:t>
      </w:r>
    </w:p>
    <w:p>
      <w:pPr>
        <w:pStyle w:val="Textprost"/>
        <w:rPr/>
      </w:pPr>
      <w:r>
        <w:rPr/>
        <w:t>ÚOHS například v roce 2017 zahájil sektorové šetření zaměřené na fungování hospodářské soutěže v oblasti mobilních hlasových a datových služeb. V jeho rámci konstatoval oligopolní povahu trhu, současně však nezjistil indicie zakázané dohody ani zneužití dominantního postavení. Upozornil rovněž na omezený konkurenční tlak virtuálních operátorů, význam neveřejných nabídek a rozdílnou intenzitu soutěže v jednotlivých zákaznických segmentech. Ačkoliv šetření nevedlo k zahájení správního řízení, přispělo k hlubšímu institucionálnímu posouzení fungování mobilního trhu.</w:t>
      </w:r>
    </w:p>
    <w:p>
      <w:pPr>
        <w:pStyle w:val="Textprost"/>
        <w:rPr/>
      </w:pPr>
      <w:r>
        <w:rPr/>
        <w:t>V roce 2025 ÚOHS dále prověřoval podmínky, za nichž společnost CETIN vybírala partnery pro rozšiřování pevných sítí elektronických komunikací. ÚOHS identifikoval možné soutěžní riziko spojené s nastavením aukčních pravidel a podmínek spolupráce. Společnost CETIN následně svá pravidla upravila, a ÚOHS proto věc uzavřel bez zahájení správního řízení. Uvedený případ ukazuje, že ÚOHS se v odvětví elektronických komunikacích nezabývá pouze otázkou maloobchodních cen, ale věnuje pozornost i soutěžním podmínkám v navazujících infrastrukturních a velkoobchodních vztazích.</w:t>
      </w:r>
    </w:p>
    <w:p>
      <w:pPr>
        <w:pStyle w:val="Textprost"/>
        <w:rPr/>
      </w:pPr>
      <w:r>
        <w:rPr/>
        <w:t>ÚOHS rovněž posuzoval několik spojení soutěžitelů s významem pro strukturu trhu elektronických komunikací. V roce 2023 povolil spojení společností CETIN a Nej.cz, avšak za podmínky splnění závazků ve prospěch zachování účinné hospodářské soutěže. ÚOHS zde zkoumal dopady transakce zejména na trh maloobchodního přístupu k internetu v pevném místě a přijal závazky zahrnující zachování či vytvoření velkoobchodní nabídky, otevřený a nediskriminační přístup k této nabídce a investice do rozvoje pokročilejší technologie ve své sítě umožňující poskytování velkoobchodního a maloobchodního přístupu k síti internet v pevném místě. Na tuto rozhodovací linii navázal i v roce 2024, kdy podmínečně povolil spojení skupiny PPF a společnosti Nordic Telecom Regional, opět se závazky směřujícími k zachování nebo vytvoření velkoobchodní nabídky, k zajištění otevřeného a nediskriminačního velkoobchodního přístupu a k dalším investicím do infrastruktury. Do přehledu lze zařadit i méně konfliktní rozhodnutí, například spojení společností Nej.cz a SMART Comp z roku 2021, které ÚOHS povolil ve zjednodušeném řízení.</w:t>
      </w:r>
    </w:p>
    <w:p>
      <w:pPr>
        <w:pStyle w:val="Textprost"/>
        <w:rPr/>
      </w:pPr>
      <w:r>
        <w:rPr/>
        <w:t>Lze tedy uzavřít, že ÚOHS v sektoru elektronických komunikací nevykonává pouze dohled nad dodržováním soutěžních pravidel a postih konkrétních protisoutěžních jednání, ale významně ovlivňuje i strukturální podmínky fungování trhu, přístup k infrastruktuře a soutěžní rámec dalšího rozvoje odvětví.</w:t>
      </w:r>
    </w:p>
    <w:p>
      <w:pPr>
        <w:pStyle w:val="Heading3"/>
        <w:ind w:hanging="1134" w:left="142" w:right="284"/>
        <w:rPr/>
      </w:pPr>
      <w:bookmarkStart w:id="115" w:name="_Toc229057842"/>
      <w:r>
        <w:rPr/>
        <w:t>Národní úřad pro kybernetickou a informační bezpečnost</w:t>
      </w:r>
      <w:bookmarkEnd w:id="115"/>
    </w:p>
    <w:p>
      <w:pPr>
        <w:pStyle w:val="Textprost"/>
        <w:rPr/>
      </w:pPr>
      <w:r>
        <w:rPr/>
        <w:t>Institucionální rámec elektronických komunikací doplňuje také NÚKIB. NÚKIB sice nevykonává sektorovou regulaci trhu elektronických komunikací v ekonomickém smyslu, avšak jeho působnost se do tohoto odvětví významně promítá tam, kde se jedná o bezpečnost a odolnost sítí a související digitální infrastruktury.</w:t>
      </w:r>
    </w:p>
    <w:p>
      <w:pPr>
        <w:pStyle w:val="Textprost"/>
        <w:rPr/>
      </w:pPr>
      <w:r>
        <w:rPr/>
        <w:t>Podle zákona č. 264/2025 Sb., o kybernetické bezpečnosti, účinného od 1. 11. 2025, upravuje česká právní úprava práva a povinnosti osob a orgánů veřejné moci v oblasti zajišťování kybernetické bezpečnosti a stanoví působnost a pravomoci NÚKIB. Z hlediska územní působnosti dopadá tato úprava také na osoby, které na území ČR zajišťují sítě nebo poskytují služby elektronických komunikací podle zákona o elektronických komunikacích, bez ohledu na místo jejich usazení. V režimu zákona pak NÚKIB vykonává řadu pravomocí, zejména registruje regulované služby, stanovuje bezpečnostní opatření, vyhlašuje a řídí stav kybernetického nebezpečí, ukládá opatření k odvrácení kybernetických incidentů, kontroluje plnění zákonných povinností a ukládá správní tresty. Součástí jeho působnosti je rovněž příprava národní strategie kybernetické bezpečnosti a mezinárodní spolupráce v této oblasti.</w:t>
      </w:r>
    </w:p>
    <w:p>
      <w:pPr>
        <w:pStyle w:val="Textprost"/>
        <w:rPr/>
      </w:pPr>
      <w:r>
        <w:rPr/>
        <w:t>Ve vztahu k elektronickým komunikacím je významné, že bezpečnost sítí a služeb představuje sdílenou regulatorní oblast. Běžná bezpečnost a integrita sítí spadá primárně do rámce zákona o elektronických komunikacích a dozorové působnosti ČTÚ, zatímco u subjektů podléhajících režimu zákona o kybernetické bezpečnosti se uplatní speciální pravidla a pravomoci NÚKIB. V tomto směru NÚKIB doplňuje ekonomickou a tržní regulaci o bezpečnostní dimenzi, zejména ve vztahu k odolnosti sítí, plnění bezpečnostních povinností a řízení kybernetických rizik.</w:t>
      </w:r>
    </w:p>
    <w:p>
      <w:pPr>
        <w:pStyle w:val="Heading3"/>
        <w:ind w:hanging="1134" w:left="142" w:right="284"/>
        <w:rPr/>
      </w:pPr>
      <w:bookmarkStart w:id="116" w:name="_Toc229057843"/>
      <w:r>
        <w:rPr/>
        <w:t>Úřad pro ochranu osobních údajů</w:t>
      </w:r>
      <w:bookmarkEnd w:id="116"/>
    </w:p>
    <w:p>
      <w:pPr>
        <w:pStyle w:val="Textprost"/>
        <w:rPr/>
      </w:pPr>
      <w:r>
        <w:rPr/>
        <w:t>Svůj význam z hlediska ochrany soukromí a osobních údajů má v oblasti elektronických komunikací také ÚOOÚ. Jeho působnost se v tomto sektoru projevuje zejména tam, kde se elektronické komunikace prolínají se zpracováním osobních údajů, například při používání cookies a obdobných technologií nebo při přímém elektronickém marketingu a marketingových hovorech.</w:t>
      </w:r>
    </w:p>
    <w:p>
      <w:pPr>
        <w:pStyle w:val="Textprost"/>
        <w:rPr/>
      </w:pPr>
      <w:r>
        <w:rPr/>
        <w:t>ÚOOÚ výslovně uvádí, že používání cookies zpravidla představuje zpracování osobních údajů, a současně odkazuje na pravidla vyplývající ze zákona o elektronických komunikacích, zejména pokud se jedná o ukládání údajů do koncového zařízení a přístup k nim. Stejně tak se podílel spolu s ČTÚ a MPO na výkladu nových pravidel pro marketingová volání. ÚOOÚ proto v institucionálním rámci elektronických komunikací představuje orgán dohlížející na dimenzi ochrany osobních údajů a soukromí při poskytování a užívání komunikačních služeb.</w:t>
      </w:r>
    </w:p>
    <w:p>
      <w:pPr>
        <w:pStyle w:val="Heading2"/>
        <w:ind w:hanging="1135" w:left="142" w:right="284"/>
        <w:rPr/>
      </w:pPr>
      <w:bookmarkStart w:id="117" w:name="_Toc229057844"/>
      <w:r>
        <w:rPr/>
        <w:t>Identifikace veřejného zájmu</w:t>
      </w:r>
      <w:bookmarkEnd w:id="117"/>
    </w:p>
    <w:p>
      <w:pPr>
        <w:pStyle w:val="Textprost"/>
        <w:rPr/>
      </w:pPr>
      <w:r>
        <w:rPr/>
        <w:t>Regulace elektronických komunikací vychází z povahy tohoto odvětví, v němž se podnikatelská soutěž propojuje s vysokými investicemi do infrastruktury, s využíváním omezených veřejných zdrojů a se silným veřejným zájmem na dostupnosti, spolehlivosti, bezpečnosti a odolnosti služeb. Zákon o elektronických komunikacích výslovně vychází z toto, že zajišťování veřejné komunikační sítě, poskytování veřejně dostupné služby elektronických komunikací, zavádění vysokorychlostních sítí a zajišťování sítí elektronických komunikací pro účely bezpečnosti státu představují činnosti vykonávané ve veřejném zájmu.</w:t>
      </w:r>
    </w:p>
    <w:p>
      <w:pPr>
        <w:pStyle w:val="Textprost"/>
        <w:rPr/>
      </w:pPr>
      <w:r>
        <w:rPr/>
        <w:t>Současně tento zákon upravuje podmínky podnikání, výkon komunikační činnosti i výkon státní správy včetně regulace trhu a zároveň ponechává nedotčenou působnost předpisů na ochranu hospodářské soutěže. Již na úrovni samotného zákonného vymezení je tedy patrné, že elektronické komunikace tvoří odvětví, v němž se veřejnoprávní regulace a soutěžní právo uplatňují souběžně, přičemž veřejný zájem představuje jeden ze základních principů regulatorního uspořádání. Tento veřejný zájem se přitom neprojevuje pouze v ochraně spotřebitele, ale také ve správě vzácných zdrojů, podpoře konektivity, rozvoji infrastruktury a zajištění bezpečnosti a odolnosti sítí.</w:t>
      </w:r>
    </w:p>
    <w:p>
      <w:pPr>
        <w:pStyle w:val="Textprost"/>
        <w:rPr/>
      </w:pPr>
      <w:r>
        <w:rPr/>
      </w:r>
      <w:r>
        <w:br w:type="page"/>
      </w:r>
    </w:p>
    <w:p>
      <w:pPr>
        <w:pStyle w:val="Textprost"/>
        <w:spacing w:before="0" w:after="160"/>
        <w:rPr/>
      </w:pPr>
      <w:r>
        <w:rPr/>
      </w:r>
    </w:p>
    <w:p>
      <w:pPr>
        <w:pStyle w:val="Heading1"/>
        <w:ind w:hanging="1135" w:left="142" w:right="284"/>
        <w:rPr/>
      </w:pPr>
      <w:bookmarkStart w:id="118" w:name="_Toc229057845"/>
      <w:r>
        <w:rPr/>
        <w:t>Mobilní služby v evropském kontextu /</w:t>
        <w:br/>
      </w:r>
      <w:r>
        <w:rPr>
          <w:i/>
          <w:sz w:val="36"/>
          <w:szCs w:val="36"/>
          <w:lang w:val="en-GB"/>
        </w:rPr>
        <w:t>Mobile Services in the European Context</w:t>
      </w:r>
      <w:bookmarkEnd w:id="118"/>
    </w:p>
    <w:p>
      <w:pPr>
        <w:pStyle w:val="Textprost"/>
        <w:rPr/>
      </w:pPr>
      <w:commentRangeStart w:id="16"/>
      <w:r>
        <w:rPr/>
        <w:t xml:space="preserve">Má-li Úřad </w:t>
      </w:r>
      <w:r>
        <w:rPr/>
      </w:r>
      <w:commentRangeEnd w:id="16"/>
      <w:r>
        <w:commentReference w:id="16"/>
      </w:r>
      <w:r>
        <w:rPr/>
        <w:t>posuzovat domnělou excesivnost cen, je nezbytné v prvním kroku posoudit a vyhodnotit relativní postavení hospodářské činnosti v této oblasti v širším evropském kontextu. V prvním kroku Úřad detailněji vyhodnotil cenový vývoj dotčených služeb na základě disponibilních dat Eurostatu. Úřad však nemohl posoudit relativní cenový vývoj v kategorii balíčkovaných telekomunikačních služeb</w:t>
      </w:r>
      <w:r>
        <w:rPr>
          <w:rStyle w:val="FootnoteReference"/>
        </w:rPr>
        <w:footnoteReference w:id="110"/>
      </w:r>
      <w:r>
        <w:rPr/>
        <w:t>, neboť údaje pro ČR nejsou dostupné. Úřad též provedl kvantitativní a kvalitativní srovnání nabízených služeb v jednotlivých státech. S ohledem na regulaci mezinárodního roamingu v EU se jako nejvhodnější pro srovnání ceníkových cen nabízí zkoumat jej na všech státech v rámci EU, které podléhají téže cenové regulaci. V neposlední řadě Úřad zajímaly i výsledky hospodářské aktivity, které s ohledem na procesní úspornost srovnal jen s nejrelevantnějšími státy, a to konkrétně XXX.</w:t>
      </w:r>
    </w:p>
    <w:p>
      <w:pPr>
        <w:pStyle w:val="Textprost"/>
        <w:rPr/>
      </w:pPr>
      <w:r>
        <w:rPr/>
        <w:t>Tato kapitola představuje výsledky relativního srovnání mobilních služeb poskytovaných v ČR v evropském kontextu a zjištění, ke kterým Úřad dospěl.</w:t>
      </w:r>
    </w:p>
    <w:p>
      <w:pPr>
        <w:pStyle w:val="Textprost"/>
        <w:rPr/>
      </w:pPr>
      <w:r>
        <w:rPr/>
      </w:r>
    </w:p>
    <w:p>
      <w:pPr>
        <w:pStyle w:val="Heading2"/>
        <w:ind w:hanging="1135" w:left="142" w:right="284"/>
        <w:rPr/>
      </w:pPr>
      <w:bookmarkStart w:id="119" w:name="_Toc229057846"/>
      <w:r>
        <w:rPr/>
        <w:t>Relativní cenová úroveň</w:t>
      </w:r>
      <w:bookmarkEnd w:id="119"/>
    </w:p>
    <w:p>
      <w:pPr>
        <w:pStyle w:val="Textprost"/>
        <w:rPr/>
      </w:pPr>
      <w:r>
        <w:rPr/>
        <w:t>Pro vyhodnocení relativní cenové úrovně mobilních služeb poskytovaných v ČR využil Úřad údaje Eurostatu, a to konkrétně:</w:t>
      </w:r>
    </w:p>
    <w:p>
      <w:pPr>
        <w:pStyle w:val="Textslovan"/>
        <w:numPr>
          <w:ilvl w:val="0"/>
          <w:numId w:val="49"/>
        </w:numPr>
        <w:ind w:hanging="357" w:left="453" w:right="0"/>
        <w:rPr/>
      </w:pPr>
      <w:r>
        <w:rPr/>
        <w:t>roční reálné výdaje per capita v paritě kupní síly přepočtené na měsíc</w:t>
      </w:r>
      <w:r>
        <w:rPr>
          <w:rStyle w:val="FootnoteReference"/>
        </w:rPr>
        <w:footnoteReference w:id="111"/>
      </w:r>
      <w:r>
        <w:rPr/>
        <w:t xml:space="preserve"> a</w:t>
      </w:r>
    </w:p>
    <w:p>
      <w:pPr>
        <w:pStyle w:val="Textprost"/>
        <w:rPr/>
      </w:pPr>
      <w:r>
        <w:rPr/>
        <w:t>údaje organizace BEREC zachycující:</w:t>
      </w:r>
    </w:p>
    <w:p>
      <w:pPr>
        <w:pStyle w:val="Textslovan"/>
        <w:numPr>
          <w:ilvl w:val="0"/>
          <w:numId w:val="8"/>
        </w:numPr>
        <w:ind w:hanging="357" w:left="456" w:right="0"/>
        <w:rPr/>
      </w:pPr>
      <w:r>
        <w:rPr/>
        <w:t>průměrný měsíční maloobchodní příjem operátorů v daném státě EU z mobilních telekomunikačních služeb.</w:t>
      </w:r>
      <w:r>
        <w:rPr>
          <w:rStyle w:val="FootnoteReference"/>
        </w:rPr>
        <w:footnoteReference w:id="112"/>
      </w:r>
    </w:p>
    <w:p>
      <w:pPr>
        <w:pStyle w:val="Textprost"/>
        <w:rPr/>
      </w:pPr>
      <w:r>
        <w:rPr/>
        <w:t>Úřad tedy prvně posuzoval průměrnou agregovanou cenovou úroveň. S ohledem na to, že údaj pro ARPU zjištěný BERECem na Kypru dosahoval ve 3. kvartálu roku 2025</w:t>
      </w:r>
      <w:r>
        <w:rPr>
          <w:rStyle w:val="FootnoteReference"/>
        </w:rPr>
        <w:footnoteReference w:id="113"/>
      </w:r>
      <w:r>
        <w:rPr/>
        <w:t xml:space="preserve"> pouze 1,06 EUR, Úřad toto pozorování z následujících analýz vyloučil. Podíl takto zprůměrovaných příjmů operátorů na reálných výdajích přepočtených na paritu kupní síly zachycuje Graf č. XXX.</w:t>
      </w:r>
    </w:p>
    <w:p>
      <w:pPr>
        <w:pStyle w:val="Graf"/>
        <w:numPr>
          <w:ilvl w:val="0"/>
          <w:numId w:val="2"/>
        </w:numPr>
        <w:ind w:hanging="1418" w:left="1418" w:right="0"/>
        <w:rPr/>
      </w:pPr>
      <w:bookmarkStart w:id="120" w:name="_Toc229058020"/>
      <w:r>
        <w:rPr/>
        <w:t>Podíl ARPU na reálných výdajích per capita v PPP v EU</w:t>
      </w:r>
      <w:bookmarkEnd w:id="120"/>
    </w:p>
    <w:p>
      <w:pPr>
        <w:pStyle w:val="Graftabulka"/>
        <w:rPr/>
      </w:pPr>
      <w:r>
        <w:rPr/>
        <w:t>[[%img{“filename“:“img/European_comparison/ARPU_price_gap/bar_ARPU_share.png“}]]</w:t>
      </w:r>
    </w:p>
    <w:p>
      <w:pPr>
        <w:pStyle w:val="Textprost"/>
        <w:rPr/>
      </w:pPr>
      <w:r>
        <w:rPr/>
        <w:t>Z grafu vyplývá, že cenová úroveň zkoumaných služeb odčerpává mírně zvýšenou část reálných výdajů domácností v České republice srovnáme-li situaci napříč EU. K tomu však Úřad dodává, že předmětem zkoumání není agregovaný průměr tržních směnných poměrů zahrnujících i před trhem skryté směny, nýbrž, a to přednostně, vztah mezi tržní cenou a těmito skrytými individualizovanými směnnými poměry. Situace uvedená v grafu tak spadá do kompetence ČTÚ, a nikoliv do tohoto sektorového šetření. Pro přehlednější zhodnocení provedl Úřad i elementární ekonometrický odhad vztahu mezi logaritmy daných veličin pozorovaných v EU. Výsledky zachycuje Graf č. XXX.</w:t>
      </w:r>
    </w:p>
    <w:p>
      <w:pPr>
        <w:pStyle w:val="Graf"/>
        <w:numPr>
          <w:ilvl w:val="0"/>
          <w:numId w:val="2"/>
        </w:numPr>
        <w:ind w:hanging="1418" w:left="1418" w:right="0"/>
        <w:rPr/>
      </w:pPr>
      <w:bookmarkStart w:id="121" w:name="_Toc229058021"/>
      <w:r>
        <w:rPr/>
        <w:t>Souvislost mezi ARPU a reálnými výdaji per capita v PPP v EU</w:t>
      </w:r>
      <w:bookmarkEnd w:id="121"/>
    </w:p>
    <w:p>
      <w:pPr>
        <w:pStyle w:val="Graftabulka"/>
        <w:rPr/>
      </w:pPr>
      <w:r>
        <w:rPr/>
        <w:t>[[%img{“filename“:“img/European_comparison/ARPU_price_gap/scatter_ARPU_expenditures.png“}]]</w:t>
      </w:r>
    </w:p>
    <w:p>
      <w:pPr>
        <w:pStyle w:val="Textprost"/>
        <w:rPr/>
      </w:pPr>
      <w:r>
        <w:rPr/>
        <w:t>I z této analýzy vyplývá, že při relativním srovnání situace v rámci EU odčerpávají celkově platby za mobilní telekomunikační služby v ČR mírně více z výdajů per capita.</w:t>
      </w:r>
    </w:p>
    <w:p>
      <w:pPr>
        <w:pStyle w:val="Textprost"/>
        <w:rPr/>
      </w:pPr>
      <w:r>
        <w:rPr/>
      </w:r>
    </w:p>
    <w:p>
      <w:pPr>
        <w:pStyle w:val="Textkol"/>
        <w:rPr/>
      </w:pPr>
      <w:r>
        <w:rPr/>
        <w:t>Dáme i vývoj?</w:t>
      </w:r>
    </w:p>
    <w:p>
      <w:pPr>
        <w:pStyle w:val="Textprost"/>
        <w:rPr/>
      </w:pPr>
      <w:r>
        <w:rPr/>
      </w:r>
    </w:p>
    <w:p>
      <w:pPr>
        <w:pStyle w:val="Zjitnadu"/>
        <w:numPr>
          <w:ilvl w:val="1"/>
          <w:numId w:val="4"/>
        </w:numPr>
        <w:ind w:hanging="1276" w:left="284" w:right="142"/>
        <w:rPr/>
      </w:pPr>
      <w:r>
        <w:rPr/>
        <w:t>Úřad zjistil, že mobilní telekomunikační služby v České republice tvoří mírně zvýšený podíl na reálných výdajích per capita vyjádřených v paritě kupní síly, přičemž tento podíl XY.</w:t>
      </w:r>
    </w:p>
    <w:p>
      <w:pPr>
        <w:pStyle w:val="Textprost"/>
        <w:rPr/>
      </w:pPr>
      <w:r>
        <w:rPr/>
      </w:r>
    </w:p>
    <w:p>
      <w:pPr>
        <w:pStyle w:val="Textprost"/>
        <w:rPr/>
      </w:pPr>
      <w:r>
        <w:rPr/>
      </w:r>
    </w:p>
    <w:p>
      <w:pPr>
        <w:pStyle w:val="Textprost"/>
        <w:rPr/>
      </w:pPr>
      <w:r>
        <w:rPr/>
      </w:r>
    </w:p>
    <w:p>
      <w:pPr>
        <w:pStyle w:val="Heading2"/>
        <w:ind w:hanging="1135" w:left="142" w:right="284"/>
        <w:rPr/>
      </w:pPr>
      <w:bookmarkStart w:id="122" w:name="_Toc229057847"/>
      <w:r>
        <w:rPr/>
        <w:t>Relativní cenový vývoj</w:t>
      </w:r>
      <w:bookmarkEnd w:id="122"/>
    </w:p>
    <w:p>
      <w:pPr>
        <w:pStyle w:val="Textprost"/>
        <w:rPr/>
      </w:pPr>
      <w:r>
        <w:rPr/>
        <w:t>Pro vyhodnocení relativního cenového vývoje mobilních služeb poskytovaných v ČR využil Úřad údaje Eurostatu, a to konkrétně kategorie:</w:t>
      </w:r>
    </w:p>
    <w:p>
      <w:pPr>
        <w:pStyle w:val="Textslovan"/>
        <w:numPr>
          <w:ilvl w:val="0"/>
          <w:numId w:val="50"/>
        </w:numPr>
        <w:ind w:hanging="357" w:left="453" w:right="0"/>
        <w:rPr/>
      </w:pPr>
      <w:r>
        <w:rPr/>
        <w:t>CP08 Komunikace,</w:t>
      </w:r>
    </w:p>
    <w:p>
      <w:pPr>
        <w:pStyle w:val="Textslovan"/>
        <w:numPr>
          <w:ilvl w:val="0"/>
          <w:numId w:val="8"/>
        </w:numPr>
        <w:ind w:hanging="357" w:left="456" w:right="0"/>
        <w:rPr/>
      </w:pPr>
      <w:r>
        <w:rPr/>
        <w:t>CP08302 Mobilní telefonní služby,</w:t>
      </w:r>
    </w:p>
    <w:p>
      <w:pPr>
        <w:pStyle w:val="Textslovan"/>
        <w:numPr>
          <w:ilvl w:val="0"/>
          <w:numId w:val="8"/>
        </w:numPr>
        <w:ind w:hanging="357" w:left="456" w:right="0"/>
        <w:rPr/>
      </w:pPr>
      <w:r>
        <w:rPr/>
        <w:t>CP08303 Služby umožňující přístup k internetu a</w:t>
      </w:r>
    </w:p>
    <w:p>
      <w:pPr>
        <w:pStyle w:val="Textslovan"/>
        <w:numPr>
          <w:ilvl w:val="0"/>
          <w:numId w:val="8"/>
        </w:numPr>
        <w:ind w:hanging="357" w:left="456" w:right="0"/>
        <w:rPr/>
      </w:pPr>
      <w:r>
        <w:rPr/>
        <w:t>CP08304 Balíčkované telekomunikační služby</w:t>
      </w:r>
    </w:p>
    <w:p>
      <w:pPr>
        <w:pStyle w:val="Textprost"/>
        <w:rPr/>
      </w:pPr>
      <w:r>
        <w:rPr/>
        <w:t>harmonizovaného indexu spotřebitelských cen.</w:t>
      </w:r>
      <w:r>
        <w:rPr>
          <w:rStyle w:val="FootnoteReference"/>
        </w:rPr>
        <w:footnoteReference w:id="114"/>
      </w:r>
      <w:r>
        <w:rPr/>
        <w:t xml:space="preserve"> Údaje kategorie CP08 posloužily v rámci ověřování náznaků a výsledky jsou představeny v části </w:t>
      </w:r>
      <w:commentRangeStart w:id="17"/>
      <w:r>
        <w:rPr/>
        <w:t>XXX</w:t>
      </w:r>
      <w:r>
        <w:rPr/>
      </w:r>
      <w:commentRangeEnd w:id="17"/>
      <w:r>
        <w:commentReference w:id="17"/>
      </w:r>
      <w:r>
        <w:rPr/>
        <w:t xml:space="preserve"> závěrečné zprávy.</w:t>
      </w:r>
    </w:p>
    <w:p>
      <w:pPr>
        <w:pStyle w:val="Heading3"/>
        <w:ind w:hanging="1134" w:left="142" w:right="284"/>
        <w:rPr/>
      </w:pPr>
      <w:bookmarkStart w:id="123" w:name="_Toc229057848"/>
      <w:r>
        <w:rPr/>
        <w:t>Mobilní telefonní služby /</w:t>
        <w:br/>
      </w:r>
      <w:r>
        <w:rPr>
          <w:i/>
          <w:iCs/>
          <w:sz w:val="20"/>
          <w:lang w:val="en-GB"/>
        </w:rPr>
        <w:t>Wireless telephone services</w:t>
      </w:r>
      <w:bookmarkEnd w:id="123"/>
    </w:p>
    <w:p>
      <w:pPr>
        <w:pStyle w:val="Textprost"/>
        <w:rPr/>
      </w:pPr>
      <w:r>
        <w:rPr/>
        <w:t>Úřad předně zkoumal relativní cenový vývoj v kategorii mobilních telefonních služeb</w:t>
      </w:r>
      <w:r>
        <w:rPr>
          <w:rStyle w:val="FootnoteReference"/>
        </w:rPr>
        <w:footnoteReference w:id="115"/>
      </w:r>
      <w:r>
        <w:rPr/>
        <w:t>. Vývoj harmonizovaného indexu spotřebitelských cen v kategorii CP08301 zachycuje graf č. XXX.</w:t>
      </w:r>
    </w:p>
    <w:p>
      <w:pPr>
        <w:pStyle w:val="Graf"/>
        <w:numPr>
          <w:ilvl w:val="0"/>
          <w:numId w:val="2"/>
        </w:numPr>
        <w:ind w:hanging="1418" w:left="1418" w:right="0"/>
        <w:rPr/>
      </w:pPr>
      <w:bookmarkStart w:id="124" w:name="_Toc229058022"/>
      <w:r>
        <w:rPr/>
        <w:t>Vývoj HICP cenového indexu komponenty „mobilní telefonní služby“</w:t>
      </w:r>
      <w:bookmarkEnd w:id="124"/>
    </w:p>
    <w:p>
      <w:pPr>
        <w:pStyle w:val="Graftabulka"/>
        <w:rPr/>
      </w:pPr>
      <w:r>
        <w:rPr/>
        <w:t>[[%img{“filename“:“img/HICP/WTS/vyvoj_CZ.png“}]]</w:t>
      </w:r>
    </w:p>
    <w:p>
      <w:pPr>
        <w:pStyle w:val="Graftabulka"/>
        <w:rPr/>
      </w:pPr>
      <w:r>
        <w:rPr/>
      </w:r>
    </w:p>
    <w:p>
      <w:pPr>
        <w:pStyle w:val="Zdroj"/>
        <w:rPr/>
      </w:pPr>
      <w:r>
        <w:rPr/>
        <w:t>Zdroj/Source: údaje EUROSTATu (HICP CP08, prc_hicp_midx) / EUROSTAT data (HICP CP08, prc_hicp_midx).</w:t>
      </w:r>
    </w:p>
    <w:p>
      <w:pPr>
        <w:pStyle w:val="Textprost"/>
        <w:rPr/>
      </w:pPr>
      <w:r>
        <w:rPr/>
        <w:t>Cenový vývoj před pandemií Covidu-19 zaostával za všeobecným vývojem v rámci EU jako celku, přičemž je patrné značné odchýlení se od vývoje v EU po jejím konci, kdy ceny v ČR za mobilní telefonní služby značně akcelerovaly. Cenový pokles zjištěný v EU se v ČR od začátku roku 2024nijak výrazně neprojevil. Jelikož EU sestává ze značně heterogenní skupiny států, zjišťoval Úřad relativní cenový vývoj v detailnějším členění. Úřad pro každý stát EU vypočítal procentní změnu tohoto indexu mezi jednotlivými měsíci a za jedno- a dvouleté období. Výsledky zobrazují Grafy č. XXX až XXX.</w:t>
      </w:r>
    </w:p>
    <w:p>
      <w:pPr>
        <w:pStyle w:val="Graf"/>
        <w:numPr>
          <w:ilvl w:val="0"/>
          <w:numId w:val="2"/>
        </w:numPr>
        <w:ind w:hanging="1418" w:left="1418" w:right="0"/>
        <w:rPr/>
      </w:pPr>
      <w:bookmarkStart w:id="125" w:name="_Toc229058023"/>
      <w:r>
        <w:rPr/>
        <w:t>Vývoj relativní meziměsíční změny cenové úrovně komponenty „mobilní telefonní služby“ v ČR</w:t>
      </w:r>
      <w:bookmarkEnd w:id="125"/>
    </w:p>
    <w:p>
      <w:pPr>
        <w:pStyle w:val="Graftabulka"/>
        <w:rPr/>
      </w:pPr>
      <w:r>
        <w:rPr/>
        <w:t>[[%img{“filename“:“img/HICP/WTS/mezimesicni_zmena_HICP_WTS.png“}]]</w:t>
      </w:r>
    </w:p>
    <w:p>
      <w:pPr>
        <w:pStyle w:val="Graftabulka"/>
        <w:rPr/>
      </w:pPr>
      <w:r>
        <w:rPr/>
      </w:r>
    </w:p>
    <w:p>
      <w:pPr>
        <w:pStyle w:val="Zdroj"/>
        <w:rPr/>
      </w:pPr>
      <w:r>
        <w:rPr/>
        <w:t>Zdroj/Source: údaje EUROSTATu (HICP CP08, prc_hicp_midx) / EUROSTAT data (HICP CP08, prc_hicp_midx).</w:t>
      </w:r>
    </w:p>
    <w:p>
      <w:pPr>
        <w:pStyle w:val="Textprost"/>
        <w:rPr/>
      </w:pPr>
      <w:r>
        <w:rPr/>
        <w:t>Meziměsíční změny cenového indexu jsou výsledkem krátkodobých šoků typických pro konkrétní stát EU,</w:t>
      </w:r>
      <w:r>
        <w:rPr>
          <w:rStyle w:val="FootnoteReference"/>
        </w:rPr>
        <w:footnoteReference w:id="116"/>
      </w:r>
      <w:r>
        <w:rPr/>
        <w:t xml:space="preserve"> přičemž snad kromě období mezi lety 2022 a 2024 se vývoj v ČR extrémně neodchyluje od situace v EU. Lze tedy dovodit, že v ČR nenastaly žádné krátkodobé a intenzivní šoky ve zkoumané oblasti na rozdíl od jiných členských států EU.</w:t>
      </w:r>
    </w:p>
    <w:p>
      <w:pPr>
        <w:pStyle w:val="Graf"/>
        <w:numPr>
          <w:ilvl w:val="0"/>
          <w:numId w:val="2"/>
        </w:numPr>
        <w:ind w:hanging="1418" w:left="1418" w:right="0"/>
        <w:rPr/>
      </w:pPr>
      <w:bookmarkStart w:id="126" w:name="_Toc229058024"/>
      <w:r>
        <w:rPr/>
        <w:t>Vývoj relativní meziroční změny cenové úrovně komponenty „mobilní telefonní služby“ v ČR</w:t>
      </w:r>
      <w:bookmarkEnd w:id="126"/>
    </w:p>
    <w:p>
      <w:pPr>
        <w:pStyle w:val="Graftabulka"/>
        <w:rPr/>
      </w:pPr>
      <w:r>
        <w:rPr/>
        <w:t>[[%img{“filename“:“img/HICP/WTS/mezirocni_zmena_HICP_WTS.png“}]]</w:t>
      </w:r>
    </w:p>
    <w:p>
      <w:pPr>
        <w:pStyle w:val="Graftabulka"/>
        <w:rPr/>
      </w:pPr>
      <w:r>
        <w:rPr/>
      </w:r>
    </w:p>
    <w:p>
      <w:pPr>
        <w:pStyle w:val="Zdroj"/>
        <w:rPr/>
      </w:pPr>
      <w:r>
        <w:rPr/>
        <w:t>Zdroj/Source: údaje EUROSTATu (HICP CP08, prc_hicp_midx) / EUROSTAT data (HICP CP08, prc_hicp_midx).</w:t>
      </w:r>
    </w:p>
    <w:p>
      <w:pPr>
        <w:pStyle w:val="Textprost"/>
        <w:rPr/>
      </w:pPr>
      <w:r>
        <w:rPr/>
        <w:t>Procentní změna za uplynulý rok krátkodobé intenzivní šoky vyhlazuje a zachycuje vývoj, který by se dal charakterizovat jako střednědobý. Na základě údajů zachycených v Grafu č. XXX lze konstatovat, že vývoj cenové hladiny zkoumaných služeb v ČR má tendenci patřit do skupiny poloviny států, jejichž cenová hladina akceleruje spíše rychleji, přičemž v roce 2023 patřila ČR do skupiny 25 % států s nejrychlejším tempem růstu cenové hladiny.</w:t>
      </w:r>
    </w:p>
    <w:p>
      <w:pPr>
        <w:pStyle w:val="Graf"/>
        <w:numPr>
          <w:ilvl w:val="0"/>
          <w:numId w:val="2"/>
        </w:numPr>
        <w:ind w:hanging="1418" w:left="1418" w:right="0"/>
        <w:rPr/>
      </w:pPr>
      <w:bookmarkStart w:id="127" w:name="_Toc229058025"/>
      <w:r>
        <w:rPr/>
        <w:t>Vývoj relativní změny cenové úrovně komponenty „mobilní telefonní služby“ v ČR za dvouleté období</w:t>
      </w:r>
      <w:bookmarkEnd w:id="127"/>
    </w:p>
    <w:p>
      <w:pPr>
        <w:pStyle w:val="Graftabulka"/>
        <w:rPr/>
      </w:pPr>
      <w:r>
        <w:rPr/>
        <w:t>[[%img{“filename“:“img/HICP/WTS/dvouleta_zmena_HICP_WTS.png“}]]</w:t>
      </w:r>
    </w:p>
    <w:p>
      <w:pPr>
        <w:pStyle w:val="Graftabulka"/>
        <w:rPr/>
      </w:pPr>
      <w:r>
        <w:rPr/>
      </w:r>
    </w:p>
    <w:p>
      <w:pPr>
        <w:pStyle w:val="Zdroj"/>
        <w:rPr/>
      </w:pPr>
      <w:r>
        <w:rPr/>
        <w:t>Zdroj/Source: údaje EUROSTATu (HICP CP08, prc_hicp_midx) / EUROSTAT data (HICP CP08, prc_hicp_midx).</w:t>
      </w:r>
    </w:p>
    <w:p>
      <w:pPr>
        <w:pStyle w:val="Textprost"/>
        <w:rPr/>
      </w:pPr>
      <w:r>
        <w:rPr/>
        <w:t>Ke stejným závěrům lze dospět i na základě procentní změny spočtené pro dvouleté období. Ve většině zkoumaného období tak patřila ČR k polovině států, ve kterých rostla cenová hladina zkoumaných služeb rychleji nebo naopak klesala pomaleji. K tomu Úřad podotýká, že ČR nebyla ve skupině států, ve kterých významně klesala cenová hladina v období let 2017 až 2019 a 2023 až 2025.</w:t>
      </w:r>
    </w:p>
    <w:p>
      <w:pPr>
        <w:pStyle w:val="Zjitnadu"/>
        <w:numPr>
          <w:ilvl w:val="1"/>
          <w:numId w:val="4"/>
        </w:numPr>
        <w:ind w:hanging="1276" w:left="284" w:right="142"/>
        <w:rPr/>
      </w:pPr>
      <w:bookmarkStart w:id="128" w:name="_Toc226560430"/>
      <w:r>
        <w:rPr/>
        <w:t>Na základě údajů Eurostatu Úřad zjistil, že cenová hladina mobilních telefonních služeb v ČR má tendenci akcelerovat rychleji než v polovině členských států EU, ve kterých její změna dosahuje nejnižších hodnot.</w:t>
      </w:r>
      <w:bookmarkEnd w:id="128"/>
    </w:p>
    <w:p>
      <w:pPr>
        <w:pStyle w:val="Textprost"/>
        <w:rPr/>
      </w:pPr>
      <w:r>
        <w:rPr/>
      </w:r>
    </w:p>
    <w:p>
      <w:pPr>
        <w:pStyle w:val="Heading3"/>
        <w:ind w:hanging="1134" w:left="142" w:right="284"/>
        <w:rPr/>
      </w:pPr>
      <w:bookmarkStart w:id="129" w:name="_Toc229057849"/>
      <w:r>
        <w:rPr/>
        <w:t>Balíčkované telekomunikační služby</w:t>
      </w:r>
      <w:bookmarkEnd w:id="129"/>
    </w:p>
    <w:p>
      <w:pPr>
        <w:pStyle w:val="Textprost"/>
        <w:rPr/>
      </w:pPr>
      <w:commentRangeStart w:id="18"/>
      <w:r>
        <w:rPr/>
        <w:t>xxx</w:t>
      </w:r>
      <w:commentRangeEnd w:id="18"/>
      <w:r>
        <w:commentReference w:id="18"/>
      </w:r>
      <w:r>
        <w:rPr/>
      </w:r>
    </w:p>
    <w:p>
      <w:pPr>
        <w:pStyle w:val="Textprost"/>
        <w:rPr/>
      </w:pPr>
      <w:r>
        <w:rPr/>
      </w:r>
    </w:p>
    <w:p>
      <w:pPr>
        <w:pStyle w:val="Graf"/>
        <w:numPr>
          <w:ilvl w:val="0"/>
          <w:numId w:val="2"/>
        </w:numPr>
        <w:ind w:hanging="1418" w:left="1418" w:right="0"/>
        <w:rPr/>
      </w:pPr>
      <w:bookmarkStart w:id="130" w:name="_Toc229058026"/>
      <w:r>
        <w:rPr/>
        <w:t>Vývoj HICP cenového indexu komponenty „balíčkované telekomunikační služby“</w:t>
      </w:r>
      <w:bookmarkEnd w:id="130"/>
    </w:p>
    <w:p>
      <w:pPr>
        <w:pStyle w:val="Graftabulka"/>
        <w:rPr/>
      </w:pPr>
      <w:r>
        <w:rPr/>
        <w:t>[[%img{“filename“:“img/HICP/xxx.png“}]]</w:t>
      </w:r>
    </w:p>
    <w:p>
      <w:pPr>
        <w:pStyle w:val="Graftabulka"/>
        <w:rPr/>
      </w:pPr>
      <w:r>
        <w:rPr/>
      </w:r>
    </w:p>
    <w:p>
      <w:pPr>
        <w:pStyle w:val="Zdroj"/>
        <w:rPr/>
      </w:pPr>
      <w:r>
        <w:rPr/>
        <w:t>Zdroj/Source: údaje EUROSTATu (HICP CP08) / EUROSTAT data (HICP CP08).</w:t>
      </w:r>
    </w:p>
    <w:p>
      <w:pPr>
        <w:pStyle w:val="Textprost"/>
        <w:rPr/>
      </w:pPr>
      <w:r>
        <w:rPr/>
      </w:r>
    </w:p>
    <w:p>
      <w:pPr>
        <w:pStyle w:val="Textprost"/>
        <w:rPr/>
      </w:pPr>
      <w:r>
        <w:rPr/>
      </w:r>
    </w:p>
    <w:p>
      <w:pPr>
        <w:pStyle w:val="Textprost"/>
        <w:rPr/>
      </w:pPr>
      <w:r>
        <w:rPr/>
      </w:r>
    </w:p>
    <w:p>
      <w:pPr>
        <w:pStyle w:val="Textprost"/>
        <w:rPr/>
      </w:pPr>
      <w:r>
        <w:rPr/>
      </w:r>
    </w:p>
    <w:p>
      <w:pPr>
        <w:pStyle w:val="Heading2"/>
        <w:ind w:hanging="1135" w:left="142" w:right="284"/>
        <w:rPr/>
      </w:pPr>
      <w:bookmarkStart w:id="131" w:name="_Toc229057850"/>
      <w:r>
        <w:rPr/>
        <w:t>Srovnání nabízených služeb /</w:t>
        <w:br/>
      </w:r>
      <w:r>
        <w:rPr>
          <w:sz w:val="24"/>
          <w:szCs w:val="24"/>
        </w:rPr>
        <w:t>Comparison of Services Offered</w:t>
      </w:r>
      <w:bookmarkEnd w:id="131"/>
    </w:p>
    <w:p>
      <w:pPr>
        <w:pStyle w:val="Textkol"/>
        <w:rPr/>
      </w:pPr>
      <w:r>
        <w:rPr/>
        <w:t>Nějaké mezinárodní žebříčky… sítě a frekvence asi úplně dělat nebudeme; plus ten žebříček, co teď sbírá roman s matějem – využijeme ho pak při cenovém srovnání</w:t>
      </w:r>
    </w:p>
    <w:p>
      <w:pPr>
        <w:pStyle w:val="Textkol"/>
        <w:rPr/>
      </w:pPr>
      <w:r>
        <w:rPr/>
        <w:t>Uvést i ty tomovy statistiky mobilní služby per 1000; chytré telefony per 1000 atp… budeme se muset na to odkázat v následujícím textu</w:t>
      </w:r>
    </w:p>
    <w:p>
      <w:pPr>
        <w:pStyle w:val="Textkol"/>
        <w:rPr/>
      </w:pPr>
      <w:r>
        <w:rPr/>
      </w:r>
    </w:p>
    <w:p>
      <w:pPr>
        <w:pStyle w:val="Heading2"/>
        <w:ind w:hanging="1135" w:left="142" w:right="284"/>
        <w:rPr/>
      </w:pPr>
      <w:bookmarkStart w:id="132" w:name="_Toc229057851"/>
      <w:r>
        <w:rPr/>
        <w:t>Ceníkové ceny mobilních tarifů /</w:t>
        <w:br/>
      </w:r>
      <w:r>
        <w:rPr>
          <w:i/>
          <w:iCs/>
          <w:sz w:val="24"/>
          <w:szCs w:val="24"/>
        </w:rPr>
        <w:t>List Prices of Mobile Tariffs</w:t>
      </w:r>
      <w:bookmarkEnd w:id="132"/>
    </w:p>
    <w:p>
      <w:pPr>
        <w:pStyle w:val="Textprost"/>
        <w:rPr/>
      </w:pPr>
      <w:r>
        <w:rPr/>
        <w:t>S ohledem na zaměření sektorového šetření se Úřad pro řádné pochopení veškerých souvislostí zkoumané oblasti věnoval zejména relativní situaci v rovině cenových politik operátorů, kterou srovnal se situací v dalších státech EU. Tato část závěrečné zprávy předkládá zjištění, ke kterým Úřad dospěl.</w:t>
      </w:r>
    </w:p>
    <w:p>
      <w:pPr>
        <w:pStyle w:val="Textprost"/>
        <w:rPr/>
      </w:pPr>
      <w:r>
        <w:rPr/>
        <w:t>Úřad z veřejných zdrojů sesbíral ceníkové ceny mobilních tarifů full mobilních operátorů působících v EU, a to ve dvou sběrech, z nichž jeden proběhl v roce 2025 a druhý počátkem roku 2026. Graf č. XXX zachycuje zjištěné ceníkové ceny seřazené od nejvyšší po nejnižší.</w:t>
      </w:r>
    </w:p>
    <w:p>
      <w:pPr>
        <w:pStyle w:val="Graf"/>
        <w:numPr>
          <w:ilvl w:val="0"/>
          <w:numId w:val="2"/>
        </w:numPr>
        <w:ind w:hanging="1418" w:left="1418" w:right="0"/>
        <w:rPr/>
      </w:pPr>
      <w:bookmarkStart w:id="133" w:name="_Toc229058027"/>
      <w:r>
        <w:rPr/>
        <w:t>Nominální ceníkové ceny zjištěné Úřadem ve sběru ceníkových cen č. 1 (v Kč)</w:t>
      </w:r>
      <w:bookmarkEnd w:id="133"/>
    </w:p>
    <w:p>
      <w:pPr>
        <w:pStyle w:val="Graftabulka"/>
        <w:rPr/>
      </w:pPr>
      <w:r>
        <w:rPr/>
        <w:t>[[%img{“filename“:“img/European_comparison/01_EU_list_prices_P_CZK_sorted.png“}]]</w:t>
      </w:r>
    </w:p>
    <w:p>
      <w:pPr>
        <w:pStyle w:val="Zdroj"/>
        <w:rPr/>
      </w:pPr>
      <w:r>
        <w:rPr/>
        <w:t>Note: Figure shows list prices in the EU sorted according to their nominal value expressed in CZK, average of observed list prices, mid point of observations and highlights list prices observed in the Czech Republic (in red).</w:t>
      </w:r>
    </w:p>
    <w:p>
      <w:pPr>
        <w:pStyle w:val="Textprost"/>
        <w:rPr/>
      </w:pPr>
      <w:r>
        <w:rPr/>
        <w:t xml:space="preserve">Takto seřazené ceníkové ceny v EU, resp. jejich nominální výše, mají exponenciální průběh, přičemž v oblasti nejvyšších a nejnižších cen jsou cenové rozdíly mezi jednotlivými nabídkami výrazné. Ve střední cenové úrovni je situace relativně ustálená, což Úřadu signalizuje, že se všechny nabídky nenachází na stejném </w:t>
      </w:r>
      <w:commentRangeStart w:id="19"/>
      <w:r>
        <w:rPr/>
        <w:t>trhu</w:t>
      </w:r>
      <w:r>
        <w:rPr/>
      </w:r>
      <w:commentRangeEnd w:id="19"/>
      <w:r>
        <w:commentReference w:id="19"/>
      </w:r>
      <w:r>
        <w:rPr/>
        <w:t>, neboť jsou rozdílné cenové úrovně udržitelné napříč EU. Rozdílné cenové úrovně pak budou odrazem rozdílných statků, které se na dotčených trzích směňují. Vizuálně tak lze odlišit při nejmenším kategorii nejdražších a nejlevnějších tarifů. Kdyby totiž všechny tarify tvořily jeden dílčí trh, nejdražší tarify by nebyly ekonomicky životaschopné a všechny tarify by směřovaly k nejnižší cenové úrovni, k čemuž zjevně nedochází.</w:t>
      </w:r>
    </w:p>
    <w:p>
      <w:pPr>
        <w:pStyle w:val="Textprost"/>
        <w:rPr/>
      </w:pPr>
      <w:r>
        <w:rPr/>
        <w:t xml:space="preserve">S ohledem na relativní kupní sílu v ČR pak Úřad očekával při zobrazení použitém v grafu výskyt cenových pozorování spíše vychýlené směrem doprava. Při nižších mzdách, nižší ceně práce a obecně nižší cenové úrovni by se český tarif </w:t>
      </w:r>
      <w:r>
        <w:rPr>
          <w:i/>
          <w:iCs/>
        </w:rPr>
        <w:t>ceteris paribus</w:t>
      </w:r>
      <w:r>
        <w:rPr/>
        <w:t xml:space="preserve"> měl nacházet spíše vpravo než vlevo, tedy mezi spíše levnějšími paušály. Z Grafu č. XXX je však zřejmé silné vychýlení českých cen vlevo, tedy k vyšším cenovým úrovním. Toto je jeden z důvodů, proč Úřad přistoupil k detailnějšímu zkoumání.</w:t>
      </w:r>
    </w:p>
    <w:p>
      <w:pPr>
        <w:pStyle w:val="Textprost"/>
        <w:rPr/>
      </w:pPr>
      <w:r>
        <w:rPr/>
        <w:t>Tento závěr pak potvrzuje i opakovaný sběr ceníkových cen mobilních tarifů, jehož pozorované ceny přepočtené na koruny zobrazuje Graf č. XXX.</w:t>
      </w:r>
    </w:p>
    <w:p>
      <w:pPr>
        <w:pStyle w:val="Graf"/>
        <w:numPr>
          <w:ilvl w:val="0"/>
          <w:numId w:val="2"/>
        </w:numPr>
        <w:ind w:hanging="1418" w:left="1418" w:right="0"/>
        <w:rPr/>
      </w:pPr>
      <w:bookmarkStart w:id="134" w:name="_Toc229058028"/>
      <w:r>
        <w:rPr/>
        <w:t>Ceníkové ceny zjištěné Úřadem ve sběru ceníkových cen č. 2 (v Kč)</w:t>
      </w:r>
      <w:bookmarkEnd w:id="134"/>
    </w:p>
    <w:p>
      <w:pPr>
        <w:pStyle w:val="Graftabulka"/>
        <w:rPr/>
      </w:pPr>
      <w:r>
        <w:rPr/>
        <w:t>[[%img{“filename“:“img/European_comparison/02_EU_list_prices_P_CZK_sorted.png“}]]</w:t>
      </w:r>
    </w:p>
    <w:p>
      <w:pPr>
        <w:pStyle w:val="Zdroj"/>
        <w:rPr/>
      </w:pPr>
      <w:r>
        <w:rPr/>
        <w:t>Note: Figure shows list prices in the EU sorted according to their nominal value expressed in CZK, average of observed list prices, mid point of observations and highlights list prices observed in the Czech Republic (in red).</w:t>
      </w:r>
    </w:p>
    <w:p>
      <w:pPr>
        <w:pStyle w:val="Textprost"/>
        <w:rPr/>
      </w:pPr>
      <w:r>
        <w:rPr/>
        <w:t>Úřad předně uvádí, že opakovaný sběr ceníkových údajů se odehrál až několik měsíců po zahájení sektorového šetření. Tedy odráží české ceníkové ceny stanovené nebo udržované full mobilními operátory při vědomí toho, že právě ceny jsou objektem zkoumání ze strany Úřadu. I na základě opakovaného sběru údajů dospěl Úřad ke stejnému závěru ohledně zvýšené cenové úrovně ceníkových cen mobilních tarifů v ČR.</w:t>
      </w:r>
    </w:p>
    <w:p>
      <w:pPr>
        <w:pStyle w:val="Textprost"/>
        <w:rPr/>
      </w:pPr>
      <w:r>
        <w:rPr/>
        <w:t>Touto elementární analýzou tak Úřad potvrdil jednu indicii a získal další. Těmito indiciemi jsou:</w:t>
      </w:r>
    </w:p>
    <w:p>
      <w:pPr>
        <w:pStyle w:val="Textslovan"/>
        <w:numPr>
          <w:ilvl w:val="0"/>
          <w:numId w:val="51"/>
        </w:numPr>
        <w:ind w:hanging="357" w:left="453" w:right="0"/>
        <w:rPr/>
      </w:pPr>
      <w:r>
        <w:rPr/>
        <w:t>Ceníkové ceny jsou v ČR spíše relativně vyšší.</w:t>
      </w:r>
    </w:p>
    <w:p>
      <w:pPr>
        <w:pStyle w:val="Textslovan"/>
        <w:numPr>
          <w:ilvl w:val="0"/>
          <w:numId w:val="8"/>
        </w:numPr>
        <w:ind w:hanging="357" w:left="456" w:right="0"/>
        <w:rPr/>
      </w:pPr>
      <w:r>
        <w:rPr/>
        <w:t>Oblast mobilních služeb sestává z několika dílčích a tím pádem potenciálně i relevantních trhů lišících se cenovou úrovní.</w:t>
      </w:r>
      <w:r>
        <w:rPr>
          <w:rStyle w:val="FootnoteReference"/>
        </w:rPr>
        <w:footnoteReference w:id="117"/>
      </w:r>
    </w:p>
    <w:p>
      <w:pPr>
        <w:pStyle w:val="Textprost"/>
        <w:rPr/>
      </w:pPr>
      <w:r>
        <w:rPr/>
        <w:t>Detailnějšímu prověřování první indicie, zejména pak její kvantifikaci, se věnuje následující text. Druhá indicie bude detailněji posuzována až při zkoumání chování spotřebitele a firmy v samostatných kapitolách.</w:t>
      </w:r>
    </w:p>
    <w:p>
      <w:pPr>
        <w:pStyle w:val="Heading3"/>
        <w:ind w:hanging="1134" w:left="142" w:right="284"/>
        <w:rPr/>
      </w:pPr>
      <w:bookmarkStart w:id="135" w:name="_Toc229057852"/>
      <w:r>
        <w:rPr/>
        <w:t>Předběžné posouzení relativní cenové úrovně v ČR /</w:t>
        <w:br/>
        <w:t>Preliminary Assessment of the Relative Price Level in the Czech Republic</w:t>
      </w:r>
      <w:bookmarkEnd w:id="135"/>
    </w:p>
    <w:tbl>
      <w:tblPr>
        <w:tblStyle w:val="TableGrid"/>
        <w:tblW w:w="906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30"/>
        <w:gridCol w:w="4530"/>
      </w:tblGrid>
      <w:tr>
        <w:trPr/>
        <w:tc>
          <w:tcPr>
            <w:tcW w:w="4530" w:type="dxa"/>
            <w:tcBorders>
              <w:top w:val="nil"/>
              <w:left w:val="nil"/>
              <w:bottom w:val="nil"/>
              <w:right w:val="nil"/>
            </w:tcBorders>
            <w:vAlign w:val="bottom"/>
          </w:tcPr>
          <w:p>
            <w:pPr>
              <w:pStyle w:val="Textprost"/>
              <w:widowControl/>
              <w:suppressAutoHyphens w:val="true"/>
              <w:spacing w:before="0" w:after="160"/>
              <w:rPr>
                <w:kern w:val="0"/>
                <w:lang w:val="cs-CZ" w:bidi="ar-SA"/>
              </w:rPr>
            </w:pPr>
            <w:r>
              <w:rPr>
                <w:kern w:val="0"/>
                <w:lang w:val="cs-CZ" w:bidi="ar-SA"/>
              </w:rPr>
              <w:t>S ohledem na náznaky získané z veřejných zdrojů a uvedené v </w:t>
            </w:r>
            <w:commentRangeStart w:id="20"/>
            <w:r>
              <w:rPr>
                <w:kern w:val="0"/>
                <w:lang w:val="cs-CZ" w:bidi="ar-SA"/>
              </w:rPr>
              <w:t>části č</w:t>
            </w:r>
            <w:r>
              <w:rPr>
                <w:kern w:val="0"/>
                <w:lang w:val="cs-CZ" w:bidi="ar-SA"/>
              </w:rPr>
            </w:r>
            <w:commentRangeEnd w:id="20"/>
            <w:r>
              <w:commentReference w:id="20"/>
            </w:r>
            <w:r>
              <w:rPr>
                <w:kern w:val="0"/>
                <w:lang w:val="cs-CZ" w:bidi="ar-SA"/>
              </w:rPr>
              <w:t xml:space="preserve">. </w:t>
            </w:r>
            <w:commentRangeStart w:id="21"/>
            <w:r>
              <w:rPr>
                <w:kern w:val="0"/>
                <w:lang w:val="cs-CZ" w:bidi="ar-SA"/>
              </w:rPr>
              <w:t>XXX</w:t>
            </w:r>
            <w:r>
              <w:rPr>
                <w:kern w:val="0"/>
                <w:lang w:val="cs-CZ" w:bidi="ar-SA"/>
              </w:rPr>
            </w:r>
            <w:commentRangeEnd w:id="21"/>
            <w:r>
              <w:commentReference w:id="21"/>
            </w:r>
            <w:r>
              <w:rPr>
                <w:kern w:val="0"/>
                <w:lang w:val="cs-CZ" w:bidi="ar-SA"/>
              </w:rPr>
              <w:t xml:space="preserve"> provedl Úřad předběžné posouzení relativních ceníkových cen tarifů mobilních telekomunikačních služeb v České republice s ceníkovými cenami těchto služeb v členských zemích Evropské unie.</w:t>
            </w:r>
            <w:commentRangeStart w:id="22"/>
            <w:commentRangeStart w:id="23"/>
            <w:r>
              <w:rPr>
                <w:rStyle w:val="FootnoteReference"/>
                <w:kern w:val="0"/>
                <w:lang w:val="cs-CZ" w:bidi="ar-SA"/>
              </w:rPr>
              <w:footnoteReference w:id="118"/>
            </w:r>
            <w:r>
              <w:rPr>
                <w:kern w:val="0"/>
                <w:lang w:val="cs-CZ" w:bidi="ar-SA"/>
              </w:rPr>
            </w:r>
            <w:commentRangeEnd w:id="22"/>
            <w:r>
              <w:commentReference w:id="22"/>
            </w:r>
            <w:commentRangeEnd w:id="23"/>
            <w:r>
              <w:commentReference w:id="23"/>
            </w:r>
            <w:r>
              <w:rPr>
                <w:kern w:val="0"/>
                <w:lang w:val="cs-CZ" w:bidi="ar-SA"/>
              </w:rPr>
            </w:r>
          </w:p>
        </w:tc>
        <w:tc>
          <w:tcPr>
            <w:tcW w:w="4530" w:type="dxa"/>
            <w:tcBorders>
              <w:top w:val="nil"/>
              <w:left w:val="nil"/>
              <w:bottom w:val="nil"/>
              <w:right w:val="nil"/>
            </w:tcBorders>
          </w:tcPr>
          <w:p>
            <w:pPr>
              <w:pStyle w:val="TextprostvAJ"/>
              <w:widowControl/>
              <w:suppressAutoHyphens w:val="true"/>
              <w:spacing w:before="0" w:after="160"/>
              <w:rPr>
                <w:kern w:val="0"/>
                <w:lang w:bidi="ar-SA"/>
              </w:rPr>
            </w:pPr>
            <w:r>
              <w:rPr>
                <w:kern w:val="0"/>
                <w:lang w:bidi="ar-SA"/>
              </w:rPr>
              <w:t>In view of the indications obtained from public sources, as referred to in Section XXX, the Office carried out a preliminary assessment of the relative list prices of mobile telecommunications service tariffs in the Czech Republic compared with the list prices of such services in the Member States of the European Union.</w:t>
            </w:r>
          </w:p>
        </w:tc>
      </w:tr>
      <w:tr>
        <w:trPr/>
        <w:tc>
          <w:tcPr>
            <w:tcW w:w="4530" w:type="dxa"/>
            <w:tcBorders>
              <w:top w:val="nil"/>
              <w:left w:val="nil"/>
              <w:bottom w:val="nil"/>
              <w:right w:val="nil"/>
            </w:tcBorders>
          </w:tcPr>
          <w:p>
            <w:pPr>
              <w:pStyle w:val="Textprost"/>
              <w:widowControl/>
              <w:suppressAutoHyphens w:val="true"/>
              <w:spacing w:before="0" w:after="160"/>
              <w:rPr>
                <w:rFonts w:eastAsia="Calibri"/>
              </w:rPr>
            </w:pPr>
            <w:r>
              <w:rPr>
                <w:rFonts w:eastAsia="Calibri"/>
                <w:kern w:val="0"/>
                <w:lang w:val="cs-CZ" w:bidi="ar-SA"/>
              </w:rPr>
              <w:t>Úřad hledal předběžnou odpověď na otázku: „</w:t>
            </w:r>
            <w:r>
              <w:rPr>
                <w:rFonts w:eastAsia="Calibri"/>
                <w:i/>
                <w:kern w:val="0"/>
                <w:lang w:val="cs-CZ" w:bidi="ar-SA"/>
              </w:rPr>
              <w:t>zda a jaký existuje rozdíl v ceníkových cenách mobilních tarifů nabízených v České republice ve srovnání s cenami mobilních tarifů poskytovaných v ostatních členských státech Evropské unie</w:t>
            </w:r>
            <w:r>
              <w:rPr>
                <w:rFonts w:eastAsia="Calibri"/>
                <w:kern w:val="0"/>
                <w:lang w:val="cs-CZ" w:bidi="ar-SA"/>
              </w:rPr>
              <w:t>“?</w:t>
            </w:r>
          </w:p>
        </w:tc>
        <w:tc>
          <w:tcPr>
            <w:tcW w:w="4530" w:type="dxa"/>
            <w:tcBorders>
              <w:top w:val="nil"/>
              <w:left w:val="nil"/>
              <w:bottom w:val="nil"/>
              <w:right w:val="nil"/>
            </w:tcBorders>
          </w:tcPr>
          <w:p>
            <w:pPr>
              <w:pStyle w:val="TextprostvAJ"/>
              <w:widowControl/>
              <w:suppressAutoHyphens w:val="true"/>
              <w:spacing w:before="0" w:after="160"/>
              <w:rPr>
                <w:kern w:val="0"/>
                <w:lang w:bidi="ar-SA"/>
              </w:rPr>
            </w:pPr>
            <w:r>
              <w:rPr>
                <w:kern w:val="0"/>
                <w:lang w:bidi="ar-SA"/>
              </w:rPr>
              <w:t>For this purpose, the Office sought an initial answer to the question: ‘whether, and to what extent, there exists a difference between the list prices of mobile tariffs offered in the Czech Republic and those of mobile tariffs provided in other Member States of the European Union’?</w:t>
            </w:r>
          </w:p>
        </w:tc>
      </w:tr>
      <w:tr>
        <w:trPr/>
        <w:tc>
          <w:tcPr>
            <w:tcW w:w="4530" w:type="dxa"/>
            <w:tcBorders>
              <w:top w:val="nil"/>
              <w:left w:val="nil"/>
              <w:bottom w:val="nil"/>
              <w:right w:val="nil"/>
            </w:tcBorders>
          </w:tcPr>
          <w:p>
            <w:pPr>
              <w:pStyle w:val="Textprost"/>
              <w:widowControl/>
              <w:suppressAutoHyphens w:val="true"/>
              <w:spacing w:before="0" w:after="160"/>
              <w:rPr>
                <w:rFonts w:eastAsia="Calibri"/>
              </w:rPr>
            </w:pPr>
            <w:r>
              <w:rPr>
                <w:rFonts w:eastAsia="Calibri"/>
                <w:kern w:val="0"/>
                <w:lang w:val="cs-CZ" w:bidi="ar-SA"/>
              </w:rPr>
              <w:t>Úřad pro tento účel sestavil vlastní datový podklad z veřejně dostupných informací, a to konkrétně nabídky tarifů mobilních služeb relevantních mobilních operátorů včetně jejich ceníkových cen ve 27 státech.</w:t>
            </w:r>
            <w:r>
              <w:rPr>
                <w:rStyle w:val="FootnoteReference"/>
                <w:rFonts w:eastAsia="Calibri"/>
                <w:kern w:val="0"/>
                <w:vertAlign w:val="superscript"/>
                <w:lang w:val="cs-CZ" w:bidi="ar-SA"/>
              </w:rPr>
              <w:footnoteReference w:id="119"/>
            </w:r>
            <w:r>
              <w:rPr>
                <w:rFonts w:eastAsia="Calibri"/>
                <w:kern w:val="0"/>
                <w:lang w:val="cs-CZ" w:bidi="ar-SA"/>
              </w:rPr>
              <w:t xml:space="preserve"> V případě Bulharska se podařilo získat údaje pouze od operátora Vivacom. Od společností Yettel a A1 se údaje z veřejných zdrojů získat nepodařilo. V některých případech se nepodařilo získat konkrétní informaci o obsahu služby, a to např. zda je uplatněno omezení volání nebo SMS. Celkově tak Úřad získal 357 úplných pozorování, která mohl k této předběžné analýze využít.</w:t>
            </w:r>
          </w:p>
        </w:tc>
        <w:tc>
          <w:tcPr>
            <w:tcW w:w="4530" w:type="dxa"/>
            <w:tcBorders>
              <w:top w:val="nil"/>
              <w:left w:val="nil"/>
              <w:bottom w:val="nil"/>
              <w:right w:val="nil"/>
            </w:tcBorders>
          </w:tcPr>
          <w:p>
            <w:pPr>
              <w:pStyle w:val="TextprostvAJ"/>
              <w:widowControl/>
              <w:suppressAutoHyphens w:val="true"/>
              <w:spacing w:before="0" w:after="160"/>
              <w:rPr>
                <w:kern w:val="0"/>
                <w:lang w:bidi="ar-SA"/>
              </w:rPr>
            </w:pPr>
            <w:r>
              <w:rPr>
                <w:kern w:val="0"/>
                <w:lang w:bidi="ar-SA"/>
              </w:rPr>
              <w:t>To that end, the Office compiled its own dataset based on publicly available information, specifically the tariff offers of relevant mobile operators, including their list prices, in 27 countries. In the case of Bulgaria, data were obtained only from the operator Vivacom. No data could be retrieved from publicly accessible sources for Yettel and A1. In several instances, it was not possible to obtain specific information on the content of the service—for example, whether limitations applied to calls or SMS messages. In total, the Office obtained 357 complete observations eligible for use in this preliminary analysis.</w:t>
            </w:r>
          </w:p>
        </w:tc>
      </w:tr>
      <w:tr>
        <w:trPr/>
        <w:tc>
          <w:tcPr>
            <w:tcW w:w="4530" w:type="dxa"/>
            <w:tcBorders>
              <w:top w:val="nil"/>
              <w:left w:val="nil"/>
              <w:bottom w:val="nil"/>
              <w:right w:val="nil"/>
            </w:tcBorders>
          </w:tcPr>
          <w:p>
            <w:pPr>
              <w:pStyle w:val="Textprost"/>
              <w:widowControl/>
              <w:suppressAutoHyphens w:val="true"/>
              <w:spacing w:before="0" w:after="160"/>
              <w:rPr>
                <w:rFonts w:eastAsia="Calibri"/>
              </w:rPr>
            </w:pPr>
            <w:r>
              <w:rPr>
                <w:rFonts w:eastAsia="Calibri"/>
                <w:kern w:val="0"/>
                <w:lang w:val="cs-CZ" w:bidi="ar-SA"/>
              </w:rPr>
              <w:t>Informace ohledně jednotlivých tarifů mobilních služeb Úřad rozložil do těchto proměnných:</w:t>
            </w:r>
          </w:p>
        </w:tc>
        <w:tc>
          <w:tcPr>
            <w:tcW w:w="4530" w:type="dxa"/>
            <w:tcBorders>
              <w:top w:val="nil"/>
              <w:left w:val="nil"/>
              <w:bottom w:val="nil"/>
              <w:right w:val="nil"/>
            </w:tcBorders>
          </w:tcPr>
          <w:p>
            <w:pPr>
              <w:pStyle w:val="TextprostvAJ"/>
              <w:widowControl/>
              <w:suppressAutoHyphens w:val="true"/>
              <w:spacing w:before="0" w:after="160"/>
              <w:rPr>
                <w:kern w:val="0"/>
                <w:lang w:bidi="ar-SA"/>
              </w:rPr>
            </w:pPr>
            <w:r>
              <w:rPr>
                <w:kern w:val="0"/>
                <w:lang w:bidi="ar-SA"/>
              </w:rPr>
              <w:t>The information concerning individual mobile service tariffs was structured into the following variables:</w:t>
            </w:r>
          </w:p>
        </w:tc>
      </w:tr>
      <w:tr>
        <w:trPr/>
        <w:tc>
          <w:tcPr>
            <w:tcW w:w="4530" w:type="dxa"/>
            <w:tcBorders>
              <w:top w:val="nil"/>
              <w:left w:val="nil"/>
              <w:bottom w:val="nil"/>
              <w:right w:val="nil"/>
            </w:tcBorders>
          </w:tcPr>
          <w:p>
            <w:pPr>
              <w:pStyle w:val="Textslovan"/>
              <w:widowControl/>
              <w:numPr>
                <w:ilvl w:val="0"/>
                <w:numId w:val="52"/>
              </w:numPr>
              <w:suppressAutoHyphens w:val="true"/>
              <w:ind w:hanging="357" w:left="453" w:right="0"/>
              <w:rPr>
                <w:kern w:val="0"/>
                <w:lang w:val="cs-CZ" w:bidi="ar-SA"/>
              </w:rPr>
            </w:pPr>
            <w:r>
              <w:rPr>
                <w:kern w:val="0"/>
                <w:lang w:val="cs-CZ" w:bidi="ar-SA"/>
              </w:rPr>
              <w:t xml:space="preserve">P_EUR_D: </w:t>
            </w:r>
            <w:r>
              <w:rPr>
                <w:i/>
                <w:iCs/>
                <w:kern w:val="0"/>
                <w:lang w:val="cs-CZ" w:bidi="ar-SA"/>
              </w:rPr>
              <w:t>dummy</w:t>
            </w:r>
            <w:r>
              <w:rPr>
                <w:kern w:val="0"/>
                <w:lang w:val="cs-CZ" w:bidi="ar-SA"/>
              </w:rPr>
              <w:t xml:space="preserve"> proměnná</w:t>
            </w:r>
            <w:r>
              <w:rPr>
                <w:rStyle w:val="FootnoteReference"/>
                <w:kern w:val="0"/>
                <w:vertAlign w:val="superscript"/>
                <w:lang w:val="cs-CZ" w:bidi="ar-SA"/>
              </w:rPr>
              <w:footnoteReference w:id="120"/>
            </w:r>
            <w:r>
              <w:rPr>
                <w:kern w:val="0"/>
                <w:lang w:val="cs-CZ" w:bidi="ar-SA"/>
              </w:rPr>
              <w:t xml:space="preserve"> pro ceny v rámci eurozóny,</w:t>
            </w:r>
            <w:r>
              <w:rPr>
                <w:rStyle w:val="FootnoteReference"/>
                <w:kern w:val="0"/>
                <w:vertAlign w:val="superscript"/>
                <w:lang w:val="cs-CZ" w:bidi="ar-SA"/>
              </w:rPr>
              <w:footnoteReference w:id="121"/>
            </w:r>
          </w:p>
          <w:p>
            <w:pPr>
              <w:pStyle w:val="Textslovan"/>
              <w:widowControl/>
              <w:numPr>
                <w:ilvl w:val="0"/>
                <w:numId w:val="8"/>
              </w:numPr>
              <w:suppressAutoHyphens w:val="true"/>
              <w:ind w:hanging="357" w:left="456" w:right="0"/>
              <w:rPr>
                <w:kern w:val="0"/>
                <w:lang w:val="cs-CZ" w:bidi="ar-SA"/>
              </w:rPr>
            </w:pPr>
            <w:r>
              <w:rPr>
                <w:kern w:val="0"/>
                <w:lang w:val="cs-CZ" w:bidi="ar-SA"/>
              </w:rPr>
              <w:t>MIN_limit: limit minut volání,</w:t>
            </w:r>
          </w:p>
          <w:p>
            <w:pPr>
              <w:pStyle w:val="Textslovan"/>
              <w:widowControl/>
              <w:numPr>
                <w:ilvl w:val="0"/>
                <w:numId w:val="8"/>
              </w:numPr>
              <w:suppressAutoHyphens w:val="true"/>
              <w:ind w:hanging="357" w:left="456" w:right="0"/>
              <w:rPr>
                <w:kern w:val="0"/>
                <w:lang w:val="cs-CZ" w:bidi="ar-SA"/>
              </w:rPr>
            </w:pPr>
            <w:r>
              <w:rPr>
                <w:kern w:val="0"/>
                <w:lang w:val="cs-CZ" w:bidi="ar-SA"/>
              </w:rPr>
              <w:t xml:space="preserve">MIN_nolimit_D: </w:t>
            </w:r>
            <w:r>
              <w:rPr>
                <w:i/>
                <w:iCs/>
                <w:kern w:val="0"/>
                <w:lang w:val="cs-CZ" w:bidi="ar-SA"/>
              </w:rPr>
              <w:t>dummy</w:t>
            </w:r>
            <w:r>
              <w:rPr>
                <w:kern w:val="0"/>
                <w:lang w:val="cs-CZ" w:bidi="ar-SA"/>
              </w:rPr>
              <w:t xml:space="preserve"> proměnná pro tarify bez omezeného volání,</w:t>
            </w:r>
          </w:p>
          <w:p>
            <w:pPr>
              <w:pStyle w:val="Textslovan"/>
              <w:widowControl/>
              <w:numPr>
                <w:ilvl w:val="0"/>
                <w:numId w:val="8"/>
              </w:numPr>
              <w:suppressAutoHyphens w:val="true"/>
              <w:ind w:hanging="357" w:left="456" w:right="0"/>
              <w:rPr>
                <w:kern w:val="0"/>
                <w:lang w:val="cs-CZ" w:bidi="ar-SA"/>
              </w:rPr>
            </w:pPr>
            <w:r>
              <w:rPr>
                <w:kern w:val="0"/>
                <w:lang w:val="cs-CZ" w:bidi="ar-SA"/>
              </w:rPr>
              <w:t>SMS_limit: limit odeslaných SMS,</w:t>
            </w:r>
          </w:p>
          <w:p>
            <w:pPr>
              <w:pStyle w:val="Textslovan"/>
              <w:widowControl/>
              <w:numPr>
                <w:ilvl w:val="0"/>
                <w:numId w:val="8"/>
              </w:numPr>
              <w:suppressAutoHyphens w:val="true"/>
              <w:ind w:hanging="357" w:left="456" w:right="0"/>
              <w:rPr>
                <w:kern w:val="0"/>
                <w:lang w:val="cs-CZ" w:bidi="ar-SA"/>
              </w:rPr>
            </w:pPr>
            <w:r>
              <w:rPr>
                <w:kern w:val="0"/>
                <w:lang w:val="cs-CZ" w:bidi="ar-SA"/>
              </w:rPr>
              <w:t xml:space="preserve">SMS_nolimit_D: </w:t>
            </w:r>
            <w:r>
              <w:rPr>
                <w:i/>
                <w:iCs/>
                <w:kern w:val="0"/>
                <w:lang w:val="cs-CZ" w:bidi="ar-SA"/>
              </w:rPr>
              <w:t>dummy</w:t>
            </w:r>
            <w:r>
              <w:rPr>
                <w:kern w:val="0"/>
                <w:lang w:val="cs-CZ" w:bidi="ar-SA"/>
              </w:rPr>
              <w:t xml:space="preserve"> proměnná pro tarify bez omezených SMS,</w:t>
            </w:r>
          </w:p>
          <w:p>
            <w:pPr>
              <w:pStyle w:val="Textslovan"/>
              <w:widowControl/>
              <w:numPr>
                <w:ilvl w:val="0"/>
                <w:numId w:val="8"/>
              </w:numPr>
              <w:suppressAutoHyphens w:val="true"/>
              <w:ind w:hanging="357" w:left="456" w:right="0"/>
              <w:rPr>
                <w:kern w:val="0"/>
                <w:lang w:val="cs-CZ" w:bidi="ar-SA"/>
              </w:rPr>
            </w:pPr>
            <w:r>
              <w:rPr>
                <w:kern w:val="0"/>
                <w:lang w:val="cs-CZ" w:bidi="ar-SA"/>
              </w:rPr>
              <w:t>GB_limit: datový limit,</w:t>
            </w:r>
          </w:p>
          <w:p>
            <w:pPr>
              <w:pStyle w:val="Textslovan"/>
              <w:widowControl/>
              <w:numPr>
                <w:ilvl w:val="0"/>
                <w:numId w:val="8"/>
              </w:numPr>
              <w:suppressAutoHyphens w:val="true"/>
              <w:ind w:hanging="357" w:left="456" w:right="0"/>
              <w:rPr>
                <w:kern w:val="0"/>
                <w:lang w:val="cs-CZ" w:bidi="ar-SA"/>
              </w:rPr>
            </w:pPr>
            <w:r>
              <w:rPr>
                <w:kern w:val="0"/>
                <w:lang w:val="cs-CZ" w:bidi="ar-SA"/>
              </w:rPr>
              <w:t xml:space="preserve">GB_nolimit_D: </w:t>
            </w:r>
            <w:r>
              <w:rPr>
                <w:i/>
                <w:iCs/>
                <w:kern w:val="0"/>
                <w:lang w:val="cs-CZ" w:bidi="ar-SA"/>
              </w:rPr>
              <w:t>dummy</w:t>
            </w:r>
            <w:r>
              <w:rPr>
                <w:kern w:val="0"/>
                <w:lang w:val="cs-CZ" w:bidi="ar-SA"/>
              </w:rPr>
              <w:t xml:space="preserve"> proměnná pro tarify bez datového omezení,</w:t>
            </w:r>
          </w:p>
          <w:p>
            <w:pPr>
              <w:pStyle w:val="Textslovan"/>
              <w:widowControl/>
              <w:numPr>
                <w:ilvl w:val="0"/>
                <w:numId w:val="8"/>
              </w:numPr>
              <w:suppressAutoHyphens w:val="true"/>
              <w:ind w:hanging="357" w:left="456" w:right="0"/>
              <w:rPr>
                <w:kern w:val="0"/>
                <w:lang w:val="cs-CZ" w:bidi="ar-SA"/>
              </w:rPr>
            </w:pPr>
            <w:r>
              <w:rPr>
                <w:kern w:val="0"/>
                <w:lang w:val="cs-CZ" w:bidi="ar-SA"/>
              </w:rPr>
              <w:t>GB_speed_limit: pro tarify s rychlostním omezením přenesených dat,</w:t>
            </w:r>
          </w:p>
          <w:p>
            <w:pPr>
              <w:pStyle w:val="Textslovan"/>
              <w:widowControl/>
              <w:numPr>
                <w:ilvl w:val="0"/>
                <w:numId w:val="8"/>
              </w:numPr>
              <w:suppressAutoHyphens w:val="true"/>
              <w:ind w:hanging="357" w:left="456" w:right="0"/>
              <w:rPr>
                <w:kern w:val="0"/>
                <w:lang w:val="cs-CZ" w:bidi="ar-SA"/>
              </w:rPr>
            </w:pPr>
            <w:r>
              <w:rPr>
                <w:kern w:val="0"/>
                <w:lang w:val="cs-CZ" w:bidi="ar-SA"/>
              </w:rPr>
              <w:t xml:space="preserve">GB_speed_limit: </w:t>
            </w:r>
            <w:r>
              <w:rPr>
                <w:i/>
                <w:iCs/>
                <w:kern w:val="0"/>
                <w:lang w:val="cs-CZ" w:bidi="ar-SA"/>
              </w:rPr>
              <w:t>dummy</w:t>
            </w:r>
            <w:r>
              <w:rPr>
                <w:kern w:val="0"/>
                <w:lang w:val="cs-CZ" w:bidi="ar-SA"/>
              </w:rPr>
              <w:t xml:space="preserve"> proměnná pro tarify s rychlostním omezením přenesených dat,</w:t>
            </w:r>
          </w:p>
          <w:p>
            <w:pPr>
              <w:pStyle w:val="Textslovan"/>
              <w:widowControl/>
              <w:numPr>
                <w:ilvl w:val="0"/>
                <w:numId w:val="8"/>
              </w:numPr>
              <w:suppressAutoHyphens w:val="true"/>
              <w:ind w:hanging="357" w:left="456" w:right="0"/>
              <w:rPr>
                <w:kern w:val="0"/>
                <w:lang w:val="cs-CZ" w:bidi="ar-SA"/>
              </w:rPr>
            </w:pPr>
            <w:r>
              <w:rPr>
                <w:kern w:val="0"/>
                <w:lang w:val="cs-CZ" w:bidi="ar-SA"/>
              </w:rPr>
              <w:t>GB_afterlimit_speed: pro rychlostní omezení přenesených dat po vyčerpání jejich limitu,</w:t>
            </w:r>
          </w:p>
          <w:p>
            <w:pPr>
              <w:pStyle w:val="Textslovan"/>
              <w:widowControl/>
              <w:numPr>
                <w:ilvl w:val="0"/>
                <w:numId w:val="8"/>
              </w:numPr>
              <w:suppressAutoHyphens w:val="true"/>
              <w:ind w:hanging="357" w:left="456" w:right="0"/>
              <w:rPr>
                <w:kern w:val="0"/>
                <w:lang w:val="cs-CZ" w:bidi="ar-SA"/>
              </w:rPr>
            </w:pPr>
            <w:r>
              <w:rPr>
                <w:kern w:val="0"/>
                <w:lang w:val="cs-CZ" w:bidi="ar-SA"/>
              </w:rPr>
              <w:t xml:space="preserve">Bundle_D: </w:t>
            </w:r>
            <w:r>
              <w:rPr>
                <w:i/>
                <w:iCs/>
                <w:kern w:val="0"/>
                <w:lang w:val="cs-CZ" w:bidi="ar-SA"/>
              </w:rPr>
              <w:t>dummy</w:t>
            </w:r>
            <w:r>
              <w:rPr>
                <w:kern w:val="0"/>
                <w:lang w:val="cs-CZ" w:bidi="ar-SA"/>
              </w:rPr>
              <w:t xml:space="preserve"> proměnná pro tarif v balíčku s jinou telekomunikační službou,</w:t>
            </w:r>
          </w:p>
          <w:p>
            <w:pPr>
              <w:pStyle w:val="Textslovan"/>
              <w:widowControl/>
              <w:numPr>
                <w:ilvl w:val="0"/>
                <w:numId w:val="8"/>
              </w:numPr>
              <w:suppressAutoHyphens w:val="true"/>
              <w:ind w:hanging="357" w:left="456" w:right="0"/>
              <w:rPr>
                <w:kern w:val="0"/>
                <w:lang w:val="cs-CZ" w:bidi="ar-SA"/>
              </w:rPr>
            </w:pPr>
            <w:r>
              <w:rPr>
                <w:kern w:val="0"/>
                <w:lang w:val="cs-CZ" w:bidi="ar-SA"/>
              </w:rPr>
              <w:t xml:space="preserve">Bundle_TVorVOD_D: </w:t>
            </w:r>
            <w:r>
              <w:rPr>
                <w:i/>
                <w:iCs/>
                <w:kern w:val="0"/>
                <w:lang w:val="cs-CZ" w:bidi="ar-SA"/>
              </w:rPr>
              <w:t>dummy</w:t>
            </w:r>
            <w:r>
              <w:rPr>
                <w:kern w:val="0"/>
                <w:lang w:val="cs-CZ" w:bidi="ar-SA"/>
              </w:rPr>
              <w:t xml:space="preserve"> proměnná pro tarif v balíčku s televizním vysíláním nebo službou video on demand,</w:t>
            </w:r>
          </w:p>
          <w:p>
            <w:pPr>
              <w:pStyle w:val="Textslovan"/>
              <w:widowControl/>
              <w:numPr>
                <w:ilvl w:val="0"/>
                <w:numId w:val="8"/>
              </w:numPr>
              <w:suppressAutoHyphens w:val="true"/>
              <w:ind w:hanging="357" w:left="456" w:right="0"/>
              <w:rPr>
                <w:kern w:val="0"/>
                <w:lang w:val="cs-CZ" w:bidi="ar-SA"/>
              </w:rPr>
            </w:pPr>
            <w:r>
              <w:rPr>
                <w:kern w:val="0"/>
                <w:lang w:val="cs-CZ" w:bidi="ar-SA"/>
              </w:rPr>
              <w:t>Data_Speed_Limit: výše rychlostního omezení datových služeb,</w:t>
            </w:r>
          </w:p>
          <w:p>
            <w:pPr>
              <w:pStyle w:val="Textslovan"/>
              <w:widowControl/>
              <w:numPr>
                <w:ilvl w:val="0"/>
                <w:numId w:val="8"/>
              </w:numPr>
              <w:suppressAutoHyphens w:val="true"/>
              <w:ind w:hanging="357" w:left="456" w:right="0"/>
              <w:rPr>
                <w:kern w:val="0"/>
                <w:lang w:val="cs-CZ" w:bidi="ar-SA"/>
              </w:rPr>
            </w:pPr>
            <w:r>
              <w:rPr>
                <w:kern w:val="0"/>
                <w:lang w:val="cs-CZ" w:bidi="ar-SA"/>
              </w:rPr>
              <w:t xml:space="preserve">Age_discount_18_26_65_D: </w:t>
            </w:r>
            <w:r>
              <w:rPr>
                <w:i/>
                <w:iCs/>
                <w:kern w:val="0"/>
                <w:lang w:val="cs-CZ" w:bidi="ar-SA"/>
              </w:rPr>
              <w:t>dummy</w:t>
            </w:r>
            <w:r>
              <w:rPr>
                <w:kern w:val="0"/>
                <w:lang w:val="cs-CZ" w:bidi="ar-SA"/>
              </w:rPr>
              <w:t xml:space="preserve"> proměnná pro tarif podmíněný věkovým kritériem,</w:t>
            </w:r>
          </w:p>
          <w:p>
            <w:pPr>
              <w:pStyle w:val="Textslovan"/>
              <w:widowControl/>
              <w:numPr>
                <w:ilvl w:val="0"/>
                <w:numId w:val="8"/>
              </w:numPr>
              <w:suppressAutoHyphens w:val="true"/>
              <w:ind w:hanging="357" w:left="456" w:right="0"/>
              <w:rPr>
                <w:kern w:val="0"/>
                <w:lang w:val="cs-CZ" w:bidi="ar-SA"/>
              </w:rPr>
            </w:pPr>
            <w:r>
              <w:rPr>
                <w:kern w:val="0"/>
                <w:lang w:val="cs-CZ" w:bidi="ar-SA"/>
              </w:rPr>
              <w:t>Free_GB_EU_EHS: množství volných GB v rámci EU nebo EHS a</w:t>
            </w:r>
          </w:p>
          <w:p>
            <w:pPr>
              <w:pStyle w:val="Textslovan"/>
              <w:widowControl/>
              <w:numPr>
                <w:ilvl w:val="0"/>
                <w:numId w:val="8"/>
              </w:numPr>
              <w:suppressAutoHyphens w:val="true"/>
              <w:spacing w:before="0" w:after="160"/>
              <w:ind w:hanging="357" w:left="456" w:right="0"/>
              <w:contextualSpacing/>
              <w:rPr>
                <w:kern w:val="0"/>
                <w:lang w:val="cs-CZ" w:bidi="ar-SA"/>
              </w:rPr>
            </w:pPr>
            <w:r>
              <w:rPr>
                <w:kern w:val="0"/>
                <w:lang w:val="cs-CZ" w:bidi="ar-SA"/>
              </w:rPr>
              <w:t xml:space="preserve">Czech_rep_D: </w:t>
            </w:r>
            <w:r>
              <w:rPr>
                <w:i/>
                <w:iCs/>
                <w:kern w:val="0"/>
                <w:lang w:val="cs-CZ" w:bidi="ar-SA"/>
              </w:rPr>
              <w:t>dummy</w:t>
            </w:r>
            <w:r>
              <w:rPr>
                <w:kern w:val="0"/>
                <w:lang w:val="cs-CZ" w:bidi="ar-SA"/>
              </w:rPr>
              <w:t xml:space="preserve"> proměnná pro mobilní tarif nabízený v České republice.</w:t>
            </w:r>
          </w:p>
        </w:tc>
        <w:tc>
          <w:tcPr>
            <w:tcW w:w="4530" w:type="dxa"/>
            <w:tcBorders>
              <w:top w:val="nil"/>
              <w:left w:val="nil"/>
              <w:bottom w:val="nil"/>
              <w:right w:val="nil"/>
            </w:tcBorders>
          </w:tcPr>
          <w:p>
            <w:pPr>
              <w:pStyle w:val="TextslovanvAJ"/>
              <w:widowControl/>
              <w:numPr>
                <w:ilvl w:val="0"/>
                <w:numId w:val="9"/>
              </w:numPr>
              <w:suppressAutoHyphens w:val="true"/>
              <w:ind w:hanging="357" w:left="465" w:right="284"/>
              <w:rPr>
                <w:kern w:val="0"/>
                <w:lang w:bidi="ar-SA"/>
              </w:rPr>
            </w:pPr>
            <w:r>
              <w:rPr>
                <w:kern w:val="0"/>
                <w:lang w:bidi="ar-SA"/>
              </w:rPr>
              <w:t>P_EUR_D: dummy variable for prices within the euro area,</w:t>
            </w:r>
          </w:p>
          <w:p>
            <w:pPr>
              <w:pStyle w:val="TextslovanvAJ"/>
              <w:widowControl/>
              <w:numPr>
                <w:ilvl w:val="0"/>
                <w:numId w:val="9"/>
              </w:numPr>
              <w:suppressAutoHyphens w:val="true"/>
              <w:ind w:hanging="357" w:left="465" w:right="284"/>
              <w:rPr>
                <w:kern w:val="0"/>
                <w:lang w:bidi="ar-SA"/>
              </w:rPr>
            </w:pPr>
            <w:r>
              <w:rPr>
                <w:kern w:val="0"/>
                <w:lang w:bidi="ar-SA"/>
              </w:rPr>
              <w:t>MIN_limit: limit of call minutes,</w:t>
            </w:r>
          </w:p>
          <w:p>
            <w:pPr>
              <w:pStyle w:val="TextslovanvAJ"/>
              <w:widowControl/>
              <w:numPr>
                <w:ilvl w:val="0"/>
                <w:numId w:val="9"/>
              </w:numPr>
              <w:suppressAutoHyphens w:val="true"/>
              <w:ind w:hanging="357" w:left="465" w:right="284"/>
              <w:rPr>
                <w:kern w:val="0"/>
                <w:lang w:bidi="ar-SA"/>
              </w:rPr>
            </w:pPr>
            <w:r>
              <w:rPr>
                <w:kern w:val="0"/>
                <w:lang w:bidi="ar-SA"/>
              </w:rPr>
              <w:t>MIN_nolimit_D: dummy variable for tariffs without call limits,</w:t>
            </w:r>
          </w:p>
          <w:p>
            <w:pPr>
              <w:pStyle w:val="TextslovanvAJ"/>
              <w:widowControl/>
              <w:numPr>
                <w:ilvl w:val="0"/>
                <w:numId w:val="9"/>
              </w:numPr>
              <w:suppressAutoHyphens w:val="true"/>
              <w:ind w:hanging="357" w:left="465" w:right="284"/>
              <w:rPr>
                <w:kern w:val="0"/>
                <w:lang w:bidi="ar-SA"/>
              </w:rPr>
            </w:pPr>
            <w:r>
              <w:rPr>
                <w:kern w:val="0"/>
                <w:lang w:bidi="ar-SA"/>
              </w:rPr>
              <w:t>SMS_limit: limit of SMS messages sent,</w:t>
            </w:r>
          </w:p>
          <w:p>
            <w:pPr>
              <w:pStyle w:val="TextslovanvAJ"/>
              <w:widowControl/>
              <w:numPr>
                <w:ilvl w:val="0"/>
                <w:numId w:val="9"/>
              </w:numPr>
              <w:suppressAutoHyphens w:val="true"/>
              <w:ind w:hanging="357" w:left="465" w:right="284"/>
              <w:rPr>
                <w:kern w:val="0"/>
                <w:lang w:bidi="ar-SA"/>
              </w:rPr>
            </w:pPr>
            <w:r>
              <w:rPr>
                <w:kern w:val="0"/>
                <w:lang w:bidi="ar-SA"/>
              </w:rPr>
              <w:t>SMS_nolimit_D: dummy variable for tariffs without SMS limits,</w:t>
            </w:r>
          </w:p>
          <w:p>
            <w:pPr>
              <w:pStyle w:val="TextslovanvAJ"/>
              <w:widowControl/>
              <w:numPr>
                <w:ilvl w:val="0"/>
                <w:numId w:val="9"/>
              </w:numPr>
              <w:suppressAutoHyphens w:val="true"/>
              <w:ind w:hanging="357" w:left="465" w:right="284"/>
              <w:rPr>
                <w:kern w:val="0"/>
                <w:lang w:bidi="ar-SA"/>
              </w:rPr>
            </w:pPr>
            <w:r>
              <w:rPr>
                <w:kern w:val="0"/>
                <w:lang w:bidi="ar-SA"/>
              </w:rPr>
              <w:t>GB_limit: data allowance,</w:t>
            </w:r>
          </w:p>
          <w:p>
            <w:pPr>
              <w:pStyle w:val="TextslovanvAJ"/>
              <w:widowControl/>
              <w:numPr>
                <w:ilvl w:val="0"/>
                <w:numId w:val="9"/>
              </w:numPr>
              <w:suppressAutoHyphens w:val="true"/>
              <w:ind w:hanging="357" w:left="465" w:right="284"/>
              <w:rPr>
                <w:kern w:val="0"/>
                <w:lang w:bidi="ar-SA"/>
              </w:rPr>
            </w:pPr>
            <w:r>
              <w:rPr>
                <w:kern w:val="0"/>
                <w:lang w:bidi="ar-SA"/>
              </w:rPr>
              <w:t>GB_nolimit_D: dummy variable for tariffs without data limits,</w:t>
            </w:r>
          </w:p>
          <w:p>
            <w:pPr>
              <w:pStyle w:val="TextslovanvAJ"/>
              <w:widowControl/>
              <w:numPr>
                <w:ilvl w:val="0"/>
                <w:numId w:val="9"/>
              </w:numPr>
              <w:suppressAutoHyphens w:val="true"/>
              <w:ind w:hanging="357" w:left="465" w:right="284"/>
              <w:rPr>
                <w:kern w:val="0"/>
                <w:lang w:bidi="ar-SA"/>
              </w:rPr>
            </w:pPr>
            <w:r>
              <w:rPr>
                <w:kern w:val="0"/>
                <w:lang w:bidi="ar-SA"/>
              </w:rPr>
              <w:t>GB_speed_limit: variable for tariffs with speed restrictions on data transmission,</w:t>
            </w:r>
          </w:p>
          <w:p>
            <w:pPr>
              <w:pStyle w:val="TextslovanvAJ"/>
              <w:widowControl/>
              <w:numPr>
                <w:ilvl w:val="0"/>
                <w:numId w:val="9"/>
              </w:numPr>
              <w:suppressAutoHyphens w:val="true"/>
              <w:ind w:hanging="357" w:left="465" w:right="284"/>
              <w:rPr>
                <w:kern w:val="0"/>
                <w:lang w:bidi="ar-SA"/>
              </w:rPr>
            </w:pPr>
            <w:r>
              <w:rPr>
                <w:kern w:val="0"/>
                <w:lang w:bidi="ar-SA"/>
              </w:rPr>
              <w:t>GB_speed_limit_D: dummy variable for tariffs with speed restrictions on data transmission,</w:t>
            </w:r>
          </w:p>
          <w:p>
            <w:pPr>
              <w:pStyle w:val="TextslovanvAJ"/>
              <w:widowControl/>
              <w:numPr>
                <w:ilvl w:val="0"/>
                <w:numId w:val="9"/>
              </w:numPr>
              <w:suppressAutoHyphens w:val="true"/>
              <w:ind w:hanging="357" w:left="465" w:right="284"/>
              <w:rPr>
                <w:kern w:val="0"/>
                <w:lang w:bidi="ar-SA"/>
              </w:rPr>
            </w:pPr>
            <w:r>
              <w:rPr>
                <w:kern w:val="0"/>
                <w:lang w:bidi="ar-SA"/>
              </w:rPr>
              <w:t>GB_afterlimit_speed: post</w:t>
            </w:r>
            <w:r>
              <w:rPr>
                <w:rFonts w:cs="Cambria Math" w:ascii="Cambria Math" w:hAnsi="Cambria Math"/>
                <w:kern w:val="0"/>
                <w:lang w:bidi="ar-SA"/>
              </w:rPr>
              <w:noBreakHyphen/>
            </w:r>
            <w:r>
              <w:rPr>
                <w:kern w:val="0"/>
                <w:lang w:bidi="ar-SA"/>
              </w:rPr>
              <w:t>limit data speed restriction,</w:t>
            </w:r>
          </w:p>
          <w:p>
            <w:pPr>
              <w:pStyle w:val="TextslovanvAJ"/>
              <w:widowControl/>
              <w:numPr>
                <w:ilvl w:val="0"/>
                <w:numId w:val="9"/>
              </w:numPr>
              <w:suppressAutoHyphens w:val="true"/>
              <w:ind w:hanging="357" w:left="465" w:right="284"/>
              <w:rPr>
                <w:kern w:val="0"/>
                <w:lang w:bidi="ar-SA"/>
              </w:rPr>
            </w:pPr>
            <w:r>
              <w:rPr>
                <w:kern w:val="0"/>
                <w:lang w:bidi="ar-SA"/>
              </w:rPr>
              <w:t>Bundle_D: dummy variable for tariffs bundled with another telecommunications service,</w:t>
            </w:r>
          </w:p>
          <w:p>
            <w:pPr>
              <w:pStyle w:val="TextslovanvAJ"/>
              <w:widowControl/>
              <w:numPr>
                <w:ilvl w:val="0"/>
                <w:numId w:val="9"/>
              </w:numPr>
              <w:suppressAutoHyphens w:val="true"/>
              <w:ind w:hanging="357" w:left="465" w:right="284"/>
              <w:rPr>
                <w:kern w:val="0"/>
                <w:lang w:bidi="ar-SA"/>
              </w:rPr>
            </w:pPr>
            <w:r>
              <w:rPr>
                <w:kern w:val="0"/>
                <w:lang w:bidi="ar-SA"/>
              </w:rPr>
              <w:t>Bundle_TVorVOD_D: dummy variable for tariffs bundled with television broadcasting or video</w:t>
            </w:r>
            <w:r>
              <w:rPr>
                <w:rFonts w:cs="Cambria Math" w:ascii="Cambria Math" w:hAnsi="Cambria Math"/>
                <w:kern w:val="0"/>
                <w:lang w:bidi="ar-SA"/>
              </w:rPr>
              <w:noBreakHyphen/>
            </w:r>
            <w:r>
              <w:rPr>
                <w:kern w:val="0"/>
                <w:lang w:bidi="ar-SA"/>
              </w:rPr>
              <w:t>on</w:t>
            </w:r>
            <w:r>
              <w:rPr>
                <w:rFonts w:cs="Cambria Math" w:ascii="Cambria Math" w:hAnsi="Cambria Math"/>
                <w:kern w:val="0"/>
                <w:lang w:bidi="ar-SA"/>
              </w:rPr>
              <w:noBreakHyphen/>
            </w:r>
            <w:r>
              <w:rPr>
                <w:kern w:val="0"/>
                <w:lang w:bidi="ar-SA"/>
              </w:rPr>
              <w:t>demand services,</w:t>
            </w:r>
          </w:p>
          <w:p>
            <w:pPr>
              <w:pStyle w:val="TextslovanvAJ"/>
              <w:widowControl/>
              <w:numPr>
                <w:ilvl w:val="0"/>
                <w:numId w:val="9"/>
              </w:numPr>
              <w:suppressAutoHyphens w:val="true"/>
              <w:ind w:hanging="357" w:left="465" w:right="284"/>
              <w:rPr>
                <w:kern w:val="0"/>
                <w:lang w:bidi="ar-SA"/>
              </w:rPr>
            </w:pPr>
            <w:r>
              <w:rPr>
                <w:kern w:val="0"/>
                <w:lang w:bidi="ar-SA"/>
              </w:rPr>
              <w:t>Data_Speed_Limit: level of the data speed restriction,</w:t>
            </w:r>
          </w:p>
          <w:p>
            <w:pPr>
              <w:pStyle w:val="TextslovanvAJ"/>
              <w:widowControl/>
              <w:numPr>
                <w:ilvl w:val="0"/>
                <w:numId w:val="9"/>
              </w:numPr>
              <w:suppressAutoHyphens w:val="true"/>
              <w:ind w:hanging="357" w:left="465" w:right="284"/>
              <w:rPr>
                <w:kern w:val="0"/>
                <w:lang w:bidi="ar-SA"/>
              </w:rPr>
            </w:pPr>
            <w:r>
              <w:rPr>
                <w:kern w:val="0"/>
                <w:lang w:bidi="ar-SA"/>
              </w:rPr>
              <w:t>Age_discount_18_26_65_D: dummy variable for tariffs conditional on age criteria,</w:t>
            </w:r>
          </w:p>
          <w:p>
            <w:pPr>
              <w:pStyle w:val="TextslovanvAJ"/>
              <w:widowControl/>
              <w:numPr>
                <w:ilvl w:val="0"/>
                <w:numId w:val="9"/>
              </w:numPr>
              <w:suppressAutoHyphens w:val="true"/>
              <w:ind w:hanging="357" w:left="465" w:right="284"/>
              <w:rPr>
                <w:kern w:val="0"/>
                <w:lang w:bidi="ar-SA"/>
              </w:rPr>
            </w:pPr>
            <w:r>
              <w:rPr>
                <w:kern w:val="0"/>
                <w:lang w:bidi="ar-SA"/>
              </w:rPr>
              <w:t>Free_GB_EU_EHS: amount of free data (GB) available within the EU or EEA, and</w:t>
            </w:r>
          </w:p>
          <w:p>
            <w:pPr>
              <w:pStyle w:val="TextslovanvAJ"/>
              <w:widowControl/>
              <w:numPr>
                <w:ilvl w:val="0"/>
                <w:numId w:val="9"/>
              </w:numPr>
              <w:suppressAutoHyphens w:val="true"/>
              <w:spacing w:before="0" w:after="160"/>
              <w:ind w:hanging="357" w:left="465" w:right="284"/>
              <w:contextualSpacing/>
              <w:rPr>
                <w:kern w:val="0"/>
                <w:lang w:bidi="ar-SA"/>
              </w:rPr>
            </w:pPr>
            <w:r>
              <w:rPr>
                <w:kern w:val="0"/>
                <w:lang w:bidi="ar-SA"/>
              </w:rPr>
              <w:t>Czech_rep_D: dummy variable for mobile tariffs offered in the Czech Republic.</w:t>
            </w:r>
          </w:p>
        </w:tc>
      </w:tr>
      <w:tr>
        <w:trPr/>
        <w:tc>
          <w:tcPr>
            <w:tcW w:w="4530" w:type="dxa"/>
            <w:tcBorders>
              <w:top w:val="nil"/>
              <w:left w:val="nil"/>
              <w:bottom w:val="nil"/>
              <w:right w:val="nil"/>
            </w:tcBorders>
          </w:tcPr>
          <w:p>
            <w:pPr>
              <w:pStyle w:val="Textprost"/>
              <w:widowControl/>
              <w:suppressAutoHyphens w:val="true"/>
              <w:spacing w:before="0" w:after="160"/>
              <w:rPr>
                <w:rFonts w:eastAsia="Calibri"/>
              </w:rPr>
            </w:pPr>
            <w:r>
              <w:rPr>
                <w:rFonts w:eastAsia="Calibri"/>
                <w:kern w:val="0"/>
                <w:lang w:val="cs-CZ" w:bidi="ar-SA"/>
              </w:rPr>
              <w:t>Zjištěné ceny v národních měnách přepočítal Úřad oficiálním kurzem České národní banky na české koruny.</w:t>
            </w:r>
            <w:r>
              <w:rPr>
                <w:rStyle w:val="FootnoteReference"/>
                <w:rFonts w:eastAsia="Calibri"/>
                <w:kern w:val="0"/>
                <w:vertAlign w:val="superscript"/>
                <w:lang w:val="cs-CZ" w:bidi="ar-SA"/>
              </w:rPr>
              <w:footnoteReference w:id="122"/>
            </w:r>
            <w:r>
              <w:rPr>
                <w:rFonts w:eastAsia="Calibri"/>
                <w:kern w:val="0"/>
                <w:lang w:val="cs-CZ" w:bidi="ar-SA"/>
              </w:rPr>
              <w:t xml:space="preserve"> Pro účely jednoduchého modelu doplnil ekonometrický odhad ještě počtem mobilních operátorů provozujících vlastní telekomunikační síť a působících v dané zemi,</w:t>
            </w:r>
            <w:r>
              <w:rPr>
                <w:rStyle w:val="FootnoteReference"/>
                <w:rFonts w:eastAsia="Calibri"/>
                <w:kern w:val="0"/>
                <w:vertAlign w:val="superscript"/>
                <w:lang w:val="cs-CZ" w:bidi="ar-SA"/>
              </w:rPr>
              <w:footnoteReference w:id="123"/>
            </w:r>
            <w:r>
              <w:rPr>
                <w:rFonts w:eastAsia="Calibri"/>
                <w:kern w:val="0"/>
                <w:lang w:val="cs-CZ" w:bidi="ar-SA"/>
              </w:rPr>
              <w:t xml:space="preserve"> neboť odborná literatura poukazuje na to, že s rozdílným počtem mobilních operátorů se mění i konkurenční podmínky (Genakos a kol., 2017). Pro zohlednění národní koupěschopnosti domácností využil Úřad údaje EUROSTATu o čistém ročním výdělku pracovníka bez dětí vydělávajícího průměrnou mzdu přepočtenou na základě parity kupní síly v roce 2024 (kód earn_nt_netft).</w:t>
            </w:r>
            <w:r>
              <w:rPr>
                <w:rStyle w:val="FootnoteReference"/>
                <w:rFonts w:eastAsia="Calibri"/>
                <w:kern w:val="0"/>
                <w:vertAlign w:val="superscript"/>
                <w:lang w:val="cs-CZ" w:bidi="ar-SA"/>
              </w:rPr>
              <w:footnoteReference w:id="124"/>
            </w:r>
          </w:p>
        </w:tc>
        <w:tc>
          <w:tcPr>
            <w:tcW w:w="4530" w:type="dxa"/>
            <w:tcBorders>
              <w:top w:val="nil"/>
              <w:left w:val="nil"/>
              <w:bottom w:val="nil"/>
              <w:right w:val="nil"/>
            </w:tcBorders>
          </w:tcPr>
          <w:p>
            <w:pPr>
              <w:pStyle w:val="TextprostvAJ"/>
              <w:widowControl/>
              <w:suppressAutoHyphens w:val="true"/>
              <w:spacing w:before="0" w:after="160"/>
              <w:rPr>
                <w:kern w:val="0"/>
                <w:lang w:bidi="ar-SA"/>
              </w:rPr>
            </w:pPr>
            <w:r>
              <w:rPr>
                <w:kern w:val="0"/>
                <w:lang w:bidi="ar-SA"/>
              </w:rPr>
              <w:t>Prices identified in national currencies were converted by the Office into Czech crowns using the official exchange rate of the Czech National Bank. For the purposes of a simple model, the econometric estimate was further supplemented by the number of mobile operators running their own telecommunications network and operating in the respective country, as the academic literature indicates that competitive conditions vary with the number of mobile operators. To take account of national household purchasing power, the Office used EUROSTAT data on the net annual earnings of an average-wage worker without children, adjusted for purchasing power parity in 2024 (code earn_nt_netft).</w:t>
            </w:r>
          </w:p>
        </w:tc>
      </w:tr>
    </w:tbl>
    <w:p>
      <w:pPr>
        <w:pStyle w:val="Tabulka"/>
        <w:numPr>
          <w:ilvl w:val="0"/>
          <w:numId w:val="3"/>
        </w:numPr>
        <w:ind w:hanging="1560" w:left="1560" w:right="0"/>
        <w:rPr/>
      </w:pPr>
      <w:bookmarkStart w:id="136" w:name="_Toc229057976"/>
      <w:commentRangeStart w:id="24"/>
      <w:r>
        <w:rPr/>
        <w:t>Idealizovaný</w:t>
      </w:r>
      <w:r>
        <w:rPr/>
      </w:r>
      <w:commentRangeEnd w:id="24"/>
      <w:r>
        <w:commentReference w:id="24"/>
      </w:r>
      <w:r>
        <w:rPr/>
        <w:t xml:space="preserve"> model odhadu odchylky českých ceníkových cen mobilních služeb (lineární form</w:t>
      </w:r>
      <w:bookmarkEnd w:id="136"/>
      <w:r>
        <w:rPr/>
        <w:t>a)</w:t>
      </w:r>
    </w:p>
    <w:p>
      <w:pPr>
        <w:pStyle w:val="TabulkavAJ"/>
        <w:ind w:hanging="0" w:left="1560" w:right="0"/>
        <w:rPr/>
      </w:pPr>
      <w:bookmarkStart w:id="137" w:name="_Toc229057952"/>
      <w:bookmarkStart w:id="138" w:name="_Toc229060849"/>
      <w:r>
        <w:rPr/>
        <w:t>Idealised Model for Estimating the Deviation of Czech List Prices for Mobile Services (Linear Form)</w:t>
      </w:r>
      <w:bookmarkEnd w:id="137"/>
      <w:bookmarkEnd w:id="138"/>
    </w:p>
    <w:p>
      <w:pPr>
        <w:pStyle w:val="Textkol"/>
        <w:rPr/>
      </w:pPr>
      <w:r>
        <w:rPr/>
        <w:t>Doplnit příkaz pro tabulku</w:t>
      </w:r>
    </w:p>
    <w:p>
      <w:pPr>
        <w:pStyle w:val="Zdroj"/>
        <w:rPr/>
      </w:pPr>
      <w:r>
        <w:rPr/>
        <w:t>Zdroj/Source: Vlastní odhad Úřadu / Estimation done by the Office.</w:t>
      </w:r>
    </w:p>
    <w:p>
      <w:pPr>
        <w:pStyle w:val="Tabulka"/>
        <w:numPr>
          <w:ilvl w:val="0"/>
          <w:numId w:val="3"/>
        </w:numPr>
        <w:ind w:hanging="1560" w:left="1560" w:right="0"/>
        <w:rPr/>
      </w:pPr>
      <w:bookmarkStart w:id="139" w:name="_Toc229057977"/>
      <w:r>
        <w:rPr/>
        <w:t>Idealizovaný model odhadu odchylky českých ceníkových cen mobilních služeb (log-lineární forma)</w:t>
      </w:r>
      <w:bookmarkEnd w:id="139"/>
    </w:p>
    <w:p>
      <w:pPr>
        <w:pStyle w:val="TabulkavAJ"/>
        <w:ind w:hanging="0" w:left="1560" w:right="0"/>
        <w:rPr/>
      </w:pPr>
      <w:bookmarkStart w:id="140" w:name="_Toc229057953"/>
      <w:bookmarkStart w:id="141" w:name="_Toc229060850"/>
      <w:r>
        <w:rPr/>
        <w:t>Idealised Model for Estimating the Deviation of Czech List Prices for Mobile Services (Log-Linear Form)</w:t>
      </w:r>
      <w:bookmarkEnd w:id="140"/>
      <w:bookmarkEnd w:id="141"/>
    </w:p>
    <w:p>
      <w:pPr>
        <w:pStyle w:val="Textkol"/>
        <w:rPr/>
      </w:pPr>
      <w:r>
        <w:rPr/>
        <w:t>Doplnit příkaz pro tabulku</w:t>
      </w:r>
    </w:p>
    <w:p>
      <w:pPr>
        <w:pStyle w:val="Zdroj"/>
        <w:rPr/>
      </w:pPr>
      <w:r>
        <w:rPr/>
        <w:t>Zdroj/Source: Vlastní odhad Úřadu / Estimation done by the Office.</w:t>
      </w:r>
    </w:p>
    <w:tbl>
      <w:tblPr>
        <w:tblStyle w:val="TableGrid"/>
        <w:tblW w:w="906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30"/>
        <w:gridCol w:w="4530"/>
      </w:tblGrid>
      <w:tr>
        <w:trPr/>
        <w:tc>
          <w:tcPr>
            <w:tcW w:w="4530" w:type="dxa"/>
            <w:tcBorders>
              <w:top w:val="nil"/>
              <w:left w:val="nil"/>
              <w:bottom w:val="nil"/>
              <w:right w:val="nil"/>
            </w:tcBorders>
          </w:tcPr>
          <w:p>
            <w:pPr>
              <w:pStyle w:val="Textprost"/>
              <w:widowControl/>
              <w:suppressAutoHyphens w:val="true"/>
              <w:spacing w:before="0" w:after="160"/>
              <w:rPr>
                <w:kern w:val="0"/>
                <w:lang w:val="cs-CZ" w:bidi="ar-SA"/>
              </w:rPr>
            </w:pPr>
            <w:r>
              <w:rPr>
                <w:rFonts w:eastAsia="Calibri"/>
                <w:kern w:val="0"/>
                <w:lang w:val="cs-CZ" w:bidi="ar-SA"/>
              </w:rPr>
              <w:t>Jednoduchý model byl odhadován v lineární i v log-lineární formě.</w:t>
            </w:r>
            <w:r>
              <w:rPr>
                <w:rStyle w:val="FootnoteReference"/>
                <w:rFonts w:eastAsia="Calibri"/>
                <w:kern w:val="0"/>
                <w:vertAlign w:val="superscript"/>
                <w:lang w:val="cs-CZ" w:bidi="ar-SA"/>
              </w:rPr>
              <w:footnoteReference w:id="125"/>
            </w:r>
            <w:r>
              <w:rPr>
                <w:rFonts w:eastAsia="Calibri"/>
                <w:kern w:val="0"/>
                <w:lang w:val="cs-CZ" w:bidi="ar-SA"/>
              </w:rPr>
              <w:t xml:space="preserve"> Výsledky ekonome-trického odhadu jsou uvedeny v Tabulkách č. XXX a č. XXX. Tyto modely považuje Úřad za příliš zjednodušující z důvodu nedostatečného zachycení faktorů na nabídkové straně a vzhledem k problematickým výsledkům testů předpokladů těchto modelů.</w:t>
            </w:r>
          </w:p>
        </w:tc>
        <w:tc>
          <w:tcPr>
            <w:tcW w:w="4530" w:type="dxa"/>
            <w:tcBorders>
              <w:top w:val="nil"/>
              <w:left w:val="nil"/>
              <w:bottom w:val="nil"/>
              <w:right w:val="nil"/>
            </w:tcBorders>
          </w:tcPr>
          <w:p>
            <w:pPr>
              <w:pStyle w:val="TextprostvAJ"/>
              <w:widowControl/>
              <w:suppressAutoHyphens w:val="true"/>
              <w:spacing w:before="0" w:after="160"/>
              <w:rPr>
                <w:kern w:val="0"/>
                <w:lang w:bidi="ar-SA"/>
              </w:rPr>
            </w:pPr>
            <w:r>
              <w:rPr>
                <w:kern w:val="0"/>
                <w:lang w:bidi="ar-SA"/>
              </w:rPr>
              <w:t>The simple model was estimated in both linear and log</w:t>
            </w:r>
            <w:r>
              <w:rPr>
                <w:rFonts w:cs="Cambria Math" w:ascii="Cambria Math" w:hAnsi="Cambria Math"/>
                <w:kern w:val="0"/>
                <w:lang w:bidi="ar-SA"/>
              </w:rPr>
              <w:noBreakHyphen/>
            </w:r>
            <w:r>
              <w:rPr>
                <w:kern w:val="0"/>
                <w:lang w:bidi="ar-SA"/>
              </w:rPr>
              <w:t>linear form. The results of the econometric estimation are presented in Tables XXX and XXX. The Office considers these models to be overly simplistic due to their insufficient capture of supply</w:t>
            </w:r>
            <w:r>
              <w:rPr>
                <w:rFonts w:cs="Cambria Math" w:ascii="Cambria Math" w:hAnsi="Cambria Math"/>
                <w:kern w:val="0"/>
                <w:lang w:bidi="ar-SA"/>
              </w:rPr>
              <w:noBreakHyphen/>
            </w:r>
            <w:r>
              <w:rPr>
                <w:kern w:val="0"/>
                <w:lang w:bidi="ar-SA"/>
              </w:rPr>
              <w:t>side factors and due to problematic outcomes of the tests of model assumptions.</w:t>
            </w:r>
          </w:p>
        </w:tc>
      </w:tr>
      <w:tr>
        <w:trPr/>
        <w:tc>
          <w:tcPr>
            <w:tcW w:w="4530" w:type="dxa"/>
            <w:tcBorders>
              <w:top w:val="nil"/>
              <w:left w:val="nil"/>
              <w:bottom w:val="nil"/>
              <w:right w:val="nil"/>
            </w:tcBorders>
          </w:tcPr>
          <w:p>
            <w:pPr>
              <w:pStyle w:val="Textprost"/>
              <w:widowControl/>
              <w:suppressAutoHyphens w:val="true"/>
              <w:spacing w:before="0" w:after="160"/>
              <w:rPr>
                <w:kern w:val="0"/>
                <w:lang w:val="cs-CZ" w:bidi="ar-SA"/>
              </w:rPr>
            </w:pPr>
            <w:r>
              <w:rPr>
                <w:rFonts w:eastAsia="Calibri"/>
                <w:kern w:val="0"/>
                <w:lang w:val="cs-CZ" w:bidi="ar-SA"/>
              </w:rPr>
              <w:t>Z tohoto důvodu Úřad dále doplnil tyto vysvětlující proměnné:</w:t>
            </w:r>
          </w:p>
        </w:tc>
        <w:tc>
          <w:tcPr>
            <w:tcW w:w="4530" w:type="dxa"/>
            <w:tcBorders>
              <w:top w:val="nil"/>
              <w:left w:val="nil"/>
              <w:bottom w:val="nil"/>
              <w:right w:val="nil"/>
            </w:tcBorders>
          </w:tcPr>
          <w:p>
            <w:pPr>
              <w:pStyle w:val="TextprostvAJ"/>
              <w:widowControl/>
              <w:suppressAutoHyphens w:val="true"/>
              <w:spacing w:before="0" w:after="160"/>
              <w:rPr>
                <w:kern w:val="0"/>
                <w:lang w:bidi="ar-SA"/>
              </w:rPr>
            </w:pPr>
            <w:r>
              <w:rPr>
                <w:kern w:val="0"/>
                <w:lang w:bidi="ar-SA"/>
              </w:rPr>
              <w:t>The Office subsequently supplemented the model with the following explanatory variables:</w:t>
            </w:r>
          </w:p>
        </w:tc>
      </w:tr>
      <w:tr>
        <w:trPr/>
        <w:tc>
          <w:tcPr>
            <w:tcW w:w="4530" w:type="dxa"/>
            <w:tcBorders>
              <w:top w:val="nil"/>
              <w:left w:val="nil"/>
              <w:bottom w:val="nil"/>
              <w:right w:val="nil"/>
            </w:tcBorders>
          </w:tcPr>
          <w:p>
            <w:pPr>
              <w:pStyle w:val="Textslovan"/>
              <w:widowControl/>
              <w:numPr>
                <w:ilvl w:val="0"/>
                <w:numId w:val="53"/>
              </w:numPr>
              <w:suppressAutoHyphens w:val="true"/>
              <w:ind w:hanging="357" w:left="453" w:right="0"/>
              <w:rPr>
                <w:kern w:val="0"/>
                <w:lang w:val="cs-CZ" w:bidi="ar-SA"/>
              </w:rPr>
            </w:pPr>
            <w:r>
              <w:rPr>
                <w:kern w:val="0"/>
                <w:lang w:val="cs-CZ" w:bidi="ar-SA"/>
              </w:rPr>
              <w:t>Mobile_subscriptions_per_100_x: počet odběratelů mobilních telekomunikačních služeb na 100 obyvatel v daném státě pro zachycení možného efektu penetrace telekomunikačních služeb,</w:t>
            </w:r>
          </w:p>
          <w:p>
            <w:pPr>
              <w:pStyle w:val="Textslovan"/>
              <w:widowControl/>
              <w:numPr>
                <w:ilvl w:val="0"/>
                <w:numId w:val="8"/>
              </w:numPr>
              <w:suppressAutoHyphens w:val="true"/>
              <w:ind w:hanging="357" w:left="456" w:right="0"/>
              <w:rPr>
                <w:kern w:val="0"/>
                <w:lang w:val="cs-CZ" w:bidi="ar-SA"/>
              </w:rPr>
            </w:pPr>
            <w:r>
              <w:rPr>
                <w:kern w:val="0"/>
                <w:lang w:val="cs-CZ" w:bidi="ar-SA"/>
              </w:rPr>
              <w:t>Fixed_telephone_per_100: počet odběratelů fixních telefonních služeb na 100 obyvatel v daném státě pro alternativní zachycení možného efektu penetrace telekomunikačních služeb s důrazem na tradiční službu,</w:t>
            </w:r>
          </w:p>
          <w:p>
            <w:pPr>
              <w:pStyle w:val="Textslovan"/>
              <w:widowControl/>
              <w:numPr>
                <w:ilvl w:val="0"/>
                <w:numId w:val="8"/>
              </w:numPr>
              <w:suppressAutoHyphens w:val="true"/>
              <w:ind w:hanging="357" w:left="456" w:right="0"/>
              <w:rPr>
                <w:kern w:val="0"/>
                <w:lang w:val="cs-CZ" w:bidi="ar-SA"/>
              </w:rPr>
            </w:pPr>
            <w:r>
              <w:rPr>
                <w:kern w:val="0"/>
                <w:lang w:val="cs-CZ" w:bidi="ar-SA"/>
              </w:rPr>
              <w:t>Pop_covered_4G_pct: procento populace daného státu pokryté sítí čtvrté generace pro zachycení možného nákladového efektu spojeného s budováním sítě této generace,</w:t>
            </w:r>
          </w:p>
          <w:p>
            <w:pPr>
              <w:pStyle w:val="Textslovan"/>
              <w:widowControl/>
              <w:numPr>
                <w:ilvl w:val="0"/>
                <w:numId w:val="8"/>
              </w:numPr>
              <w:suppressAutoHyphens w:val="true"/>
              <w:ind w:hanging="357" w:left="456" w:right="0"/>
              <w:rPr>
                <w:kern w:val="0"/>
                <w:lang w:val="cs-CZ" w:bidi="ar-SA"/>
              </w:rPr>
            </w:pPr>
            <w:r>
              <w:rPr>
                <w:kern w:val="0"/>
                <w:lang w:val="cs-CZ" w:bidi="ar-SA"/>
              </w:rPr>
              <w:t>Pop_covered_3G_pct: procento populace daného státu pokryté sítí třetí generace pro zachycení možného nákladového efektu spojeného s budováním sítě této generace,</w:t>
            </w:r>
          </w:p>
          <w:p>
            <w:pPr>
              <w:pStyle w:val="Textslovan"/>
              <w:widowControl/>
              <w:numPr>
                <w:ilvl w:val="0"/>
                <w:numId w:val="8"/>
              </w:numPr>
              <w:suppressAutoHyphens w:val="true"/>
              <w:ind w:hanging="357" w:left="456" w:right="0"/>
              <w:rPr>
                <w:kern w:val="0"/>
                <w:lang w:val="cs-CZ" w:bidi="ar-SA"/>
              </w:rPr>
            </w:pPr>
            <w:r>
              <w:rPr>
                <w:kern w:val="0"/>
                <w:lang w:val="cs-CZ" w:bidi="ar-SA"/>
              </w:rPr>
              <w:t>Pop_covered_2G_pct: procento populace daného státu pokryté sítí druhé generace pro zachycení možného nákladového efektu spojeného s budováním sítě této generace,</w:t>
            </w:r>
          </w:p>
          <w:p>
            <w:pPr>
              <w:pStyle w:val="Textslovan"/>
              <w:widowControl/>
              <w:numPr>
                <w:ilvl w:val="0"/>
                <w:numId w:val="8"/>
              </w:numPr>
              <w:suppressAutoHyphens w:val="true"/>
              <w:ind w:hanging="357" w:left="456" w:right="0"/>
              <w:rPr>
                <w:kern w:val="0"/>
                <w:lang w:val="cs-CZ" w:bidi="ar-SA"/>
              </w:rPr>
            </w:pPr>
            <w:r>
              <w:rPr>
                <w:kern w:val="0"/>
                <w:lang w:val="cs-CZ" w:bidi="ar-SA"/>
              </w:rPr>
              <w:t>Real_exp_ppp: roční reálné výdaje per capita v paritě kupní síly sledované EUROSTATem pro zachycení efektu reálné kupní síly, protože představují komplexnější ukazatel materiálního blahobytu než údaje o ročním čistém výdělku. Výdaje per capita lépe odrážejí skutečnou spotřební kapacitu domácností, zahrnují širší spektrum zdrojů příjmů a nejsou tak citlivé na rozdíly v daňových systémech, struktuře domácností ani specifických složkách odměňování. Díky tomu poskytují srovnatelnější a stabilnější základ pro mezinárodní analýzu,</w:t>
            </w:r>
          </w:p>
          <w:p>
            <w:pPr>
              <w:pStyle w:val="Textslovan"/>
              <w:widowControl/>
              <w:numPr>
                <w:ilvl w:val="0"/>
                <w:numId w:val="8"/>
              </w:numPr>
              <w:suppressAutoHyphens w:val="true"/>
              <w:ind w:hanging="357" w:left="456" w:right="0"/>
              <w:rPr>
                <w:kern w:val="0"/>
                <w:lang w:val="cs-CZ" w:bidi="ar-SA"/>
              </w:rPr>
            </w:pPr>
            <w:r>
              <w:rPr>
                <w:kern w:val="0"/>
                <w:lang w:val="cs-CZ" w:bidi="ar-SA"/>
              </w:rPr>
              <w:t>Passenger_km_by_road: ujeté kilometry cestujících po silnicích pro zachycení možného nákladového efektu obtížnosti pokrytí území v daném státě,</w:t>
            </w:r>
            <w:r>
              <w:rPr>
                <w:rStyle w:val="FootnoteReference"/>
                <w:kern w:val="0"/>
                <w:vertAlign w:val="superscript"/>
                <w:lang w:val="cs-CZ" w:bidi="ar-SA"/>
              </w:rPr>
              <w:footnoteReference w:id="126"/>
            </w:r>
          </w:p>
          <w:p>
            <w:pPr>
              <w:pStyle w:val="Textslovan"/>
              <w:widowControl/>
              <w:numPr>
                <w:ilvl w:val="0"/>
                <w:numId w:val="8"/>
              </w:numPr>
              <w:suppressAutoHyphens w:val="true"/>
              <w:ind w:hanging="357" w:left="456" w:right="0"/>
              <w:rPr>
                <w:kern w:val="0"/>
                <w:lang w:val="cs-CZ" w:bidi="ar-SA"/>
              </w:rPr>
            </w:pPr>
            <w:r>
              <w:rPr>
                <w:kern w:val="0"/>
                <w:lang w:val="cs-CZ" w:bidi="ar-SA"/>
              </w:rPr>
              <w:t>Internet_users_pct: procento populace využívající internet pro zachycení možného efektu rozšíření služby v populaci,</w:t>
            </w:r>
          </w:p>
          <w:p>
            <w:pPr>
              <w:pStyle w:val="Textslovan"/>
              <w:widowControl/>
              <w:numPr>
                <w:ilvl w:val="0"/>
                <w:numId w:val="8"/>
              </w:numPr>
              <w:suppressAutoHyphens w:val="true"/>
              <w:ind w:hanging="357" w:left="456" w:right="0"/>
              <w:rPr>
                <w:kern w:val="0"/>
                <w:lang w:val="cs-CZ" w:bidi="ar-SA"/>
              </w:rPr>
            </w:pPr>
            <w:r>
              <w:rPr>
                <w:kern w:val="0"/>
                <w:lang w:val="cs-CZ" w:bidi="ar-SA"/>
              </w:rPr>
              <w:t>Population_in_cities_pct: podíl populace žijící ve městech pro zachycení možného efektu snadnosti pokrytí populace státu mobilní sítí,</w:t>
            </w:r>
          </w:p>
          <w:p>
            <w:pPr>
              <w:pStyle w:val="Textslovan"/>
              <w:widowControl/>
              <w:numPr>
                <w:ilvl w:val="0"/>
                <w:numId w:val="8"/>
              </w:numPr>
              <w:suppressAutoHyphens w:val="true"/>
              <w:ind w:hanging="357" w:left="456" w:right="0"/>
              <w:rPr>
                <w:kern w:val="0"/>
                <w:lang w:val="cs-CZ" w:bidi="ar-SA"/>
              </w:rPr>
            </w:pPr>
            <w:r>
              <w:rPr>
                <w:kern w:val="0"/>
                <w:lang w:val="cs-CZ" w:bidi="ar-SA"/>
              </w:rPr>
              <w:t>Population_in_towns_pct: podíl populace žijící v městysech pro zachycení možného efektu snadnosti pokrytí populace státu mobilní sítí,</w:t>
            </w:r>
          </w:p>
          <w:p>
            <w:pPr>
              <w:pStyle w:val="Textslovan"/>
              <w:widowControl/>
              <w:numPr>
                <w:ilvl w:val="0"/>
                <w:numId w:val="8"/>
              </w:numPr>
              <w:suppressAutoHyphens w:val="true"/>
              <w:ind w:hanging="357" w:left="456" w:right="0"/>
              <w:rPr>
                <w:kern w:val="0"/>
                <w:lang w:val="cs-CZ" w:bidi="ar-SA"/>
              </w:rPr>
            </w:pPr>
            <w:r>
              <w:rPr>
                <w:kern w:val="0"/>
                <w:lang w:val="cs-CZ" w:bidi="ar-SA"/>
              </w:rPr>
              <w:t>Population_in_villages_pct: podíl populace žijící ve vesnicích pro zachycení možného nákladového efektu pokrytí populace státu mobilní sítí,</w:t>
            </w:r>
          </w:p>
          <w:p>
            <w:pPr>
              <w:pStyle w:val="Textslovan"/>
              <w:widowControl/>
              <w:numPr>
                <w:ilvl w:val="0"/>
                <w:numId w:val="8"/>
              </w:numPr>
              <w:suppressAutoHyphens w:val="true"/>
              <w:ind w:hanging="357" w:left="456" w:right="0"/>
              <w:rPr>
                <w:kern w:val="0"/>
                <w:lang w:val="cs-CZ" w:bidi="ar-SA"/>
              </w:rPr>
            </w:pPr>
            <w:r>
              <w:rPr>
                <w:kern w:val="0"/>
                <w:lang w:val="cs-CZ" w:bidi="ar-SA"/>
              </w:rPr>
              <w:t>pro zachycení možného nákladového efektu spojeného s investicemi do budoucího rozvoje mobilních sítí v důsledku predikované změny hustoty populace byly obdobně použity i proměnné predikovaného podílu populace ve městech, městysech a vesnicích,</w:t>
            </w:r>
          </w:p>
          <w:p>
            <w:pPr>
              <w:pStyle w:val="Textslovan"/>
              <w:widowControl/>
              <w:numPr>
                <w:ilvl w:val="0"/>
                <w:numId w:val="8"/>
              </w:numPr>
              <w:suppressAutoHyphens w:val="true"/>
              <w:ind w:hanging="357" w:left="456" w:right="0"/>
              <w:rPr>
                <w:kern w:val="0"/>
                <w:lang w:val="cs-CZ" w:bidi="ar-SA"/>
              </w:rPr>
            </w:pPr>
            <w:r>
              <w:rPr>
                <w:kern w:val="0"/>
                <w:lang w:val="cs-CZ" w:bidi="ar-SA"/>
              </w:rPr>
              <w:t>obdobně byly využity podíly populace žijící v urbanizovaných nebo venkovských oblastech,</w:t>
            </w:r>
          </w:p>
          <w:p>
            <w:pPr>
              <w:pStyle w:val="Textslovan"/>
              <w:widowControl/>
              <w:numPr>
                <w:ilvl w:val="0"/>
                <w:numId w:val="8"/>
              </w:numPr>
              <w:suppressAutoHyphens w:val="true"/>
              <w:ind w:hanging="357" w:left="456" w:right="0"/>
              <w:rPr>
                <w:kern w:val="0"/>
                <w:lang w:val="cs-CZ" w:bidi="ar-SA"/>
              </w:rPr>
            </w:pPr>
            <w:r>
              <w:rPr>
                <w:kern w:val="0"/>
                <w:lang w:val="cs-CZ" w:bidi="ar-SA"/>
              </w:rPr>
              <w:t>Mobile_ownership_pct: procento populace vlastnící mobilní telefon pro zachycení efektu rozšíření služeb v populaci a</w:t>
            </w:r>
          </w:p>
          <w:p>
            <w:pPr>
              <w:pStyle w:val="Textslovan"/>
              <w:widowControl/>
              <w:numPr>
                <w:ilvl w:val="0"/>
                <w:numId w:val="8"/>
              </w:numPr>
              <w:suppressAutoHyphens w:val="true"/>
              <w:spacing w:before="0" w:after="160"/>
              <w:ind w:hanging="357" w:left="456" w:right="0"/>
              <w:contextualSpacing/>
              <w:rPr>
                <w:kern w:val="0"/>
                <w:lang w:val="cs-CZ" w:bidi="ar-SA"/>
              </w:rPr>
            </w:pPr>
            <w:r>
              <w:rPr>
                <w:kern w:val="0"/>
                <w:lang w:val="cs-CZ" w:bidi="ar-SA"/>
              </w:rPr>
              <w:t>Terrain_Ruggedness_Index: index odrážející geografickou členitost terénu pro zachycení možného nákladového efektu spojeného s výstavbou a provozováním mobilních sítí.</w:t>
            </w:r>
          </w:p>
        </w:tc>
        <w:tc>
          <w:tcPr>
            <w:tcW w:w="4530" w:type="dxa"/>
            <w:tcBorders>
              <w:top w:val="nil"/>
              <w:left w:val="nil"/>
              <w:bottom w:val="nil"/>
              <w:right w:val="nil"/>
            </w:tcBorders>
          </w:tcPr>
          <w:p>
            <w:pPr>
              <w:pStyle w:val="TextslovanvAJ"/>
              <w:widowControl/>
              <w:numPr>
                <w:ilvl w:val="0"/>
                <w:numId w:val="54"/>
              </w:numPr>
              <w:suppressAutoHyphens w:val="true"/>
              <w:ind w:hanging="357" w:left="453" w:right="284"/>
              <w:rPr>
                <w:kern w:val="0"/>
                <w:lang w:bidi="ar-SA"/>
              </w:rPr>
            </w:pPr>
            <w:r>
              <w:rPr>
                <w:kern w:val="0"/>
                <w:lang w:bidi="ar-SA"/>
              </w:rPr>
              <w:t>Mobile_subscriptions_per_100_x: number of mobile telecommunications service subscribers per 100 inhabitants in the given country, to capture the potential effect of telecommunications service penetration,</w:t>
            </w:r>
          </w:p>
          <w:p>
            <w:pPr>
              <w:pStyle w:val="TextslovanvAJ"/>
              <w:widowControl/>
              <w:numPr>
                <w:ilvl w:val="0"/>
                <w:numId w:val="9"/>
              </w:numPr>
              <w:suppressAutoHyphens w:val="true"/>
              <w:ind w:hanging="357" w:left="465" w:right="284"/>
              <w:rPr>
                <w:kern w:val="0"/>
                <w:lang w:bidi="ar-SA"/>
              </w:rPr>
            </w:pPr>
            <w:r>
              <w:rPr>
                <w:kern w:val="0"/>
                <w:lang w:bidi="ar-SA"/>
              </w:rPr>
              <w:t>Fixed_telephone_per_100: number of fixed</w:t>
            </w:r>
            <w:r>
              <w:rPr>
                <w:rFonts w:cs="Cambria Math" w:ascii="Cambria Math" w:hAnsi="Cambria Math"/>
                <w:kern w:val="0"/>
                <w:lang w:bidi="ar-SA"/>
              </w:rPr>
              <w:noBreakHyphen/>
            </w:r>
            <w:r>
              <w:rPr>
                <w:kern w:val="0"/>
                <w:lang w:bidi="ar-SA"/>
              </w:rPr>
              <w:t>line telephone service subscribers per 100 inhabitants in the given country, as an alternative indicator of telecommu-nications service penetration with emphasis on the traditional service,</w:t>
            </w:r>
          </w:p>
          <w:p>
            <w:pPr>
              <w:pStyle w:val="TextslovanvAJ"/>
              <w:widowControl/>
              <w:numPr>
                <w:ilvl w:val="0"/>
                <w:numId w:val="9"/>
              </w:numPr>
              <w:suppressAutoHyphens w:val="true"/>
              <w:ind w:hanging="357" w:left="465" w:right="284"/>
              <w:rPr>
                <w:kern w:val="0"/>
                <w:lang w:bidi="ar-SA"/>
              </w:rPr>
            </w:pPr>
            <w:r>
              <w:rPr>
                <w:kern w:val="0"/>
                <w:lang w:bidi="ar-SA"/>
              </w:rPr>
              <w:t>Pop_covered_4G_pct: percentage of the population covered by a fourth</w:t>
            </w:r>
            <w:r>
              <w:rPr>
                <w:rFonts w:cs="Cambria Math" w:ascii="Cambria Math" w:hAnsi="Cambria Math"/>
                <w:kern w:val="0"/>
                <w:lang w:bidi="ar-SA"/>
              </w:rPr>
              <w:noBreakHyphen/>
            </w:r>
            <w:r>
              <w:rPr>
                <w:kern w:val="0"/>
                <w:lang w:bidi="ar-SA"/>
              </w:rPr>
              <w:t>generation network, to capture potential cost effects associated with building such a network,</w:t>
            </w:r>
          </w:p>
          <w:p>
            <w:pPr>
              <w:pStyle w:val="TextslovanvAJ"/>
              <w:widowControl/>
              <w:numPr>
                <w:ilvl w:val="0"/>
                <w:numId w:val="9"/>
              </w:numPr>
              <w:suppressAutoHyphens w:val="true"/>
              <w:ind w:hanging="357" w:left="465" w:right="284"/>
              <w:rPr>
                <w:kern w:val="0"/>
                <w:lang w:bidi="ar-SA"/>
              </w:rPr>
            </w:pPr>
            <w:r>
              <w:rPr>
                <w:kern w:val="0"/>
                <w:lang w:bidi="ar-SA"/>
              </w:rPr>
              <w:t>Pop_covered_3G_pct: percentage of the population covered by a third</w:t>
            </w:r>
            <w:r>
              <w:rPr>
                <w:rFonts w:cs="Cambria Math" w:ascii="Cambria Math" w:hAnsi="Cambria Math"/>
                <w:kern w:val="0"/>
                <w:lang w:bidi="ar-SA"/>
              </w:rPr>
              <w:noBreakHyphen/>
            </w:r>
            <w:r>
              <w:rPr>
                <w:kern w:val="0"/>
                <w:lang w:bidi="ar-SA"/>
              </w:rPr>
              <w:t>generation network, to capture potential cost effects associated with building such a network,</w:t>
            </w:r>
          </w:p>
          <w:p>
            <w:pPr>
              <w:pStyle w:val="TextslovanvAJ"/>
              <w:widowControl/>
              <w:numPr>
                <w:ilvl w:val="0"/>
                <w:numId w:val="9"/>
              </w:numPr>
              <w:suppressAutoHyphens w:val="true"/>
              <w:ind w:hanging="357" w:left="465" w:right="284"/>
              <w:rPr>
                <w:kern w:val="0"/>
                <w:lang w:bidi="ar-SA"/>
              </w:rPr>
            </w:pPr>
            <w:r>
              <w:rPr>
                <w:kern w:val="0"/>
                <w:lang w:bidi="ar-SA"/>
              </w:rPr>
              <w:t>Pop_covered_2G_pct: percentage of the population covered by a second</w:t>
            </w:r>
            <w:r>
              <w:rPr>
                <w:rFonts w:cs="Cambria Math" w:ascii="Cambria Math" w:hAnsi="Cambria Math"/>
                <w:kern w:val="0"/>
                <w:lang w:bidi="ar-SA"/>
              </w:rPr>
              <w:noBreakHyphen/>
            </w:r>
            <w:r>
              <w:rPr>
                <w:kern w:val="0"/>
                <w:lang w:bidi="ar-SA"/>
              </w:rPr>
              <w:t>generation network, to capture potential cost effects associated with building such a network,</w:t>
            </w:r>
          </w:p>
          <w:p>
            <w:pPr>
              <w:pStyle w:val="TextslovanvAJ"/>
              <w:widowControl/>
              <w:numPr>
                <w:ilvl w:val="0"/>
                <w:numId w:val="9"/>
              </w:numPr>
              <w:suppressAutoHyphens w:val="true"/>
              <w:ind w:hanging="357" w:left="465" w:right="284"/>
              <w:rPr>
                <w:kern w:val="0"/>
                <w:lang w:bidi="ar-SA"/>
              </w:rPr>
            </w:pPr>
            <w:r>
              <w:rPr>
                <w:kern w:val="0"/>
                <w:lang w:bidi="ar-SA"/>
              </w:rPr>
              <w:t>Real_exp_ppp: annual real expenditure per capita in purchasing power parity, as monitored by EUROSTAT, to capture the effect of real purchasing power. This indicator represents a more comprehensive measure of material welfare than net annual earnings, as per</w:t>
            </w:r>
            <w:r>
              <w:rPr>
                <w:rFonts w:cs="Cambria Math" w:ascii="Cambria Math" w:hAnsi="Cambria Math"/>
                <w:kern w:val="0"/>
                <w:lang w:bidi="ar-SA"/>
              </w:rPr>
              <w:noBreakHyphen/>
            </w:r>
            <w:r>
              <w:rPr>
                <w:kern w:val="0"/>
                <w:lang w:bidi="ar-SA"/>
              </w:rPr>
              <w:t>capita expenditure better reflects the actual consumption capacity of households, incorporates a wider range of income sources, and is less sensitive to differences in tax systems, household structures, or specific remuneration components. It therefore provides a more comparable and stable basis for international analysis,</w:t>
            </w:r>
          </w:p>
          <w:p>
            <w:pPr>
              <w:pStyle w:val="TextslovanvAJ"/>
              <w:widowControl/>
              <w:numPr>
                <w:ilvl w:val="0"/>
                <w:numId w:val="9"/>
              </w:numPr>
              <w:suppressAutoHyphens w:val="true"/>
              <w:ind w:hanging="357" w:left="465" w:right="284"/>
              <w:rPr>
                <w:kern w:val="0"/>
                <w:lang w:bidi="ar-SA"/>
              </w:rPr>
            </w:pPr>
            <w:r>
              <w:rPr>
                <w:kern w:val="0"/>
                <w:lang w:bidi="ar-SA"/>
              </w:rPr>
              <w:t>Passenger_km_by_road: passenger</w:t>
            </w:r>
            <w:r>
              <w:rPr>
                <w:rFonts w:cs="Cambria Math" w:ascii="Cambria Math" w:hAnsi="Cambria Math"/>
                <w:kern w:val="0"/>
                <w:lang w:bidi="ar-SA"/>
              </w:rPr>
              <w:noBreakHyphen/>
            </w:r>
            <w:r>
              <w:rPr>
                <w:kern w:val="0"/>
                <w:lang w:bidi="ar-SA"/>
              </w:rPr>
              <w:t>kilometres travelled by road, to capture potential cost effects associated with the difficulty of territorial coverage in the given country,</w:t>
            </w:r>
          </w:p>
          <w:p>
            <w:pPr>
              <w:pStyle w:val="TextslovanvAJ"/>
              <w:widowControl/>
              <w:numPr>
                <w:ilvl w:val="0"/>
                <w:numId w:val="9"/>
              </w:numPr>
              <w:suppressAutoHyphens w:val="true"/>
              <w:ind w:hanging="357" w:left="465" w:right="284"/>
              <w:rPr>
                <w:kern w:val="0"/>
                <w:lang w:bidi="ar-SA"/>
              </w:rPr>
            </w:pPr>
            <w:r>
              <w:rPr>
                <w:kern w:val="0"/>
                <w:lang w:bidi="ar-SA"/>
              </w:rPr>
              <w:t>Internet_users_pct: percentage of the population using the internet, to capture the potential effect of service diffusion within the population,</w:t>
            </w:r>
          </w:p>
          <w:p>
            <w:pPr>
              <w:pStyle w:val="TextslovanvAJ"/>
              <w:widowControl/>
              <w:numPr>
                <w:ilvl w:val="0"/>
                <w:numId w:val="9"/>
              </w:numPr>
              <w:suppressAutoHyphens w:val="true"/>
              <w:ind w:hanging="357" w:left="465" w:right="284"/>
              <w:rPr>
                <w:kern w:val="0"/>
                <w:lang w:bidi="ar-SA"/>
              </w:rPr>
            </w:pPr>
            <w:r>
              <w:rPr>
                <w:kern w:val="0"/>
                <w:lang w:bidi="ar-SA"/>
              </w:rPr>
              <w:t>Population_in_cities_pct: share of the population living in cities, to capture the potential effect of the ease of covering the population with a mobile network,</w:t>
            </w:r>
          </w:p>
          <w:p>
            <w:pPr>
              <w:pStyle w:val="TextslovanvAJ"/>
              <w:widowControl/>
              <w:numPr>
                <w:ilvl w:val="0"/>
                <w:numId w:val="9"/>
              </w:numPr>
              <w:suppressAutoHyphens w:val="true"/>
              <w:ind w:hanging="357" w:left="465" w:right="284"/>
              <w:rPr>
                <w:kern w:val="0"/>
                <w:lang w:bidi="ar-SA"/>
              </w:rPr>
            </w:pPr>
            <w:r>
              <w:rPr>
                <w:kern w:val="0"/>
                <w:lang w:bidi="ar-SA"/>
              </w:rPr>
              <w:t>Population_in_towns_pct: share of the population living in towns, to capture the potential effect of the ease of covering the population with a mobile network,</w:t>
            </w:r>
          </w:p>
          <w:p>
            <w:pPr>
              <w:pStyle w:val="TextslovanvAJ"/>
              <w:widowControl/>
              <w:numPr>
                <w:ilvl w:val="0"/>
                <w:numId w:val="9"/>
              </w:numPr>
              <w:suppressAutoHyphens w:val="true"/>
              <w:ind w:hanging="357" w:left="465" w:right="284"/>
              <w:rPr>
                <w:kern w:val="0"/>
                <w:lang w:bidi="ar-SA"/>
              </w:rPr>
            </w:pPr>
            <w:r>
              <w:rPr>
                <w:kern w:val="0"/>
                <w:lang w:bidi="ar-SA"/>
              </w:rPr>
              <w:t>Population_in_villages_pct: share of the population living in villages, to capture the potential cost effect of covering the population with a mobile network,</w:t>
            </w:r>
          </w:p>
          <w:p>
            <w:pPr>
              <w:pStyle w:val="TextslovanvAJ"/>
              <w:widowControl/>
              <w:numPr>
                <w:ilvl w:val="0"/>
                <w:numId w:val="9"/>
              </w:numPr>
              <w:suppressAutoHyphens w:val="true"/>
              <w:ind w:hanging="357" w:left="465" w:right="284"/>
              <w:rPr>
                <w:kern w:val="0"/>
                <w:lang w:bidi="ar-SA"/>
              </w:rPr>
            </w:pPr>
            <w:r>
              <w:rPr>
                <w:kern w:val="0"/>
                <w:lang w:bidi="ar-SA"/>
              </w:rPr>
              <w:t>Predicted shares of the population in cities, towns and villages were likewise used to capture potential cost effects related to investments in the future development of mobile networks, driven by forecast changes in population density,</w:t>
            </w:r>
          </w:p>
          <w:p>
            <w:pPr>
              <w:pStyle w:val="TextslovanvAJ"/>
              <w:widowControl/>
              <w:numPr>
                <w:ilvl w:val="0"/>
                <w:numId w:val="9"/>
              </w:numPr>
              <w:suppressAutoHyphens w:val="true"/>
              <w:ind w:hanging="357" w:left="465" w:right="284"/>
              <w:rPr>
                <w:kern w:val="0"/>
                <w:lang w:bidi="ar-SA"/>
              </w:rPr>
            </w:pPr>
            <w:r>
              <w:rPr>
                <w:kern w:val="0"/>
                <w:lang w:bidi="ar-SA"/>
              </w:rPr>
              <w:t>Similarly, the shares of the population living in urbanised or rural areas were included,</w:t>
            </w:r>
          </w:p>
          <w:p>
            <w:pPr>
              <w:pStyle w:val="TextslovanvAJ"/>
              <w:widowControl/>
              <w:numPr>
                <w:ilvl w:val="0"/>
                <w:numId w:val="9"/>
              </w:numPr>
              <w:suppressAutoHyphens w:val="true"/>
              <w:ind w:hanging="357" w:left="465" w:right="284"/>
              <w:rPr>
                <w:kern w:val="0"/>
                <w:lang w:bidi="ar-SA"/>
              </w:rPr>
            </w:pPr>
            <w:r>
              <w:rPr>
                <w:kern w:val="0"/>
                <w:lang w:bidi="ar-SA"/>
              </w:rPr>
              <w:t>Mobile_ownership_pct: percentage of the population owning a mobile phone, to capture the effect of service diffusion within the population, and</w:t>
            </w:r>
          </w:p>
          <w:p>
            <w:pPr>
              <w:pStyle w:val="TextslovanvAJ"/>
              <w:widowControl/>
              <w:numPr>
                <w:ilvl w:val="0"/>
                <w:numId w:val="9"/>
              </w:numPr>
              <w:suppressAutoHyphens w:val="true"/>
              <w:spacing w:before="0" w:after="160"/>
              <w:ind w:hanging="357" w:left="465" w:right="284"/>
              <w:contextualSpacing/>
              <w:rPr>
                <w:kern w:val="0"/>
                <w:lang w:bidi="ar-SA"/>
              </w:rPr>
            </w:pPr>
            <w:r>
              <w:rPr>
                <w:kern w:val="0"/>
                <w:lang w:bidi="ar-SA"/>
              </w:rPr>
              <w:t>Terrain_Ruggedness_Index: an index reflecting the geographical ruggedness of terrain, to capture potential cost effects associated with the construction and operation of mobile networks.</w:t>
            </w:r>
          </w:p>
        </w:tc>
      </w:tr>
      <w:tr>
        <w:trPr/>
        <w:tc>
          <w:tcPr>
            <w:tcW w:w="4530" w:type="dxa"/>
            <w:tcBorders>
              <w:top w:val="nil"/>
              <w:left w:val="nil"/>
              <w:bottom w:val="nil"/>
              <w:right w:val="nil"/>
            </w:tcBorders>
          </w:tcPr>
          <w:p>
            <w:pPr>
              <w:pStyle w:val="Textprost"/>
              <w:widowControl/>
              <w:suppressAutoHyphens w:val="true"/>
              <w:spacing w:before="0" w:after="160"/>
              <w:rPr>
                <w:kern w:val="0"/>
                <w:lang w:val="cs-CZ" w:bidi="ar-SA"/>
              </w:rPr>
            </w:pPr>
            <w:r>
              <w:rPr>
                <w:kern w:val="0"/>
                <w:lang w:val="cs-CZ" w:bidi="ar-SA"/>
              </w:rPr>
              <w:t>Výsledky finálního modelu předběžného zkoumání představuje Tabulka č. XX.</w:t>
            </w:r>
          </w:p>
        </w:tc>
        <w:tc>
          <w:tcPr>
            <w:tcW w:w="4530" w:type="dxa"/>
            <w:tcBorders>
              <w:top w:val="nil"/>
              <w:left w:val="nil"/>
              <w:bottom w:val="nil"/>
              <w:right w:val="nil"/>
            </w:tcBorders>
          </w:tcPr>
          <w:p>
            <w:pPr>
              <w:pStyle w:val="TextprostvAJ"/>
              <w:widowControl/>
              <w:suppressAutoHyphens w:val="true"/>
              <w:spacing w:before="0" w:after="160"/>
              <w:rPr>
                <w:kern w:val="0"/>
                <w:lang w:bidi="ar-SA"/>
              </w:rPr>
            </w:pPr>
            <w:r>
              <w:rPr>
                <w:kern w:val="0"/>
                <w:lang w:bidi="ar-SA"/>
              </w:rPr>
              <w:t>The results of the final preliminary model are presented in Table XX.</w:t>
            </w:r>
          </w:p>
        </w:tc>
      </w:tr>
    </w:tbl>
    <w:p>
      <w:pPr>
        <w:pStyle w:val="Tabulka"/>
        <w:numPr>
          <w:ilvl w:val="0"/>
          <w:numId w:val="3"/>
        </w:numPr>
        <w:ind w:hanging="1560" w:left="1560" w:right="0"/>
        <w:rPr/>
      </w:pPr>
      <w:bookmarkStart w:id="142" w:name="_Toc229057978"/>
      <w:r>
        <w:rPr/>
        <w:t>Finální model předběžného odhadu odchylky českých ceníkových cen mobilních služeb</w:t>
      </w:r>
      <w:bookmarkEnd w:id="142"/>
    </w:p>
    <w:p>
      <w:pPr>
        <w:pStyle w:val="TabulkavAJ"/>
        <w:ind w:hanging="0" w:left="1560" w:right="0"/>
        <w:rPr/>
      </w:pPr>
      <w:bookmarkStart w:id="143" w:name="_Toc229057954"/>
      <w:bookmarkStart w:id="144" w:name="_Toc229060851"/>
      <w:r>
        <w:rPr/>
        <w:t>Final Model of the Preliminary Estimate of the Deviation of Czech List Prices for Mobile Services</w:t>
      </w:r>
      <w:bookmarkEnd w:id="143"/>
      <w:bookmarkEnd w:id="144"/>
    </w:p>
    <w:p>
      <w:pPr>
        <w:pStyle w:val="Textkol"/>
        <w:rPr/>
      </w:pPr>
      <w:r>
        <w:rPr/>
        <w:t>Poprosím vložit příkaz</w:t>
      </w:r>
    </w:p>
    <w:p>
      <w:pPr>
        <w:pStyle w:val="Zdroj"/>
        <w:rPr/>
      </w:pPr>
      <w:r>
        <w:rPr/>
        <w:t>Zdroj/Source: Vlastní odhad Úřadu / Estimated by the Office.</w:t>
      </w:r>
    </w:p>
    <w:p>
      <w:pPr>
        <w:pStyle w:val="Zjitnadu"/>
        <w:numPr>
          <w:ilvl w:val="1"/>
          <w:numId w:val="4"/>
        </w:numPr>
        <w:ind w:hanging="1276" w:left="284" w:right="142"/>
        <w:rPr/>
      </w:pPr>
      <w:bookmarkStart w:id="145" w:name="_Toc226560431"/>
      <w:r>
        <w:rPr/>
        <w:t xml:space="preserve">Úřad na základě provedené předběžné analýzy zjistil, že </w:t>
      </w:r>
      <w:r>
        <w:rPr>
          <w:b/>
          <w:bCs/>
        </w:rPr>
        <w:t>cenová úroveň ceníkových cen v České republice je o 46,28 % vyšší za jinak nezměněných podmínek</w:t>
      </w:r>
      <w:r>
        <w:rPr/>
        <w:t xml:space="preserve">, a to na hladině statistické významnosti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01</m:t>
        </m:r>
      </m:oMath>
      <w:r>
        <w:rPr/>
        <w:t>. Konkrétně jsou ceny mobilních operátorů v České republice vyšší ve srovnání s ostatními členskými státy EU, ve kterých se cena nevyjadřuje v Eurech.</w:t>
      </w:r>
      <w:r>
        <w:rPr>
          <w:rStyle w:val="FootnoteReference"/>
          <w:vertAlign w:val="superscript"/>
        </w:rPr>
        <w:footnoteReference w:id="127"/>
      </w:r>
      <w:bookmarkEnd w:id="145"/>
    </w:p>
    <w:p>
      <w:pPr>
        <w:pStyle w:val="ZjitnaduvAJ"/>
        <w:ind w:hanging="0" w:left="284" w:right="142"/>
        <w:rPr>
          <w:vertAlign w:val="superscript"/>
        </w:rPr>
      </w:pPr>
      <w:r>
        <w:rPr/>
        <w:t xml:space="preserve">Based on the preliminary analysis conducted, the Office found that </w:t>
      </w:r>
      <w:r>
        <w:rPr>
          <w:b/>
          <w:bCs/>
        </w:rPr>
        <w:t>the level of list prices in the Czech Republic is 46.28% higher, ceteris paribus</w:t>
      </w:r>
      <w:r>
        <w:rPr/>
        <w:t xml:space="preserve">, at the statistical significance level of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01</m:t>
        </m:r>
      </m:oMath>
      <w:r>
        <w:rPr/>
        <w:t>. Specifically, the prices charged by mobile operators in the Czech Republic are higher compared to other EU Member States in which prices are not expressed in euros.</w:t>
      </w:r>
      <w:r>
        <w:rPr>
          <w:vertAlign w:val="superscript"/>
        </w:rPr>
        <w:t>XXX</w:t>
      </w:r>
    </w:p>
    <w:tbl>
      <w:tblPr>
        <w:tblStyle w:val="TableGrid"/>
        <w:tblW w:w="906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30"/>
        <w:gridCol w:w="4530"/>
      </w:tblGrid>
      <w:tr>
        <w:trPr/>
        <w:tc>
          <w:tcPr>
            <w:tcW w:w="4530" w:type="dxa"/>
            <w:tcBorders>
              <w:top w:val="nil"/>
              <w:left w:val="nil"/>
              <w:bottom w:val="nil"/>
              <w:right w:val="nil"/>
            </w:tcBorders>
          </w:tcPr>
          <w:p>
            <w:pPr>
              <w:pStyle w:val="Textprost"/>
              <w:widowControl/>
              <w:suppressAutoHyphens w:val="true"/>
              <w:spacing w:before="0" w:after="160"/>
              <w:rPr>
                <w:kern w:val="0"/>
                <w:lang w:val="cs-CZ" w:bidi="ar-SA"/>
              </w:rPr>
            </w:pPr>
            <w:r>
              <w:rPr>
                <w:rFonts w:eastAsia="Calibri"/>
                <w:kern w:val="0"/>
                <w:lang w:val="cs-CZ" w:bidi="ar-SA"/>
              </w:rPr>
              <w:t>Úřad považ</w:t>
            </w:r>
            <w:r>
              <w:rPr>
                <w:kern w:val="0"/>
                <w:lang w:val="cs-CZ" w:bidi="ar-SA"/>
              </w:rPr>
              <w:t>oval</w:t>
            </w:r>
            <w:r>
              <w:rPr>
                <w:rFonts w:eastAsia="Calibri"/>
                <w:kern w:val="0"/>
                <w:lang w:val="cs-CZ" w:bidi="ar-SA"/>
              </w:rPr>
              <w:t xml:space="preserve"> analýzou získaný regresní koeficient za indicii pro </w:t>
            </w:r>
            <w:r>
              <w:rPr>
                <w:kern w:val="0"/>
                <w:lang w:val="cs-CZ" w:bidi="ar-SA"/>
              </w:rPr>
              <w:t>další</w:t>
            </w:r>
            <w:r>
              <w:rPr>
                <w:rFonts w:eastAsia="Calibri"/>
                <w:kern w:val="0"/>
                <w:lang w:val="cs-CZ" w:bidi="ar-SA"/>
              </w:rPr>
              <w:t xml:space="preserve"> detailní zkoumání možné odchylky úrovně ceníkových cen v České republice. Za účelem ověření získaného výsledku </w:t>
            </w:r>
            <w:r>
              <w:rPr>
                <w:kern w:val="0"/>
                <w:lang w:val="cs-CZ" w:bidi="ar-SA"/>
              </w:rPr>
              <w:t>proto Úřad s časovým odstupem provedl opakovanou analýzu</w:t>
            </w:r>
            <w:r>
              <w:rPr>
                <w:rFonts w:eastAsia="Calibri"/>
                <w:kern w:val="0"/>
                <w:lang w:val="cs-CZ" w:bidi="ar-SA"/>
              </w:rPr>
              <w:t>, a to vč. provedení nového a</w:t>
            </w:r>
            <w:r>
              <w:rPr>
                <w:kern w:val="0"/>
                <w:lang w:val="cs-CZ" w:bidi="ar-SA"/>
              </w:rPr>
              <w:t xml:space="preserve"> </w:t>
            </w:r>
            <w:r>
              <w:rPr>
                <w:rFonts w:eastAsia="Calibri"/>
                <w:kern w:val="0"/>
                <w:lang w:val="cs-CZ" w:bidi="ar-SA"/>
              </w:rPr>
              <w:t>detailnějšího sběru dat.</w:t>
            </w:r>
            <w:r>
              <w:rPr>
                <w:kern w:val="0"/>
                <w:lang w:val="cs-CZ" w:bidi="ar-SA"/>
              </w:rPr>
              <w:t xml:space="preserve"> Výsledky opakované analýzy jsou představeny v následující části.</w:t>
            </w:r>
          </w:p>
        </w:tc>
        <w:tc>
          <w:tcPr>
            <w:tcW w:w="4530" w:type="dxa"/>
            <w:tcBorders>
              <w:top w:val="nil"/>
              <w:left w:val="nil"/>
              <w:bottom w:val="nil"/>
              <w:right w:val="nil"/>
            </w:tcBorders>
          </w:tcPr>
          <w:p>
            <w:pPr>
              <w:pStyle w:val="TextprostvAJ"/>
              <w:widowControl/>
              <w:suppressAutoHyphens w:val="true"/>
              <w:spacing w:before="0" w:after="160"/>
              <w:rPr>
                <w:kern w:val="0"/>
                <w:lang w:bidi="ar-SA"/>
              </w:rPr>
            </w:pPr>
            <w:r>
              <w:rPr>
                <w:kern w:val="0"/>
                <w:lang w:bidi="ar-SA"/>
              </w:rPr>
              <w:t>The Office considered the regression coefficient obtained through the analysis to be an indication warranting further detailed examination of a potential deviation in the level of list prices in the Czech Republic. To verify the result obtained, the Office therefore conducted a repeated analysis after a period of time, including a new and more detailed data collection. The results of the repeated analysis are presented in the following section.</w:t>
            </w:r>
          </w:p>
        </w:tc>
      </w:tr>
    </w:tbl>
    <w:p>
      <w:pPr>
        <w:pStyle w:val="Heading3"/>
        <w:ind w:hanging="1134" w:left="142" w:right="284"/>
        <w:rPr/>
      </w:pPr>
      <w:bookmarkStart w:id="146" w:name="_Toc229057853"/>
      <w:r>
        <w:rPr/>
        <w:t>Opakované kvantitativní posouzení relativní cenové úrovně ceníkových cen mobilních služeb v ČR</w:t>
      </w:r>
      <w:bookmarkEnd w:id="146"/>
    </w:p>
    <w:p>
      <w:pPr>
        <w:pStyle w:val="Textprost"/>
        <w:rPr/>
      </w:pPr>
      <w:r>
        <w:rPr/>
        <w:t>Vzhledem k tomu, že z předběžného prověření relativní výše ceníkových cen Úřad zjistil, že české ceníkové ceny jsou prokazatelně zvýšené, přistoupil k opakovanému zjišťování odchylky ceníkových cen mobilních služeb v ČR. Tato část představuje závěry, k jakým Úřad dospěl při opakovaném prověřování relativní výše ceníkových cen mobilních služeb.</w:t>
      </w:r>
    </w:p>
    <w:p>
      <w:pPr>
        <w:pStyle w:val="Textprost"/>
        <w:rPr/>
      </w:pPr>
      <w:r>
        <w:rPr/>
      </w:r>
    </w:p>
    <w:p>
      <w:pPr>
        <w:pStyle w:val="Tabulka"/>
        <w:numPr>
          <w:ilvl w:val="0"/>
          <w:numId w:val="3"/>
        </w:numPr>
        <w:ind w:hanging="1560" w:left="1560" w:right="0"/>
        <w:rPr/>
      </w:pPr>
      <w:bookmarkStart w:id="147" w:name="_Toc229057979"/>
      <w:r>
        <w:rPr/>
        <w:t>Idealizovaný model finálního odhadu odchylky českých ceníkových cen mobilních služeb (lineární forma)</w:t>
      </w:r>
      <w:bookmarkEnd w:id="147"/>
    </w:p>
    <w:p>
      <w:pPr>
        <w:pStyle w:val="TabulkavAJ"/>
        <w:ind w:hanging="0" w:left="1560" w:right="0"/>
        <w:rPr/>
      </w:pPr>
      <w:bookmarkStart w:id="148" w:name="_Toc229057955"/>
      <w:bookmarkStart w:id="149" w:name="_Toc229060852"/>
      <w:r>
        <w:rPr/>
        <w:t>Idealised Model for Final Estimating the Deviation of Czech List Prices for Mobile Services (Linear Form)</w:t>
      </w:r>
      <w:bookmarkEnd w:id="148"/>
      <w:bookmarkEnd w:id="149"/>
    </w:p>
    <w:tbl>
      <w:tblPr>
        <w:tblStyle w:val="TableGrid"/>
        <w:tblW w:w="908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693"/>
        <w:gridCol w:w="1599"/>
        <w:gridCol w:w="1598"/>
        <w:gridCol w:w="1596"/>
        <w:gridCol w:w="1600"/>
      </w:tblGrid>
      <w:tr>
        <w:trPr/>
        <w:tc>
          <w:tcPr>
            <w:tcW w:w="2693" w:type="dxa"/>
            <w:tcBorders>
              <w:top w:val="nil"/>
              <w:left w:val="nil"/>
              <w:bottom w:val="nil"/>
              <w:right w:val="nil"/>
            </w:tcBorders>
          </w:tcPr>
          <w:p>
            <w:pPr>
              <w:pStyle w:val="Tabulkatext"/>
              <w:widowControl/>
              <w:suppressAutoHyphens w:val="true"/>
              <w:rPr>
                <w:b/>
                <w:bCs/>
                <w:color w:val="0C1838"/>
              </w:rPr>
            </w:pPr>
            <w:r>
              <w:rPr>
                <w:b/>
                <w:bCs/>
                <w:color w:val="0C1838"/>
                <w:kern w:val="0"/>
                <w:lang w:val="cs-CZ" w:bidi="ar-SA"/>
              </w:rPr>
              <w:t xml:space="preserve">Proměnná / </w:t>
            </w:r>
            <w:r>
              <w:rPr>
                <w:b/>
                <w:bCs/>
                <w:i/>
                <w:iCs/>
                <w:color w:val="0C1838"/>
                <w:kern w:val="0"/>
                <w:lang w:val="cs-CZ" w:bidi="ar-SA"/>
              </w:rPr>
              <w:t>Variable</w:t>
            </w:r>
          </w:p>
        </w:tc>
        <w:tc>
          <w:tcPr>
            <w:tcW w:w="1599" w:type="dxa"/>
            <w:tcBorders>
              <w:top w:val="nil"/>
              <w:left w:val="nil"/>
              <w:bottom w:val="nil"/>
              <w:right w:val="nil"/>
            </w:tcBorders>
          </w:tcPr>
          <w:p>
            <w:pPr>
              <w:pStyle w:val="Tabulkatext"/>
              <w:widowControl/>
              <w:suppressAutoHyphens w:val="true"/>
              <w:jc w:val="right"/>
              <w:rPr>
                <w:b/>
                <w:bCs/>
                <w:color w:val="0C1838"/>
              </w:rPr>
            </w:pPr>
            <w:r>
              <w:rPr>
                <w:b/>
                <w:bCs/>
                <w:color w:val="0C1838"/>
                <w:kern w:val="0"/>
                <w:lang w:val="cs-CZ" w:bidi="ar-SA"/>
              </w:rPr>
              <w:t xml:space="preserve">Koef. / </w:t>
            </w:r>
            <w:r>
              <w:rPr>
                <w:b/>
                <w:bCs/>
                <w:i/>
                <w:iCs/>
                <w:color w:val="0C1838"/>
                <w:kern w:val="0"/>
                <w:lang w:val="cs-CZ" w:bidi="ar-SA"/>
              </w:rPr>
              <w:t>Coeff.</w:t>
            </w:r>
          </w:p>
        </w:tc>
        <w:tc>
          <w:tcPr>
            <w:tcW w:w="1598" w:type="dxa"/>
            <w:tcBorders>
              <w:top w:val="nil"/>
              <w:left w:val="nil"/>
              <w:bottom w:val="nil"/>
              <w:right w:val="nil"/>
            </w:tcBorders>
          </w:tcPr>
          <w:p>
            <w:pPr>
              <w:pStyle w:val="Tabulkatext"/>
              <w:widowControl/>
              <w:suppressAutoHyphens w:val="true"/>
              <w:jc w:val="right"/>
              <w:rPr>
                <w:b/>
                <w:bCs/>
                <w:color w:val="0C1838"/>
              </w:rPr>
            </w:pPr>
            <w:r>
              <w:rPr>
                <w:b/>
                <w:bCs/>
                <w:color w:val="0C1838"/>
                <w:kern w:val="0"/>
                <w:lang w:val="cs-CZ" w:bidi="ar-SA"/>
              </w:rPr>
              <w:t>s.e.</w:t>
            </w:r>
          </w:p>
        </w:tc>
        <w:tc>
          <w:tcPr>
            <w:tcW w:w="1596" w:type="dxa"/>
            <w:tcBorders>
              <w:top w:val="nil"/>
              <w:left w:val="nil"/>
              <w:bottom w:val="nil"/>
              <w:right w:val="nil"/>
            </w:tcBorders>
          </w:tcPr>
          <w:p>
            <w:pPr>
              <w:pStyle w:val="Tabulkatext"/>
              <w:widowControl/>
              <w:suppressAutoHyphens w:val="true"/>
              <w:jc w:val="right"/>
              <w:rPr>
                <w:b/>
                <w:bCs/>
                <w:color w:val="0C1838"/>
              </w:rPr>
            </w:pPr>
            <w:r>
              <w:rPr>
                <w:b/>
                <w:bCs/>
                <w:color w:val="0C1838"/>
                <w:kern w:val="0"/>
                <w:lang w:val="cs-CZ" w:bidi="ar-SA"/>
              </w:rPr>
              <w:t>t</w:t>
            </w:r>
          </w:p>
        </w:tc>
        <w:tc>
          <w:tcPr>
            <w:tcW w:w="1600" w:type="dxa"/>
            <w:tcBorders>
              <w:top w:val="nil"/>
              <w:left w:val="nil"/>
              <w:bottom w:val="nil"/>
              <w:right w:val="nil"/>
            </w:tcBorders>
          </w:tcPr>
          <w:p>
            <w:pPr>
              <w:pStyle w:val="Tabulkatext"/>
              <w:widowControl/>
              <w:suppressAutoHyphens w:val="true"/>
              <w:rPr>
                <w:b/>
                <w:bCs/>
                <w:color w:val="0C1838"/>
              </w:rPr>
            </w:pPr>
            <w:r>
              <w:rPr>
                <w:b/>
                <w:bCs/>
                <w:color w:val="0C1838"/>
              </w:rPr>
            </w:r>
          </w:p>
        </w:tc>
      </w:tr>
      <w:tr>
        <w:trPr/>
        <w:tc>
          <w:tcPr>
            <w:tcW w:w="2693" w:type="dxa"/>
            <w:tcBorders>
              <w:top w:val="nil"/>
              <w:left w:val="nil"/>
              <w:bottom w:val="nil"/>
              <w:right w:val="nil"/>
            </w:tcBorders>
          </w:tcPr>
          <w:p>
            <w:pPr>
              <w:pStyle w:val="Tabulkatext"/>
              <w:widowControl/>
              <w:suppressAutoHyphens w:val="true"/>
              <w:rPr>
                <w:b/>
                <w:bCs/>
              </w:rPr>
            </w:pPr>
            <w:r>
              <w:rPr>
                <w:kern w:val="0"/>
                <w:lang w:val="cs-CZ" w:bidi="ar-SA"/>
              </w:rPr>
              <w:t>[[#EU_list_prices_02_regressions]][[#MM_02_hedonic_lin_OLS]]</w:t>
            </w:r>
            <w:r>
              <w:rPr>
                <w:b/>
                <w:bCs/>
                <w:kern w:val="0"/>
                <w:lang w:val="cs-CZ" w:bidi="ar-SA"/>
              </w:rPr>
              <w:t>[[dependent_variable]]</w:t>
            </w:r>
          </w:p>
        </w:tc>
        <w:tc>
          <w:tcPr>
            <w:tcW w:w="1599" w:type="dxa"/>
            <w:tcBorders>
              <w:top w:val="nil"/>
              <w:left w:val="nil"/>
              <w:bottom w:val="nil"/>
              <w:right w:val="nil"/>
            </w:tcBorders>
          </w:tcPr>
          <w:p>
            <w:pPr>
              <w:pStyle w:val="Tabulkatext"/>
              <w:widowControl/>
              <w:suppressAutoHyphens w:val="true"/>
              <w:jc w:val="right"/>
              <w:rPr>
                <w:kern w:val="0"/>
                <w:lang w:val="cs-CZ" w:bidi="ar-SA"/>
              </w:rPr>
            </w:pPr>
            <w:r>
              <w:rPr>
                <w:kern w:val="0"/>
                <w:lang w:val="cs-CZ" w:bidi="ar-SA"/>
              </w:rPr>
            </w:r>
          </w:p>
        </w:tc>
        <w:tc>
          <w:tcPr>
            <w:tcW w:w="1598" w:type="dxa"/>
            <w:tcBorders>
              <w:top w:val="nil"/>
              <w:left w:val="nil"/>
              <w:bottom w:val="nil"/>
              <w:right w:val="nil"/>
            </w:tcBorders>
          </w:tcPr>
          <w:p>
            <w:pPr>
              <w:pStyle w:val="Tabulkatext"/>
              <w:widowControl/>
              <w:suppressAutoHyphens w:val="true"/>
              <w:jc w:val="right"/>
              <w:rPr>
                <w:kern w:val="0"/>
                <w:lang w:val="cs-CZ" w:bidi="ar-SA"/>
              </w:rPr>
            </w:pPr>
            <w:r>
              <w:rPr>
                <w:kern w:val="0"/>
                <w:lang w:val="cs-CZ" w:bidi="ar-SA"/>
              </w:rPr>
            </w:r>
          </w:p>
        </w:tc>
        <w:tc>
          <w:tcPr>
            <w:tcW w:w="1596" w:type="dxa"/>
            <w:tcBorders>
              <w:top w:val="nil"/>
              <w:left w:val="nil"/>
              <w:bottom w:val="nil"/>
              <w:right w:val="nil"/>
            </w:tcBorders>
          </w:tcPr>
          <w:p>
            <w:pPr>
              <w:pStyle w:val="Tabulkatext"/>
              <w:widowControl/>
              <w:suppressAutoHyphens w:val="true"/>
              <w:jc w:val="right"/>
              <w:rPr>
                <w:kern w:val="0"/>
                <w:lang w:val="cs-CZ" w:bidi="ar-SA"/>
              </w:rPr>
            </w:pPr>
            <w:r>
              <w:rPr>
                <w:kern w:val="0"/>
                <w:lang w:val="cs-CZ" w:bidi="ar-SA"/>
              </w:rPr>
            </w:r>
          </w:p>
        </w:tc>
        <w:tc>
          <w:tcPr>
            <w:tcW w:w="1600" w:type="dxa"/>
            <w:tcBorders>
              <w:top w:val="nil"/>
              <w:left w:val="nil"/>
              <w:bottom w:val="nil"/>
              <w:right w:val="nil"/>
            </w:tcBorders>
          </w:tcPr>
          <w:p>
            <w:pPr>
              <w:pStyle w:val="Tabulkatext"/>
              <w:widowControl/>
              <w:suppressAutoHyphens w:val="true"/>
              <w:rPr>
                <w:kern w:val="0"/>
                <w:lang w:val="cs-CZ" w:bidi="ar-SA"/>
              </w:rPr>
            </w:pPr>
            <w:r>
              <w:rPr>
                <w:kern w:val="0"/>
                <w:lang w:val="cs-CZ" w:bidi="ar-SA"/>
              </w:rPr>
            </w:r>
          </w:p>
        </w:tc>
      </w:tr>
      <w:tr>
        <w:trPr/>
        <w:tc>
          <w:tcPr>
            <w:tcW w:w="2693" w:type="dxa"/>
            <w:tcBorders>
              <w:top w:val="nil"/>
              <w:left w:val="nil"/>
              <w:bottom w:val="nil"/>
              <w:right w:val="nil"/>
            </w:tcBorders>
          </w:tcPr>
          <w:p>
            <w:pPr>
              <w:pStyle w:val="Tabulkatext"/>
              <w:widowControl/>
              <w:suppressAutoHyphens w:val="true"/>
              <w:rPr>
                <w:kern w:val="0"/>
                <w:lang w:val="cs-CZ" w:bidi="ar-SA"/>
              </w:rPr>
            </w:pPr>
            <w:r>
              <w:rPr>
                <w:kern w:val="0"/>
                <w:lang w:val="cs-CZ" w:bidi="ar-SA"/>
              </w:rPr>
              <w:t>[[#explanatory_variables]][[name]]</w:t>
            </w:r>
          </w:p>
        </w:tc>
        <w:tc>
          <w:tcPr>
            <w:tcW w:w="1599" w:type="dxa"/>
            <w:tcBorders>
              <w:top w:val="nil"/>
              <w:left w:val="nil"/>
              <w:bottom w:val="nil"/>
              <w:right w:val="nil"/>
            </w:tcBorders>
          </w:tcPr>
          <w:p>
            <w:pPr>
              <w:pStyle w:val="Tabulkatext"/>
              <w:widowControl/>
              <w:suppressAutoHyphens w:val="true"/>
              <w:jc w:val="right"/>
              <w:rPr>
                <w:kern w:val="0"/>
                <w:lang w:val="cs-CZ" w:bidi="ar-SA"/>
              </w:rPr>
            </w:pPr>
            <w:r>
              <w:rPr>
                <w:kern w:val="0"/>
                <w:lang w:val="cs-CZ" w:bidi="ar-SA"/>
              </w:rPr>
              <w:t>[[coef]]</w:t>
            </w:r>
          </w:p>
        </w:tc>
        <w:tc>
          <w:tcPr>
            <w:tcW w:w="1598" w:type="dxa"/>
            <w:tcBorders>
              <w:top w:val="nil"/>
              <w:left w:val="nil"/>
              <w:bottom w:val="nil"/>
              <w:right w:val="nil"/>
            </w:tcBorders>
          </w:tcPr>
          <w:p>
            <w:pPr>
              <w:pStyle w:val="Tabulkatext"/>
              <w:widowControl/>
              <w:suppressAutoHyphens w:val="true"/>
              <w:jc w:val="right"/>
              <w:rPr>
                <w:kern w:val="0"/>
                <w:lang w:val="cs-CZ" w:bidi="ar-SA"/>
              </w:rPr>
            </w:pPr>
            <w:r>
              <w:rPr>
                <w:kern w:val="0"/>
                <w:lang w:val="cs-CZ" w:bidi="ar-SA"/>
              </w:rPr>
              <w:t>[[SE]]</w:t>
            </w:r>
          </w:p>
        </w:tc>
        <w:tc>
          <w:tcPr>
            <w:tcW w:w="1596" w:type="dxa"/>
            <w:tcBorders>
              <w:top w:val="nil"/>
              <w:left w:val="nil"/>
              <w:bottom w:val="nil"/>
              <w:right w:val="nil"/>
            </w:tcBorders>
          </w:tcPr>
          <w:p>
            <w:pPr>
              <w:pStyle w:val="Tabulkatext"/>
              <w:widowControl/>
              <w:suppressAutoHyphens w:val="true"/>
              <w:jc w:val="right"/>
              <w:rPr>
                <w:kern w:val="0"/>
                <w:lang w:val="cs-CZ" w:bidi="ar-SA"/>
              </w:rPr>
            </w:pPr>
            <w:r>
              <w:rPr>
                <w:kern w:val="0"/>
                <w:lang w:val="cs-CZ" w:bidi="ar-SA"/>
              </w:rPr>
              <w:t>[[ts]]</w:t>
            </w:r>
          </w:p>
        </w:tc>
        <w:tc>
          <w:tcPr>
            <w:tcW w:w="1600" w:type="dxa"/>
            <w:tcBorders>
              <w:top w:val="nil"/>
              <w:left w:val="nil"/>
              <w:bottom w:val="nil"/>
              <w:right w:val="nil"/>
            </w:tcBorders>
          </w:tcPr>
          <w:p>
            <w:pPr>
              <w:pStyle w:val="Tabulkatext"/>
              <w:widowControl/>
              <w:suppressAutoHyphens w:val="true"/>
              <w:rPr>
                <w:kern w:val="0"/>
                <w:lang w:val="cs-CZ" w:bidi="ar-SA"/>
              </w:rPr>
            </w:pPr>
            <w:r>
              <w:rPr>
                <w:kern w:val="0"/>
                <w:lang w:val="cs-CZ" w:bidi="ar-SA"/>
              </w:rPr>
              <w:t>[[ps]][[/explanatory_variables]]</w:t>
            </w:r>
          </w:p>
        </w:tc>
      </w:tr>
      <w:tr>
        <w:trPr/>
        <w:tc>
          <w:tcPr>
            <w:tcW w:w="2693" w:type="dxa"/>
            <w:tcBorders>
              <w:top w:val="nil"/>
              <w:left w:val="nil"/>
              <w:bottom w:val="nil"/>
              <w:right w:val="nil"/>
            </w:tcBorders>
          </w:tcPr>
          <w:p>
            <w:pPr>
              <w:pStyle w:val="Tabulkatext"/>
              <w:widowControl/>
              <w:suppressAutoHyphens w:val="true"/>
              <w:rPr>
                <w:b/>
                <w:bCs/>
                <w:color w:val="0C1838"/>
              </w:rPr>
            </w:pPr>
            <w:r>
              <w:rPr>
                <w:b/>
                <w:bCs/>
                <w:color w:val="0C1838"/>
                <w:kern w:val="0"/>
                <w:lang w:val="cs-CZ" w:bidi="ar-SA"/>
              </w:rPr>
              <w:t>N = [[N]]</w:t>
            </w:r>
          </w:p>
        </w:tc>
        <w:tc>
          <w:tcPr>
            <w:tcW w:w="1599" w:type="dxa"/>
            <w:tcBorders>
              <w:top w:val="nil"/>
              <w:left w:val="nil"/>
              <w:bottom w:val="nil"/>
              <w:right w:val="nil"/>
            </w:tcBorders>
          </w:tcPr>
          <w:p>
            <w:pPr>
              <w:pStyle w:val="Tabulkatext"/>
              <w:widowControl/>
              <w:suppressAutoHyphens w:val="true"/>
              <w:jc w:val="right"/>
              <w:rPr>
                <w:b/>
                <w:bCs/>
                <w:color w:val="0C1838"/>
              </w:rPr>
            </w:pPr>
            <w:r>
              <w:rPr>
                <w:b/>
                <w:bCs/>
                <w:color w:val="0C1838"/>
                <w:kern w:val="0"/>
                <w:lang w:val="cs-CZ" w:bidi="ar-SA"/>
              </w:rPr>
              <w:t>R</w:t>
            </w:r>
            <w:r>
              <w:rPr>
                <w:b/>
                <w:bCs/>
                <w:color w:val="0C1838"/>
                <w:kern w:val="0"/>
                <w:vertAlign w:val="superscript"/>
                <w:lang w:val="cs-CZ" w:bidi="ar-SA"/>
              </w:rPr>
              <w:t>2</w:t>
            </w:r>
          </w:p>
          <w:p>
            <w:pPr>
              <w:pStyle w:val="Tabulkatext"/>
              <w:widowControl/>
              <w:suppressAutoHyphens w:val="true"/>
              <w:jc w:val="right"/>
              <w:rPr>
                <w:b/>
                <w:bCs/>
                <w:color w:val="0C1838"/>
              </w:rPr>
            </w:pPr>
            <w:r>
              <w:rPr>
                <w:b/>
                <w:bCs/>
                <w:color w:val="0C1838"/>
                <w:kern w:val="0"/>
                <w:lang w:val="cs-CZ" w:bidi="ar-SA"/>
              </w:rPr>
              <w:t>[[R_2]]</w:t>
            </w:r>
          </w:p>
        </w:tc>
        <w:tc>
          <w:tcPr>
            <w:tcW w:w="1598" w:type="dxa"/>
            <w:tcBorders>
              <w:top w:val="nil"/>
              <w:left w:val="nil"/>
              <w:bottom w:val="nil"/>
              <w:right w:val="nil"/>
            </w:tcBorders>
          </w:tcPr>
          <w:p>
            <w:pPr>
              <w:pStyle w:val="Tabulkatext"/>
              <w:widowControl/>
              <w:suppressAutoHyphens w:val="true"/>
              <w:jc w:val="right"/>
              <w:rPr>
                <w:b/>
                <w:bCs/>
                <w:color w:val="0C1838"/>
              </w:rPr>
            </w:pPr>
            <w:r>
              <w:rPr>
                <w:b/>
                <w:bCs/>
                <w:color w:val="0C1838"/>
                <w:kern w:val="0"/>
                <w:lang w:val="cs-CZ" w:bidi="ar-SA"/>
              </w:rPr>
              <w:t>Adj R</w:t>
            </w:r>
            <w:r>
              <w:rPr>
                <w:b/>
                <w:bCs/>
                <w:color w:val="0C1838"/>
                <w:kern w:val="0"/>
                <w:vertAlign w:val="superscript"/>
                <w:lang w:val="cs-CZ" w:bidi="ar-SA"/>
              </w:rPr>
              <w:t>2</w:t>
            </w:r>
          </w:p>
          <w:p>
            <w:pPr>
              <w:pStyle w:val="Tabulkatext"/>
              <w:widowControl/>
              <w:suppressAutoHyphens w:val="true"/>
              <w:jc w:val="right"/>
              <w:rPr>
                <w:b/>
                <w:bCs/>
                <w:color w:val="0C1838"/>
              </w:rPr>
            </w:pPr>
            <w:r>
              <w:rPr>
                <w:b/>
                <w:bCs/>
                <w:color w:val="0C1838"/>
                <w:kern w:val="0"/>
                <w:lang w:val="cs-CZ" w:bidi="ar-SA"/>
              </w:rPr>
              <w:t>[[Adj_R_2]]</w:t>
            </w:r>
          </w:p>
        </w:tc>
        <w:tc>
          <w:tcPr>
            <w:tcW w:w="1596" w:type="dxa"/>
            <w:tcBorders>
              <w:top w:val="nil"/>
              <w:left w:val="nil"/>
              <w:bottom w:val="nil"/>
              <w:right w:val="nil"/>
            </w:tcBorders>
          </w:tcPr>
          <w:p>
            <w:pPr>
              <w:pStyle w:val="Tabulkatext"/>
              <w:widowControl/>
              <w:suppressAutoHyphens w:val="true"/>
              <w:jc w:val="right"/>
              <w:rPr>
                <w:b/>
                <w:bCs/>
                <w:color w:val="0C1838"/>
              </w:rPr>
            </w:pPr>
            <w:r>
              <w:rPr>
                <w:b/>
                <w:bCs/>
                <w:color w:val="0C1838"/>
                <w:kern w:val="0"/>
                <w:lang w:val="cs-CZ" w:bidi="ar-SA"/>
              </w:rPr>
              <w:t>F</w:t>
            </w:r>
          </w:p>
          <w:p>
            <w:pPr>
              <w:pStyle w:val="Tabulkatext"/>
              <w:widowControl/>
              <w:suppressAutoHyphens w:val="true"/>
              <w:jc w:val="right"/>
              <w:rPr>
                <w:b/>
                <w:bCs/>
                <w:color w:val="0C1838"/>
              </w:rPr>
            </w:pPr>
            <w:r>
              <w:rPr>
                <w:b/>
                <w:bCs/>
                <w:color w:val="0C1838"/>
                <w:kern w:val="0"/>
                <w:lang w:val="cs-CZ" w:bidi="ar-SA"/>
              </w:rPr>
              <w:t>[[F_statistic]]</w:t>
            </w:r>
          </w:p>
        </w:tc>
        <w:tc>
          <w:tcPr>
            <w:tcW w:w="1600" w:type="dxa"/>
            <w:tcBorders>
              <w:top w:val="nil"/>
              <w:left w:val="nil"/>
              <w:bottom w:val="nil"/>
              <w:right w:val="nil"/>
            </w:tcBorders>
          </w:tcPr>
          <w:p>
            <w:pPr>
              <w:pStyle w:val="Tabulkatext"/>
              <w:widowControl/>
              <w:suppressAutoHyphens w:val="true"/>
              <w:rPr>
                <w:b/>
                <w:bCs/>
                <w:color w:val="0C1838"/>
              </w:rPr>
            </w:pPr>
            <w:r>
              <w:rPr>
                <w:b/>
                <w:bCs/>
                <w:color w:val="0C1838"/>
                <w:kern w:val="0"/>
                <w:lang w:val="cs-CZ" w:bidi="ar-SA"/>
              </w:rPr>
              <w:t>F(p)</w:t>
            </w:r>
          </w:p>
          <w:p>
            <w:pPr>
              <w:pStyle w:val="Tabulkatext"/>
              <w:widowControl/>
              <w:suppressAutoHyphens w:val="true"/>
              <w:rPr>
                <w:b/>
                <w:bCs/>
                <w:color w:val="0C1838"/>
              </w:rPr>
            </w:pPr>
            <w:r>
              <w:rPr>
                <w:b/>
                <w:bCs/>
                <w:color w:val="0C1838"/>
                <w:kern w:val="0"/>
                <w:lang w:val="cs-CZ" w:bidi="ar-SA"/>
              </w:rPr>
              <w:t>[[F_p_value]]</w:t>
            </w:r>
            <w:r>
              <w:rPr>
                <w:kern w:val="0"/>
                <w:lang w:val="cs-CZ" w:bidi="ar-SA"/>
              </w:rPr>
              <w:t>[[/MM_02_hedonic_lin_OLS]][[/EU_list_prices_02_regressions]]</w:t>
            </w:r>
          </w:p>
        </w:tc>
      </w:tr>
    </w:tbl>
    <w:p>
      <w:pPr>
        <w:pStyle w:val="Zdroj"/>
        <w:rPr/>
      </w:pPr>
      <w:r>
        <w:rPr/>
        <w:t>Zdroj/Source: Vlastní odhad Úřadu / Estimation done by the Office.</w:t>
      </w:r>
    </w:p>
    <w:p>
      <w:pPr>
        <w:pStyle w:val="Textprost"/>
        <w:rPr>
          <w:lang w:eastAsia="en-US"/>
        </w:rPr>
      </w:pPr>
      <w:r>
        <w:rPr>
          <w:lang w:eastAsia="en-US"/>
        </w:rPr>
      </w:r>
    </w:p>
    <w:p>
      <w:pPr>
        <w:pStyle w:val="Textprost"/>
        <w:rPr>
          <w:lang w:eastAsia="en-US"/>
        </w:rPr>
      </w:pPr>
      <w:r>
        <w:rPr>
          <w:lang w:eastAsia="en-US"/>
        </w:rPr>
      </w:r>
    </w:p>
    <w:p>
      <w:pPr>
        <w:pStyle w:val="Tabulka"/>
        <w:numPr>
          <w:ilvl w:val="0"/>
          <w:numId w:val="3"/>
        </w:numPr>
        <w:ind w:hanging="1560" w:left="1560" w:right="0"/>
        <w:rPr/>
      </w:pPr>
      <w:bookmarkStart w:id="150" w:name="_Toc229057980"/>
      <w:r>
        <w:rPr/>
        <w:t>Idealizovaný model finálního odhadu odchylky českých ceníkových cen mobilních služeb (log-lineární forma)</w:t>
      </w:r>
      <w:bookmarkEnd w:id="150"/>
    </w:p>
    <w:p>
      <w:pPr>
        <w:pStyle w:val="TabulkavAJ"/>
        <w:ind w:hanging="0" w:left="1560" w:right="0"/>
        <w:rPr/>
      </w:pPr>
      <w:bookmarkStart w:id="151" w:name="_Toc229057956"/>
      <w:bookmarkStart w:id="152" w:name="_Toc229060853"/>
      <w:r>
        <w:rPr/>
        <w:t>Idealised Model for Final Estimating the Deviation of Czech List Prices for Mobile Services (Log-Linear Form)</w:t>
      </w:r>
      <w:bookmarkEnd w:id="151"/>
      <w:bookmarkEnd w:id="152"/>
    </w:p>
    <w:tbl>
      <w:tblPr>
        <w:tblStyle w:val="TableGrid"/>
        <w:tblW w:w="908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693"/>
        <w:gridCol w:w="1599"/>
        <w:gridCol w:w="1598"/>
        <w:gridCol w:w="1596"/>
        <w:gridCol w:w="1600"/>
      </w:tblGrid>
      <w:tr>
        <w:trPr/>
        <w:tc>
          <w:tcPr>
            <w:tcW w:w="2693" w:type="dxa"/>
            <w:tcBorders>
              <w:top w:val="nil"/>
              <w:left w:val="nil"/>
              <w:bottom w:val="nil"/>
              <w:right w:val="nil"/>
            </w:tcBorders>
          </w:tcPr>
          <w:p>
            <w:pPr>
              <w:pStyle w:val="Tabulkatext"/>
              <w:widowControl/>
              <w:suppressAutoHyphens w:val="true"/>
              <w:rPr>
                <w:b/>
                <w:bCs/>
                <w:color w:val="0C1838"/>
              </w:rPr>
            </w:pPr>
            <w:r>
              <w:rPr>
                <w:b/>
                <w:bCs/>
                <w:color w:val="0C1838"/>
                <w:kern w:val="0"/>
                <w:lang w:val="cs-CZ" w:bidi="ar-SA"/>
              </w:rPr>
              <w:t xml:space="preserve">Proměnná / </w:t>
            </w:r>
            <w:r>
              <w:rPr>
                <w:b/>
                <w:bCs/>
                <w:i/>
                <w:iCs/>
                <w:color w:val="0C1838"/>
                <w:kern w:val="0"/>
                <w:lang w:val="cs-CZ" w:bidi="ar-SA"/>
              </w:rPr>
              <w:t>Variable</w:t>
            </w:r>
          </w:p>
        </w:tc>
        <w:tc>
          <w:tcPr>
            <w:tcW w:w="1599" w:type="dxa"/>
            <w:tcBorders>
              <w:top w:val="nil"/>
              <w:left w:val="nil"/>
              <w:bottom w:val="nil"/>
              <w:right w:val="nil"/>
            </w:tcBorders>
          </w:tcPr>
          <w:p>
            <w:pPr>
              <w:pStyle w:val="Tabulkatext"/>
              <w:widowControl/>
              <w:suppressAutoHyphens w:val="true"/>
              <w:jc w:val="right"/>
              <w:rPr>
                <w:b/>
                <w:bCs/>
                <w:color w:val="0C1838"/>
              </w:rPr>
            </w:pPr>
            <w:r>
              <w:rPr>
                <w:b/>
                <w:bCs/>
                <w:color w:val="0C1838"/>
                <w:kern w:val="0"/>
                <w:lang w:val="cs-CZ" w:bidi="ar-SA"/>
              </w:rPr>
              <w:t xml:space="preserve">Koef. / </w:t>
            </w:r>
            <w:r>
              <w:rPr>
                <w:b/>
                <w:bCs/>
                <w:i/>
                <w:iCs/>
                <w:color w:val="0C1838"/>
                <w:kern w:val="0"/>
                <w:lang w:val="cs-CZ" w:bidi="ar-SA"/>
              </w:rPr>
              <w:t>Coeff.</w:t>
            </w:r>
          </w:p>
        </w:tc>
        <w:tc>
          <w:tcPr>
            <w:tcW w:w="1598" w:type="dxa"/>
            <w:tcBorders>
              <w:top w:val="nil"/>
              <w:left w:val="nil"/>
              <w:bottom w:val="nil"/>
              <w:right w:val="nil"/>
            </w:tcBorders>
          </w:tcPr>
          <w:p>
            <w:pPr>
              <w:pStyle w:val="Tabulkatext"/>
              <w:widowControl/>
              <w:suppressAutoHyphens w:val="true"/>
              <w:jc w:val="right"/>
              <w:rPr>
                <w:b/>
                <w:bCs/>
                <w:color w:val="0C1838"/>
              </w:rPr>
            </w:pPr>
            <w:r>
              <w:rPr>
                <w:b/>
                <w:bCs/>
                <w:color w:val="0C1838"/>
                <w:kern w:val="0"/>
                <w:lang w:val="cs-CZ" w:bidi="ar-SA"/>
              </w:rPr>
              <w:t>s.e.</w:t>
            </w:r>
          </w:p>
        </w:tc>
        <w:tc>
          <w:tcPr>
            <w:tcW w:w="1596" w:type="dxa"/>
            <w:tcBorders>
              <w:top w:val="nil"/>
              <w:left w:val="nil"/>
              <w:bottom w:val="nil"/>
              <w:right w:val="nil"/>
            </w:tcBorders>
          </w:tcPr>
          <w:p>
            <w:pPr>
              <w:pStyle w:val="Tabulkatext"/>
              <w:widowControl/>
              <w:suppressAutoHyphens w:val="true"/>
              <w:jc w:val="right"/>
              <w:rPr>
                <w:b/>
                <w:bCs/>
                <w:color w:val="0C1838"/>
              </w:rPr>
            </w:pPr>
            <w:r>
              <w:rPr>
                <w:b/>
                <w:bCs/>
                <w:color w:val="0C1838"/>
                <w:kern w:val="0"/>
                <w:lang w:val="cs-CZ" w:bidi="ar-SA"/>
              </w:rPr>
              <w:t>t</w:t>
            </w:r>
          </w:p>
        </w:tc>
        <w:tc>
          <w:tcPr>
            <w:tcW w:w="1600" w:type="dxa"/>
            <w:tcBorders>
              <w:top w:val="nil"/>
              <w:left w:val="nil"/>
              <w:bottom w:val="nil"/>
              <w:right w:val="nil"/>
            </w:tcBorders>
          </w:tcPr>
          <w:p>
            <w:pPr>
              <w:pStyle w:val="Tabulkatext"/>
              <w:widowControl/>
              <w:suppressAutoHyphens w:val="true"/>
              <w:rPr>
                <w:b/>
                <w:bCs/>
                <w:color w:val="0C1838"/>
              </w:rPr>
            </w:pPr>
            <w:r>
              <w:rPr>
                <w:b/>
                <w:bCs/>
                <w:color w:val="0C1838"/>
              </w:rPr>
            </w:r>
          </w:p>
        </w:tc>
      </w:tr>
      <w:tr>
        <w:trPr/>
        <w:tc>
          <w:tcPr>
            <w:tcW w:w="2693" w:type="dxa"/>
            <w:tcBorders>
              <w:top w:val="nil"/>
              <w:left w:val="nil"/>
              <w:bottom w:val="nil"/>
              <w:right w:val="nil"/>
            </w:tcBorders>
          </w:tcPr>
          <w:p>
            <w:pPr>
              <w:pStyle w:val="Tabulkatext"/>
              <w:widowControl/>
              <w:suppressAutoHyphens w:val="true"/>
              <w:rPr>
                <w:b/>
                <w:bCs/>
              </w:rPr>
            </w:pPr>
            <w:r>
              <w:rPr>
                <w:kern w:val="0"/>
                <w:lang w:val="cs-CZ" w:bidi="ar-SA"/>
              </w:rPr>
              <w:t>[[#EU_list_prices_02_regressions]][[#MM_02_hedonic_lin_OLS_inverse]]</w:t>
            </w:r>
            <w:r>
              <w:rPr>
                <w:b/>
                <w:bCs/>
                <w:kern w:val="0"/>
                <w:lang w:val="cs-CZ" w:bidi="ar-SA"/>
              </w:rPr>
              <w:t>[[dependent_variable]]</w:t>
            </w:r>
          </w:p>
        </w:tc>
        <w:tc>
          <w:tcPr>
            <w:tcW w:w="1599" w:type="dxa"/>
            <w:tcBorders>
              <w:top w:val="nil"/>
              <w:left w:val="nil"/>
              <w:bottom w:val="nil"/>
              <w:right w:val="nil"/>
            </w:tcBorders>
          </w:tcPr>
          <w:p>
            <w:pPr>
              <w:pStyle w:val="Tabulkatext"/>
              <w:widowControl/>
              <w:suppressAutoHyphens w:val="true"/>
              <w:jc w:val="right"/>
              <w:rPr>
                <w:kern w:val="0"/>
                <w:lang w:val="cs-CZ" w:bidi="ar-SA"/>
              </w:rPr>
            </w:pPr>
            <w:r>
              <w:rPr>
                <w:kern w:val="0"/>
                <w:lang w:val="cs-CZ" w:bidi="ar-SA"/>
              </w:rPr>
            </w:r>
          </w:p>
        </w:tc>
        <w:tc>
          <w:tcPr>
            <w:tcW w:w="1598" w:type="dxa"/>
            <w:tcBorders>
              <w:top w:val="nil"/>
              <w:left w:val="nil"/>
              <w:bottom w:val="nil"/>
              <w:right w:val="nil"/>
            </w:tcBorders>
          </w:tcPr>
          <w:p>
            <w:pPr>
              <w:pStyle w:val="Tabulkatext"/>
              <w:widowControl/>
              <w:suppressAutoHyphens w:val="true"/>
              <w:jc w:val="right"/>
              <w:rPr>
                <w:kern w:val="0"/>
                <w:lang w:val="cs-CZ" w:bidi="ar-SA"/>
              </w:rPr>
            </w:pPr>
            <w:r>
              <w:rPr>
                <w:kern w:val="0"/>
                <w:lang w:val="cs-CZ" w:bidi="ar-SA"/>
              </w:rPr>
            </w:r>
          </w:p>
        </w:tc>
        <w:tc>
          <w:tcPr>
            <w:tcW w:w="1596" w:type="dxa"/>
            <w:tcBorders>
              <w:top w:val="nil"/>
              <w:left w:val="nil"/>
              <w:bottom w:val="nil"/>
              <w:right w:val="nil"/>
            </w:tcBorders>
          </w:tcPr>
          <w:p>
            <w:pPr>
              <w:pStyle w:val="Tabulkatext"/>
              <w:widowControl/>
              <w:suppressAutoHyphens w:val="true"/>
              <w:jc w:val="right"/>
              <w:rPr>
                <w:kern w:val="0"/>
                <w:lang w:val="cs-CZ" w:bidi="ar-SA"/>
              </w:rPr>
            </w:pPr>
            <w:r>
              <w:rPr>
                <w:kern w:val="0"/>
                <w:lang w:val="cs-CZ" w:bidi="ar-SA"/>
              </w:rPr>
            </w:r>
          </w:p>
        </w:tc>
        <w:tc>
          <w:tcPr>
            <w:tcW w:w="1600" w:type="dxa"/>
            <w:tcBorders>
              <w:top w:val="nil"/>
              <w:left w:val="nil"/>
              <w:bottom w:val="nil"/>
              <w:right w:val="nil"/>
            </w:tcBorders>
          </w:tcPr>
          <w:p>
            <w:pPr>
              <w:pStyle w:val="Tabulkatext"/>
              <w:widowControl/>
              <w:suppressAutoHyphens w:val="true"/>
              <w:rPr>
                <w:kern w:val="0"/>
                <w:lang w:val="cs-CZ" w:bidi="ar-SA"/>
              </w:rPr>
            </w:pPr>
            <w:r>
              <w:rPr>
                <w:kern w:val="0"/>
                <w:lang w:val="cs-CZ" w:bidi="ar-SA"/>
              </w:rPr>
            </w:r>
          </w:p>
        </w:tc>
      </w:tr>
      <w:tr>
        <w:trPr/>
        <w:tc>
          <w:tcPr>
            <w:tcW w:w="2693" w:type="dxa"/>
            <w:tcBorders>
              <w:top w:val="nil"/>
              <w:left w:val="nil"/>
              <w:bottom w:val="nil"/>
              <w:right w:val="nil"/>
            </w:tcBorders>
          </w:tcPr>
          <w:p>
            <w:pPr>
              <w:pStyle w:val="Tabulkatext"/>
              <w:widowControl/>
              <w:suppressAutoHyphens w:val="true"/>
              <w:rPr>
                <w:kern w:val="0"/>
                <w:lang w:val="cs-CZ" w:bidi="ar-SA"/>
              </w:rPr>
            </w:pPr>
            <w:r>
              <w:rPr>
                <w:kern w:val="0"/>
                <w:lang w:val="cs-CZ" w:bidi="ar-SA"/>
              </w:rPr>
              <w:t>[[#explanatory_variables]][[name]]</w:t>
            </w:r>
          </w:p>
        </w:tc>
        <w:tc>
          <w:tcPr>
            <w:tcW w:w="1599" w:type="dxa"/>
            <w:tcBorders>
              <w:top w:val="nil"/>
              <w:left w:val="nil"/>
              <w:bottom w:val="nil"/>
              <w:right w:val="nil"/>
            </w:tcBorders>
          </w:tcPr>
          <w:p>
            <w:pPr>
              <w:pStyle w:val="Tabulkatext"/>
              <w:widowControl/>
              <w:suppressAutoHyphens w:val="true"/>
              <w:jc w:val="right"/>
              <w:rPr>
                <w:kern w:val="0"/>
                <w:lang w:val="cs-CZ" w:bidi="ar-SA"/>
              </w:rPr>
            </w:pPr>
            <w:r>
              <w:rPr>
                <w:kern w:val="0"/>
                <w:lang w:val="cs-CZ" w:bidi="ar-SA"/>
              </w:rPr>
              <w:t>[[coef]]</w:t>
            </w:r>
          </w:p>
        </w:tc>
        <w:tc>
          <w:tcPr>
            <w:tcW w:w="1598" w:type="dxa"/>
            <w:tcBorders>
              <w:top w:val="nil"/>
              <w:left w:val="nil"/>
              <w:bottom w:val="nil"/>
              <w:right w:val="nil"/>
            </w:tcBorders>
          </w:tcPr>
          <w:p>
            <w:pPr>
              <w:pStyle w:val="Tabulkatext"/>
              <w:widowControl/>
              <w:suppressAutoHyphens w:val="true"/>
              <w:jc w:val="right"/>
              <w:rPr>
                <w:kern w:val="0"/>
                <w:lang w:val="cs-CZ" w:bidi="ar-SA"/>
              </w:rPr>
            </w:pPr>
            <w:r>
              <w:rPr>
                <w:kern w:val="0"/>
                <w:lang w:val="cs-CZ" w:bidi="ar-SA"/>
              </w:rPr>
              <w:t>[[SE]]</w:t>
            </w:r>
          </w:p>
        </w:tc>
        <w:tc>
          <w:tcPr>
            <w:tcW w:w="1596" w:type="dxa"/>
            <w:tcBorders>
              <w:top w:val="nil"/>
              <w:left w:val="nil"/>
              <w:bottom w:val="nil"/>
              <w:right w:val="nil"/>
            </w:tcBorders>
          </w:tcPr>
          <w:p>
            <w:pPr>
              <w:pStyle w:val="Tabulkatext"/>
              <w:widowControl/>
              <w:suppressAutoHyphens w:val="true"/>
              <w:jc w:val="right"/>
              <w:rPr>
                <w:kern w:val="0"/>
                <w:lang w:val="cs-CZ" w:bidi="ar-SA"/>
              </w:rPr>
            </w:pPr>
            <w:r>
              <w:rPr>
                <w:kern w:val="0"/>
                <w:lang w:val="cs-CZ" w:bidi="ar-SA"/>
              </w:rPr>
              <w:t>[[ts]]</w:t>
            </w:r>
          </w:p>
        </w:tc>
        <w:tc>
          <w:tcPr>
            <w:tcW w:w="1600" w:type="dxa"/>
            <w:tcBorders>
              <w:top w:val="nil"/>
              <w:left w:val="nil"/>
              <w:bottom w:val="nil"/>
              <w:right w:val="nil"/>
            </w:tcBorders>
          </w:tcPr>
          <w:p>
            <w:pPr>
              <w:pStyle w:val="Tabulkatext"/>
              <w:widowControl/>
              <w:suppressAutoHyphens w:val="true"/>
              <w:rPr>
                <w:kern w:val="0"/>
                <w:lang w:val="cs-CZ" w:bidi="ar-SA"/>
              </w:rPr>
            </w:pPr>
            <w:r>
              <w:rPr>
                <w:kern w:val="0"/>
                <w:lang w:val="cs-CZ" w:bidi="ar-SA"/>
              </w:rPr>
              <w:t>[[ps]][[/explanatory_variables]]</w:t>
            </w:r>
          </w:p>
        </w:tc>
      </w:tr>
      <w:tr>
        <w:trPr/>
        <w:tc>
          <w:tcPr>
            <w:tcW w:w="2693" w:type="dxa"/>
            <w:tcBorders>
              <w:top w:val="nil"/>
              <w:left w:val="nil"/>
              <w:bottom w:val="nil"/>
              <w:right w:val="nil"/>
            </w:tcBorders>
          </w:tcPr>
          <w:p>
            <w:pPr>
              <w:pStyle w:val="Tabulkatext"/>
              <w:widowControl/>
              <w:suppressAutoHyphens w:val="true"/>
              <w:rPr>
                <w:b/>
                <w:bCs/>
                <w:color w:val="0C1838"/>
              </w:rPr>
            </w:pPr>
            <w:r>
              <w:rPr>
                <w:b/>
                <w:bCs/>
                <w:color w:val="0C1838"/>
                <w:kern w:val="0"/>
                <w:lang w:val="cs-CZ" w:bidi="ar-SA"/>
              </w:rPr>
              <w:t>N = [[N]]</w:t>
            </w:r>
          </w:p>
        </w:tc>
        <w:tc>
          <w:tcPr>
            <w:tcW w:w="1599" w:type="dxa"/>
            <w:tcBorders>
              <w:top w:val="nil"/>
              <w:left w:val="nil"/>
              <w:bottom w:val="nil"/>
              <w:right w:val="nil"/>
            </w:tcBorders>
          </w:tcPr>
          <w:p>
            <w:pPr>
              <w:pStyle w:val="Tabulkatext"/>
              <w:widowControl/>
              <w:suppressAutoHyphens w:val="true"/>
              <w:jc w:val="right"/>
              <w:rPr>
                <w:b/>
                <w:bCs/>
                <w:color w:val="0C1838"/>
              </w:rPr>
            </w:pPr>
            <w:r>
              <w:rPr>
                <w:b/>
                <w:bCs/>
                <w:color w:val="0C1838"/>
                <w:kern w:val="0"/>
                <w:lang w:val="cs-CZ" w:bidi="ar-SA"/>
              </w:rPr>
              <w:t>R</w:t>
            </w:r>
            <w:r>
              <w:rPr>
                <w:b/>
                <w:bCs/>
                <w:color w:val="0C1838"/>
                <w:kern w:val="0"/>
                <w:vertAlign w:val="superscript"/>
                <w:lang w:val="cs-CZ" w:bidi="ar-SA"/>
              </w:rPr>
              <w:t>2</w:t>
            </w:r>
          </w:p>
          <w:p>
            <w:pPr>
              <w:pStyle w:val="Tabulkatext"/>
              <w:widowControl/>
              <w:suppressAutoHyphens w:val="true"/>
              <w:jc w:val="right"/>
              <w:rPr>
                <w:b/>
                <w:bCs/>
                <w:color w:val="0C1838"/>
              </w:rPr>
            </w:pPr>
            <w:r>
              <w:rPr>
                <w:b/>
                <w:bCs/>
                <w:color w:val="0C1838"/>
                <w:kern w:val="0"/>
                <w:lang w:val="cs-CZ" w:bidi="ar-SA"/>
              </w:rPr>
              <w:t>[[R_2]]</w:t>
            </w:r>
          </w:p>
        </w:tc>
        <w:tc>
          <w:tcPr>
            <w:tcW w:w="1598" w:type="dxa"/>
            <w:tcBorders>
              <w:top w:val="nil"/>
              <w:left w:val="nil"/>
              <w:bottom w:val="nil"/>
              <w:right w:val="nil"/>
            </w:tcBorders>
          </w:tcPr>
          <w:p>
            <w:pPr>
              <w:pStyle w:val="Tabulkatext"/>
              <w:widowControl/>
              <w:suppressAutoHyphens w:val="true"/>
              <w:jc w:val="right"/>
              <w:rPr>
                <w:b/>
                <w:bCs/>
                <w:color w:val="0C1838"/>
              </w:rPr>
            </w:pPr>
            <w:r>
              <w:rPr>
                <w:b/>
                <w:bCs/>
                <w:color w:val="0C1838"/>
                <w:kern w:val="0"/>
                <w:lang w:val="cs-CZ" w:bidi="ar-SA"/>
              </w:rPr>
              <w:t>Adj R</w:t>
            </w:r>
            <w:r>
              <w:rPr>
                <w:b/>
                <w:bCs/>
                <w:color w:val="0C1838"/>
                <w:kern w:val="0"/>
                <w:vertAlign w:val="superscript"/>
                <w:lang w:val="cs-CZ" w:bidi="ar-SA"/>
              </w:rPr>
              <w:t>2</w:t>
            </w:r>
          </w:p>
          <w:p>
            <w:pPr>
              <w:pStyle w:val="Tabulkatext"/>
              <w:widowControl/>
              <w:suppressAutoHyphens w:val="true"/>
              <w:jc w:val="right"/>
              <w:rPr>
                <w:b/>
                <w:bCs/>
                <w:color w:val="0C1838"/>
              </w:rPr>
            </w:pPr>
            <w:r>
              <w:rPr>
                <w:b/>
                <w:bCs/>
                <w:color w:val="0C1838"/>
                <w:kern w:val="0"/>
                <w:lang w:val="cs-CZ" w:bidi="ar-SA"/>
              </w:rPr>
              <w:t>[[Adj_R_2]]</w:t>
            </w:r>
          </w:p>
        </w:tc>
        <w:tc>
          <w:tcPr>
            <w:tcW w:w="1596" w:type="dxa"/>
            <w:tcBorders>
              <w:top w:val="nil"/>
              <w:left w:val="nil"/>
              <w:bottom w:val="nil"/>
              <w:right w:val="nil"/>
            </w:tcBorders>
          </w:tcPr>
          <w:p>
            <w:pPr>
              <w:pStyle w:val="Tabulkatext"/>
              <w:widowControl/>
              <w:suppressAutoHyphens w:val="true"/>
              <w:jc w:val="right"/>
              <w:rPr>
                <w:b/>
                <w:bCs/>
                <w:color w:val="0C1838"/>
              </w:rPr>
            </w:pPr>
            <w:r>
              <w:rPr>
                <w:b/>
                <w:bCs/>
                <w:color w:val="0C1838"/>
                <w:kern w:val="0"/>
                <w:lang w:val="cs-CZ" w:bidi="ar-SA"/>
              </w:rPr>
              <w:t>F</w:t>
            </w:r>
          </w:p>
          <w:p>
            <w:pPr>
              <w:pStyle w:val="Tabulkatext"/>
              <w:widowControl/>
              <w:suppressAutoHyphens w:val="true"/>
              <w:jc w:val="right"/>
              <w:rPr>
                <w:b/>
                <w:bCs/>
                <w:color w:val="0C1838"/>
              </w:rPr>
            </w:pPr>
            <w:r>
              <w:rPr>
                <w:b/>
                <w:bCs/>
                <w:color w:val="0C1838"/>
                <w:kern w:val="0"/>
                <w:lang w:val="cs-CZ" w:bidi="ar-SA"/>
              </w:rPr>
              <w:t>[[F_statistic]]</w:t>
            </w:r>
          </w:p>
        </w:tc>
        <w:tc>
          <w:tcPr>
            <w:tcW w:w="1600" w:type="dxa"/>
            <w:tcBorders>
              <w:top w:val="nil"/>
              <w:left w:val="nil"/>
              <w:bottom w:val="nil"/>
              <w:right w:val="nil"/>
            </w:tcBorders>
          </w:tcPr>
          <w:p>
            <w:pPr>
              <w:pStyle w:val="Tabulkatext"/>
              <w:widowControl/>
              <w:suppressAutoHyphens w:val="true"/>
              <w:rPr>
                <w:b/>
                <w:bCs/>
                <w:color w:val="0C1838"/>
              </w:rPr>
            </w:pPr>
            <w:r>
              <w:rPr>
                <w:b/>
                <w:bCs/>
                <w:color w:val="0C1838"/>
                <w:kern w:val="0"/>
                <w:lang w:val="cs-CZ" w:bidi="ar-SA"/>
              </w:rPr>
              <w:t>F(p)</w:t>
            </w:r>
          </w:p>
          <w:p>
            <w:pPr>
              <w:pStyle w:val="Tabulkatext"/>
              <w:widowControl/>
              <w:suppressAutoHyphens w:val="true"/>
              <w:rPr>
                <w:b/>
                <w:bCs/>
                <w:color w:val="0C1838"/>
              </w:rPr>
            </w:pPr>
            <w:r>
              <w:rPr>
                <w:b/>
                <w:bCs/>
                <w:color w:val="0C1838"/>
                <w:kern w:val="0"/>
                <w:lang w:val="cs-CZ" w:bidi="ar-SA"/>
              </w:rPr>
              <w:t>[[F_p_value]]</w:t>
            </w:r>
            <w:r>
              <w:rPr>
                <w:kern w:val="0"/>
                <w:lang w:val="cs-CZ" w:bidi="ar-SA"/>
              </w:rPr>
              <w:t>[[/MM_02_hedonic_lin_OLS_inverse]][[/EU_list_prices_02_regressions]]</w:t>
            </w:r>
          </w:p>
        </w:tc>
      </w:tr>
    </w:tbl>
    <w:p>
      <w:pPr>
        <w:pStyle w:val="Zdroj"/>
        <w:rPr/>
      </w:pPr>
      <w:r>
        <w:rPr/>
        <w:t>Zdroj/Source: Vlastní odhad Úřadu / Estimation done by the Office.</w:t>
      </w:r>
    </w:p>
    <w:p>
      <w:pPr>
        <w:pStyle w:val="Textprost"/>
        <w:rPr/>
      </w:pPr>
      <w:r>
        <w:rPr/>
      </w:r>
    </w:p>
    <w:p>
      <w:pPr>
        <w:pStyle w:val="Tabulka"/>
        <w:numPr>
          <w:ilvl w:val="0"/>
          <w:numId w:val="3"/>
        </w:numPr>
        <w:ind w:hanging="1560" w:left="1560" w:right="0"/>
        <w:rPr/>
      </w:pPr>
      <w:bookmarkStart w:id="153" w:name="_Toc229057981"/>
      <w:r>
        <w:rPr/>
        <w:t>Inverzní idealizovaný model finálního odhadu odchylky českých ceníkových cen mobilních služeb (lineární forma)</w:t>
      </w:r>
      <w:bookmarkEnd w:id="153"/>
    </w:p>
    <w:p>
      <w:pPr>
        <w:pStyle w:val="TabulkavAJ"/>
        <w:ind w:hanging="0" w:left="1560" w:right="0"/>
        <w:rPr/>
      </w:pPr>
      <w:bookmarkStart w:id="154" w:name="_Toc229057957"/>
      <w:bookmarkStart w:id="155" w:name="_Toc229060854"/>
      <w:r>
        <w:rPr/>
        <w:t>Inverse Idealised Model for Final Estimating the Deviation of Czech List Prices for Mobile Services (Linear Form)</w:t>
      </w:r>
      <w:bookmarkEnd w:id="154"/>
      <w:bookmarkEnd w:id="155"/>
    </w:p>
    <w:tbl>
      <w:tblPr>
        <w:tblStyle w:val="TableGrid"/>
        <w:tblW w:w="908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693"/>
        <w:gridCol w:w="1599"/>
        <w:gridCol w:w="1598"/>
        <w:gridCol w:w="1596"/>
        <w:gridCol w:w="1600"/>
      </w:tblGrid>
      <w:tr>
        <w:trPr/>
        <w:tc>
          <w:tcPr>
            <w:tcW w:w="2693" w:type="dxa"/>
            <w:tcBorders>
              <w:top w:val="nil"/>
              <w:left w:val="nil"/>
              <w:bottom w:val="nil"/>
              <w:right w:val="nil"/>
            </w:tcBorders>
          </w:tcPr>
          <w:p>
            <w:pPr>
              <w:pStyle w:val="Tabulkatext"/>
              <w:widowControl/>
              <w:suppressAutoHyphens w:val="true"/>
              <w:rPr>
                <w:b/>
                <w:bCs/>
                <w:color w:val="0C1838"/>
              </w:rPr>
            </w:pPr>
            <w:r>
              <w:rPr>
                <w:b/>
                <w:bCs/>
                <w:color w:val="0C1838"/>
                <w:kern w:val="0"/>
                <w:lang w:val="cs-CZ" w:bidi="ar-SA"/>
              </w:rPr>
              <w:t xml:space="preserve">Proměnná / </w:t>
            </w:r>
            <w:r>
              <w:rPr>
                <w:b/>
                <w:bCs/>
                <w:i/>
                <w:iCs/>
                <w:color w:val="0C1838"/>
                <w:kern w:val="0"/>
                <w:lang w:val="cs-CZ" w:bidi="ar-SA"/>
              </w:rPr>
              <w:t>Variable</w:t>
            </w:r>
          </w:p>
        </w:tc>
        <w:tc>
          <w:tcPr>
            <w:tcW w:w="1599" w:type="dxa"/>
            <w:tcBorders>
              <w:top w:val="nil"/>
              <w:left w:val="nil"/>
              <w:bottom w:val="nil"/>
              <w:right w:val="nil"/>
            </w:tcBorders>
          </w:tcPr>
          <w:p>
            <w:pPr>
              <w:pStyle w:val="Tabulkatext"/>
              <w:widowControl/>
              <w:suppressAutoHyphens w:val="true"/>
              <w:jc w:val="right"/>
              <w:rPr>
                <w:b/>
                <w:bCs/>
                <w:color w:val="0C1838"/>
              </w:rPr>
            </w:pPr>
            <w:r>
              <w:rPr>
                <w:b/>
                <w:bCs/>
                <w:color w:val="0C1838"/>
                <w:kern w:val="0"/>
                <w:lang w:val="cs-CZ" w:bidi="ar-SA"/>
              </w:rPr>
              <w:t xml:space="preserve">Koef. / </w:t>
            </w:r>
            <w:r>
              <w:rPr>
                <w:b/>
                <w:bCs/>
                <w:i/>
                <w:iCs/>
                <w:color w:val="0C1838"/>
                <w:kern w:val="0"/>
                <w:lang w:val="cs-CZ" w:bidi="ar-SA"/>
              </w:rPr>
              <w:t>Coeff.</w:t>
            </w:r>
          </w:p>
        </w:tc>
        <w:tc>
          <w:tcPr>
            <w:tcW w:w="1598" w:type="dxa"/>
            <w:tcBorders>
              <w:top w:val="nil"/>
              <w:left w:val="nil"/>
              <w:bottom w:val="nil"/>
              <w:right w:val="nil"/>
            </w:tcBorders>
          </w:tcPr>
          <w:p>
            <w:pPr>
              <w:pStyle w:val="Tabulkatext"/>
              <w:widowControl/>
              <w:suppressAutoHyphens w:val="true"/>
              <w:jc w:val="right"/>
              <w:rPr>
                <w:b/>
                <w:bCs/>
                <w:color w:val="0C1838"/>
              </w:rPr>
            </w:pPr>
            <w:r>
              <w:rPr>
                <w:b/>
                <w:bCs/>
                <w:color w:val="0C1838"/>
                <w:kern w:val="0"/>
                <w:lang w:val="cs-CZ" w:bidi="ar-SA"/>
              </w:rPr>
              <w:t>s.e.</w:t>
            </w:r>
          </w:p>
        </w:tc>
        <w:tc>
          <w:tcPr>
            <w:tcW w:w="1596" w:type="dxa"/>
            <w:tcBorders>
              <w:top w:val="nil"/>
              <w:left w:val="nil"/>
              <w:bottom w:val="nil"/>
              <w:right w:val="nil"/>
            </w:tcBorders>
          </w:tcPr>
          <w:p>
            <w:pPr>
              <w:pStyle w:val="Tabulkatext"/>
              <w:widowControl/>
              <w:suppressAutoHyphens w:val="true"/>
              <w:jc w:val="right"/>
              <w:rPr>
                <w:b/>
                <w:bCs/>
                <w:color w:val="0C1838"/>
              </w:rPr>
            </w:pPr>
            <w:r>
              <w:rPr>
                <w:b/>
                <w:bCs/>
                <w:color w:val="0C1838"/>
                <w:kern w:val="0"/>
                <w:lang w:val="cs-CZ" w:bidi="ar-SA"/>
              </w:rPr>
              <w:t>t</w:t>
            </w:r>
          </w:p>
        </w:tc>
        <w:tc>
          <w:tcPr>
            <w:tcW w:w="1600" w:type="dxa"/>
            <w:tcBorders>
              <w:top w:val="nil"/>
              <w:left w:val="nil"/>
              <w:bottom w:val="nil"/>
              <w:right w:val="nil"/>
            </w:tcBorders>
          </w:tcPr>
          <w:p>
            <w:pPr>
              <w:pStyle w:val="Tabulkatext"/>
              <w:widowControl/>
              <w:suppressAutoHyphens w:val="true"/>
              <w:rPr>
                <w:b/>
                <w:bCs/>
                <w:color w:val="0C1838"/>
              </w:rPr>
            </w:pPr>
            <w:r>
              <w:rPr>
                <w:b/>
                <w:bCs/>
                <w:color w:val="0C1838"/>
              </w:rPr>
            </w:r>
          </w:p>
        </w:tc>
      </w:tr>
      <w:tr>
        <w:trPr/>
        <w:tc>
          <w:tcPr>
            <w:tcW w:w="2693" w:type="dxa"/>
            <w:tcBorders>
              <w:top w:val="nil"/>
              <w:left w:val="nil"/>
              <w:bottom w:val="nil"/>
              <w:right w:val="nil"/>
            </w:tcBorders>
          </w:tcPr>
          <w:p>
            <w:pPr>
              <w:pStyle w:val="Tabulkatext"/>
              <w:widowControl/>
              <w:suppressAutoHyphens w:val="true"/>
              <w:rPr>
                <w:b/>
                <w:bCs/>
              </w:rPr>
            </w:pPr>
            <w:r>
              <w:rPr>
                <w:kern w:val="0"/>
                <w:lang w:val="cs-CZ" w:bidi="ar-SA"/>
              </w:rPr>
              <w:t>[[#EU_list_prices_02_regressions]][[#MM_02_hedonic_log_OLS]]</w:t>
            </w:r>
            <w:r>
              <w:rPr>
                <w:b/>
                <w:bCs/>
                <w:kern w:val="0"/>
                <w:lang w:val="cs-CZ" w:bidi="ar-SA"/>
              </w:rPr>
              <w:t>[[dependent_variable]]</w:t>
            </w:r>
          </w:p>
        </w:tc>
        <w:tc>
          <w:tcPr>
            <w:tcW w:w="1599" w:type="dxa"/>
            <w:tcBorders>
              <w:top w:val="nil"/>
              <w:left w:val="nil"/>
              <w:bottom w:val="nil"/>
              <w:right w:val="nil"/>
            </w:tcBorders>
          </w:tcPr>
          <w:p>
            <w:pPr>
              <w:pStyle w:val="Tabulkatext"/>
              <w:widowControl/>
              <w:suppressAutoHyphens w:val="true"/>
              <w:jc w:val="right"/>
              <w:rPr>
                <w:kern w:val="0"/>
                <w:lang w:val="cs-CZ" w:bidi="ar-SA"/>
              </w:rPr>
            </w:pPr>
            <w:r>
              <w:rPr>
                <w:kern w:val="0"/>
                <w:lang w:val="cs-CZ" w:bidi="ar-SA"/>
              </w:rPr>
            </w:r>
          </w:p>
        </w:tc>
        <w:tc>
          <w:tcPr>
            <w:tcW w:w="1598" w:type="dxa"/>
            <w:tcBorders>
              <w:top w:val="nil"/>
              <w:left w:val="nil"/>
              <w:bottom w:val="nil"/>
              <w:right w:val="nil"/>
            </w:tcBorders>
          </w:tcPr>
          <w:p>
            <w:pPr>
              <w:pStyle w:val="Tabulkatext"/>
              <w:widowControl/>
              <w:suppressAutoHyphens w:val="true"/>
              <w:jc w:val="right"/>
              <w:rPr>
                <w:kern w:val="0"/>
                <w:lang w:val="cs-CZ" w:bidi="ar-SA"/>
              </w:rPr>
            </w:pPr>
            <w:r>
              <w:rPr>
                <w:kern w:val="0"/>
                <w:lang w:val="cs-CZ" w:bidi="ar-SA"/>
              </w:rPr>
            </w:r>
          </w:p>
        </w:tc>
        <w:tc>
          <w:tcPr>
            <w:tcW w:w="1596" w:type="dxa"/>
            <w:tcBorders>
              <w:top w:val="nil"/>
              <w:left w:val="nil"/>
              <w:bottom w:val="nil"/>
              <w:right w:val="nil"/>
            </w:tcBorders>
          </w:tcPr>
          <w:p>
            <w:pPr>
              <w:pStyle w:val="Tabulkatext"/>
              <w:widowControl/>
              <w:suppressAutoHyphens w:val="true"/>
              <w:jc w:val="right"/>
              <w:rPr>
                <w:kern w:val="0"/>
                <w:lang w:val="cs-CZ" w:bidi="ar-SA"/>
              </w:rPr>
            </w:pPr>
            <w:r>
              <w:rPr>
                <w:kern w:val="0"/>
                <w:lang w:val="cs-CZ" w:bidi="ar-SA"/>
              </w:rPr>
            </w:r>
          </w:p>
        </w:tc>
        <w:tc>
          <w:tcPr>
            <w:tcW w:w="1600" w:type="dxa"/>
            <w:tcBorders>
              <w:top w:val="nil"/>
              <w:left w:val="nil"/>
              <w:bottom w:val="nil"/>
              <w:right w:val="nil"/>
            </w:tcBorders>
          </w:tcPr>
          <w:p>
            <w:pPr>
              <w:pStyle w:val="Tabulkatext"/>
              <w:widowControl/>
              <w:suppressAutoHyphens w:val="true"/>
              <w:rPr>
                <w:kern w:val="0"/>
                <w:lang w:val="cs-CZ" w:bidi="ar-SA"/>
              </w:rPr>
            </w:pPr>
            <w:r>
              <w:rPr>
                <w:kern w:val="0"/>
                <w:lang w:val="cs-CZ" w:bidi="ar-SA"/>
              </w:rPr>
            </w:r>
          </w:p>
        </w:tc>
      </w:tr>
      <w:tr>
        <w:trPr/>
        <w:tc>
          <w:tcPr>
            <w:tcW w:w="2693" w:type="dxa"/>
            <w:tcBorders>
              <w:top w:val="nil"/>
              <w:left w:val="nil"/>
              <w:bottom w:val="nil"/>
              <w:right w:val="nil"/>
            </w:tcBorders>
          </w:tcPr>
          <w:p>
            <w:pPr>
              <w:pStyle w:val="Tabulkatext"/>
              <w:widowControl/>
              <w:suppressAutoHyphens w:val="true"/>
              <w:rPr>
                <w:kern w:val="0"/>
                <w:lang w:val="cs-CZ" w:bidi="ar-SA"/>
              </w:rPr>
            </w:pPr>
            <w:r>
              <w:rPr>
                <w:kern w:val="0"/>
                <w:lang w:val="cs-CZ" w:bidi="ar-SA"/>
              </w:rPr>
              <w:t>[[#explanatory_variables]][[name]]</w:t>
            </w:r>
          </w:p>
        </w:tc>
        <w:tc>
          <w:tcPr>
            <w:tcW w:w="1599" w:type="dxa"/>
            <w:tcBorders>
              <w:top w:val="nil"/>
              <w:left w:val="nil"/>
              <w:bottom w:val="nil"/>
              <w:right w:val="nil"/>
            </w:tcBorders>
          </w:tcPr>
          <w:p>
            <w:pPr>
              <w:pStyle w:val="Tabulkatext"/>
              <w:widowControl/>
              <w:suppressAutoHyphens w:val="true"/>
              <w:jc w:val="right"/>
              <w:rPr>
                <w:kern w:val="0"/>
                <w:lang w:val="cs-CZ" w:bidi="ar-SA"/>
              </w:rPr>
            </w:pPr>
            <w:r>
              <w:rPr>
                <w:kern w:val="0"/>
                <w:lang w:val="cs-CZ" w:bidi="ar-SA"/>
              </w:rPr>
              <w:t>[[coef]]</w:t>
            </w:r>
          </w:p>
        </w:tc>
        <w:tc>
          <w:tcPr>
            <w:tcW w:w="1598" w:type="dxa"/>
            <w:tcBorders>
              <w:top w:val="nil"/>
              <w:left w:val="nil"/>
              <w:bottom w:val="nil"/>
              <w:right w:val="nil"/>
            </w:tcBorders>
          </w:tcPr>
          <w:p>
            <w:pPr>
              <w:pStyle w:val="Tabulkatext"/>
              <w:widowControl/>
              <w:suppressAutoHyphens w:val="true"/>
              <w:jc w:val="right"/>
              <w:rPr>
                <w:kern w:val="0"/>
                <w:lang w:val="cs-CZ" w:bidi="ar-SA"/>
              </w:rPr>
            </w:pPr>
            <w:r>
              <w:rPr>
                <w:kern w:val="0"/>
                <w:lang w:val="cs-CZ" w:bidi="ar-SA"/>
              </w:rPr>
              <w:t>[[SE]]</w:t>
            </w:r>
          </w:p>
        </w:tc>
        <w:tc>
          <w:tcPr>
            <w:tcW w:w="1596" w:type="dxa"/>
            <w:tcBorders>
              <w:top w:val="nil"/>
              <w:left w:val="nil"/>
              <w:bottom w:val="nil"/>
              <w:right w:val="nil"/>
            </w:tcBorders>
          </w:tcPr>
          <w:p>
            <w:pPr>
              <w:pStyle w:val="Tabulkatext"/>
              <w:widowControl/>
              <w:suppressAutoHyphens w:val="true"/>
              <w:jc w:val="right"/>
              <w:rPr>
                <w:kern w:val="0"/>
                <w:lang w:val="cs-CZ" w:bidi="ar-SA"/>
              </w:rPr>
            </w:pPr>
            <w:r>
              <w:rPr>
                <w:kern w:val="0"/>
                <w:lang w:val="cs-CZ" w:bidi="ar-SA"/>
              </w:rPr>
              <w:t>[[ts]]</w:t>
            </w:r>
          </w:p>
        </w:tc>
        <w:tc>
          <w:tcPr>
            <w:tcW w:w="1600" w:type="dxa"/>
            <w:tcBorders>
              <w:top w:val="nil"/>
              <w:left w:val="nil"/>
              <w:bottom w:val="nil"/>
              <w:right w:val="nil"/>
            </w:tcBorders>
          </w:tcPr>
          <w:p>
            <w:pPr>
              <w:pStyle w:val="Tabulkatext"/>
              <w:widowControl/>
              <w:suppressAutoHyphens w:val="true"/>
              <w:rPr>
                <w:kern w:val="0"/>
                <w:lang w:val="cs-CZ" w:bidi="ar-SA"/>
              </w:rPr>
            </w:pPr>
            <w:r>
              <w:rPr>
                <w:kern w:val="0"/>
                <w:lang w:val="cs-CZ" w:bidi="ar-SA"/>
              </w:rPr>
              <w:t>[[ps]][[/explanatory_variables]]</w:t>
            </w:r>
          </w:p>
        </w:tc>
      </w:tr>
      <w:tr>
        <w:trPr/>
        <w:tc>
          <w:tcPr>
            <w:tcW w:w="2693" w:type="dxa"/>
            <w:tcBorders>
              <w:top w:val="nil"/>
              <w:left w:val="nil"/>
              <w:bottom w:val="nil"/>
              <w:right w:val="nil"/>
            </w:tcBorders>
          </w:tcPr>
          <w:p>
            <w:pPr>
              <w:pStyle w:val="Tabulkatext"/>
              <w:widowControl/>
              <w:suppressAutoHyphens w:val="true"/>
              <w:rPr>
                <w:b/>
                <w:bCs/>
                <w:color w:val="0C1838"/>
              </w:rPr>
            </w:pPr>
            <w:r>
              <w:rPr>
                <w:b/>
                <w:bCs/>
                <w:color w:val="0C1838"/>
                <w:kern w:val="0"/>
                <w:lang w:val="cs-CZ" w:bidi="ar-SA"/>
              </w:rPr>
              <w:t>N = [[N]]</w:t>
            </w:r>
          </w:p>
        </w:tc>
        <w:tc>
          <w:tcPr>
            <w:tcW w:w="1599" w:type="dxa"/>
            <w:tcBorders>
              <w:top w:val="nil"/>
              <w:left w:val="nil"/>
              <w:bottom w:val="nil"/>
              <w:right w:val="nil"/>
            </w:tcBorders>
          </w:tcPr>
          <w:p>
            <w:pPr>
              <w:pStyle w:val="Tabulkatext"/>
              <w:widowControl/>
              <w:suppressAutoHyphens w:val="true"/>
              <w:jc w:val="right"/>
              <w:rPr>
                <w:b/>
                <w:bCs/>
                <w:color w:val="0C1838"/>
              </w:rPr>
            </w:pPr>
            <w:r>
              <w:rPr>
                <w:b/>
                <w:bCs/>
                <w:color w:val="0C1838"/>
                <w:kern w:val="0"/>
                <w:lang w:val="cs-CZ" w:bidi="ar-SA"/>
              </w:rPr>
              <w:t>R</w:t>
            </w:r>
            <w:r>
              <w:rPr>
                <w:b/>
                <w:bCs/>
                <w:color w:val="0C1838"/>
                <w:kern w:val="0"/>
                <w:vertAlign w:val="superscript"/>
                <w:lang w:val="cs-CZ" w:bidi="ar-SA"/>
              </w:rPr>
              <w:t>2</w:t>
            </w:r>
          </w:p>
          <w:p>
            <w:pPr>
              <w:pStyle w:val="Tabulkatext"/>
              <w:widowControl/>
              <w:suppressAutoHyphens w:val="true"/>
              <w:jc w:val="right"/>
              <w:rPr>
                <w:b/>
                <w:bCs/>
                <w:color w:val="0C1838"/>
              </w:rPr>
            </w:pPr>
            <w:r>
              <w:rPr>
                <w:b/>
                <w:bCs/>
                <w:color w:val="0C1838"/>
                <w:kern w:val="0"/>
                <w:lang w:val="cs-CZ" w:bidi="ar-SA"/>
              </w:rPr>
              <w:t>[[R_2]]</w:t>
            </w:r>
          </w:p>
        </w:tc>
        <w:tc>
          <w:tcPr>
            <w:tcW w:w="1598" w:type="dxa"/>
            <w:tcBorders>
              <w:top w:val="nil"/>
              <w:left w:val="nil"/>
              <w:bottom w:val="nil"/>
              <w:right w:val="nil"/>
            </w:tcBorders>
          </w:tcPr>
          <w:p>
            <w:pPr>
              <w:pStyle w:val="Tabulkatext"/>
              <w:widowControl/>
              <w:suppressAutoHyphens w:val="true"/>
              <w:jc w:val="right"/>
              <w:rPr>
                <w:b/>
                <w:bCs/>
                <w:color w:val="0C1838"/>
              </w:rPr>
            </w:pPr>
            <w:r>
              <w:rPr>
                <w:b/>
                <w:bCs/>
                <w:color w:val="0C1838"/>
                <w:kern w:val="0"/>
                <w:lang w:val="cs-CZ" w:bidi="ar-SA"/>
              </w:rPr>
              <w:t>Adj R</w:t>
            </w:r>
            <w:r>
              <w:rPr>
                <w:b/>
                <w:bCs/>
                <w:color w:val="0C1838"/>
                <w:kern w:val="0"/>
                <w:vertAlign w:val="superscript"/>
                <w:lang w:val="cs-CZ" w:bidi="ar-SA"/>
              </w:rPr>
              <w:t>2</w:t>
            </w:r>
          </w:p>
          <w:p>
            <w:pPr>
              <w:pStyle w:val="Tabulkatext"/>
              <w:widowControl/>
              <w:suppressAutoHyphens w:val="true"/>
              <w:jc w:val="right"/>
              <w:rPr>
                <w:b/>
                <w:bCs/>
                <w:color w:val="0C1838"/>
              </w:rPr>
            </w:pPr>
            <w:r>
              <w:rPr>
                <w:b/>
                <w:bCs/>
                <w:color w:val="0C1838"/>
                <w:kern w:val="0"/>
                <w:lang w:val="cs-CZ" w:bidi="ar-SA"/>
              </w:rPr>
              <w:t>[[Adj_R_2]]</w:t>
            </w:r>
          </w:p>
        </w:tc>
        <w:tc>
          <w:tcPr>
            <w:tcW w:w="1596" w:type="dxa"/>
            <w:tcBorders>
              <w:top w:val="nil"/>
              <w:left w:val="nil"/>
              <w:bottom w:val="nil"/>
              <w:right w:val="nil"/>
            </w:tcBorders>
          </w:tcPr>
          <w:p>
            <w:pPr>
              <w:pStyle w:val="Tabulkatext"/>
              <w:widowControl/>
              <w:suppressAutoHyphens w:val="true"/>
              <w:jc w:val="right"/>
              <w:rPr>
                <w:b/>
                <w:bCs/>
                <w:color w:val="0C1838"/>
              </w:rPr>
            </w:pPr>
            <w:r>
              <w:rPr>
                <w:b/>
                <w:bCs/>
                <w:color w:val="0C1838"/>
                <w:kern w:val="0"/>
                <w:lang w:val="cs-CZ" w:bidi="ar-SA"/>
              </w:rPr>
              <w:t>F</w:t>
            </w:r>
          </w:p>
          <w:p>
            <w:pPr>
              <w:pStyle w:val="Tabulkatext"/>
              <w:widowControl/>
              <w:suppressAutoHyphens w:val="true"/>
              <w:jc w:val="right"/>
              <w:rPr>
                <w:b/>
                <w:bCs/>
                <w:color w:val="0C1838"/>
              </w:rPr>
            </w:pPr>
            <w:r>
              <w:rPr>
                <w:b/>
                <w:bCs/>
                <w:color w:val="0C1838"/>
                <w:kern w:val="0"/>
                <w:lang w:val="cs-CZ" w:bidi="ar-SA"/>
              </w:rPr>
              <w:t>[[F_statistic]]</w:t>
            </w:r>
          </w:p>
        </w:tc>
        <w:tc>
          <w:tcPr>
            <w:tcW w:w="1600" w:type="dxa"/>
            <w:tcBorders>
              <w:top w:val="nil"/>
              <w:left w:val="nil"/>
              <w:bottom w:val="nil"/>
              <w:right w:val="nil"/>
            </w:tcBorders>
          </w:tcPr>
          <w:p>
            <w:pPr>
              <w:pStyle w:val="Tabulkatext"/>
              <w:widowControl/>
              <w:suppressAutoHyphens w:val="true"/>
              <w:rPr>
                <w:b/>
                <w:bCs/>
                <w:color w:val="0C1838"/>
              </w:rPr>
            </w:pPr>
            <w:r>
              <w:rPr>
                <w:b/>
                <w:bCs/>
                <w:color w:val="0C1838"/>
                <w:kern w:val="0"/>
                <w:lang w:val="cs-CZ" w:bidi="ar-SA"/>
              </w:rPr>
              <w:t>F(p)</w:t>
            </w:r>
          </w:p>
          <w:p>
            <w:pPr>
              <w:pStyle w:val="Tabulkatext"/>
              <w:widowControl/>
              <w:suppressAutoHyphens w:val="true"/>
              <w:rPr>
                <w:b/>
                <w:bCs/>
                <w:color w:val="0C1838"/>
              </w:rPr>
            </w:pPr>
            <w:r>
              <w:rPr>
                <w:b/>
                <w:bCs/>
                <w:color w:val="0C1838"/>
                <w:kern w:val="0"/>
                <w:lang w:val="cs-CZ" w:bidi="ar-SA"/>
              </w:rPr>
              <w:t>[[F_p_value]]</w:t>
            </w:r>
            <w:r>
              <w:rPr>
                <w:kern w:val="0"/>
                <w:lang w:val="cs-CZ" w:bidi="ar-SA"/>
              </w:rPr>
              <w:t>[[/MM_02_hedonic_log_OLS]][[/EU_list_prices_02_regressions]]</w:t>
            </w:r>
          </w:p>
        </w:tc>
      </w:tr>
    </w:tbl>
    <w:p>
      <w:pPr>
        <w:pStyle w:val="Zdroj"/>
        <w:rPr/>
      </w:pPr>
      <w:r>
        <w:rPr/>
        <w:t>Zdroj/Source: Vlastní odhad Úřadu / Estimation done by the Office.</w:t>
      </w:r>
    </w:p>
    <w:p>
      <w:pPr>
        <w:pStyle w:val="Textprost"/>
        <w:rPr>
          <w:lang w:eastAsia="en-US"/>
        </w:rPr>
      </w:pPr>
      <w:r>
        <w:rPr>
          <w:lang w:eastAsia="en-US"/>
        </w:rPr>
      </w:r>
    </w:p>
    <w:p>
      <w:pPr>
        <w:pStyle w:val="Tabulka"/>
        <w:numPr>
          <w:ilvl w:val="0"/>
          <w:numId w:val="3"/>
        </w:numPr>
        <w:ind w:hanging="1560" w:left="1560" w:right="0"/>
        <w:rPr/>
      </w:pPr>
      <w:bookmarkStart w:id="156" w:name="_Toc229057982"/>
      <w:r>
        <w:rPr/>
        <w:t>Inverzní idealizovaný model finálního odhadu odchylky českých ceníkových cen mobilních služeb (log-lineární forma)</w:t>
      </w:r>
      <w:bookmarkEnd w:id="156"/>
    </w:p>
    <w:p>
      <w:pPr>
        <w:pStyle w:val="TabulkavAJ"/>
        <w:ind w:hanging="0" w:left="1560" w:right="0"/>
        <w:rPr/>
      </w:pPr>
      <w:bookmarkStart w:id="157" w:name="_Toc229060855"/>
      <w:bookmarkStart w:id="158" w:name="_Toc229057958"/>
      <w:r>
        <w:rPr/>
        <w:t>Inverse Idealised Model for Final Estimating the Deviation of Czech List Prices for Mobile Services (Log-Linear Form)</w:t>
      </w:r>
      <w:bookmarkEnd w:id="157"/>
      <w:bookmarkEnd w:id="158"/>
    </w:p>
    <w:tbl>
      <w:tblPr>
        <w:tblStyle w:val="TableGrid"/>
        <w:tblW w:w="908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693"/>
        <w:gridCol w:w="1599"/>
        <w:gridCol w:w="1598"/>
        <w:gridCol w:w="1596"/>
        <w:gridCol w:w="1600"/>
      </w:tblGrid>
      <w:tr>
        <w:trPr/>
        <w:tc>
          <w:tcPr>
            <w:tcW w:w="2693" w:type="dxa"/>
            <w:tcBorders>
              <w:top w:val="nil"/>
              <w:left w:val="nil"/>
              <w:bottom w:val="nil"/>
              <w:right w:val="nil"/>
            </w:tcBorders>
          </w:tcPr>
          <w:p>
            <w:pPr>
              <w:pStyle w:val="Tabulkatext"/>
              <w:widowControl/>
              <w:suppressAutoHyphens w:val="true"/>
              <w:rPr>
                <w:b/>
                <w:bCs/>
                <w:color w:val="0C1838"/>
              </w:rPr>
            </w:pPr>
            <w:r>
              <w:rPr>
                <w:b/>
                <w:bCs/>
                <w:color w:val="0C1838"/>
                <w:kern w:val="0"/>
                <w:lang w:val="cs-CZ" w:bidi="ar-SA"/>
              </w:rPr>
              <w:t xml:space="preserve">Proměnná / </w:t>
            </w:r>
            <w:r>
              <w:rPr>
                <w:b/>
                <w:bCs/>
                <w:i/>
                <w:iCs/>
                <w:color w:val="0C1838"/>
                <w:kern w:val="0"/>
                <w:lang w:val="cs-CZ" w:bidi="ar-SA"/>
              </w:rPr>
              <w:t>Variable</w:t>
            </w:r>
          </w:p>
        </w:tc>
        <w:tc>
          <w:tcPr>
            <w:tcW w:w="1599" w:type="dxa"/>
            <w:tcBorders>
              <w:top w:val="nil"/>
              <w:left w:val="nil"/>
              <w:bottom w:val="nil"/>
              <w:right w:val="nil"/>
            </w:tcBorders>
          </w:tcPr>
          <w:p>
            <w:pPr>
              <w:pStyle w:val="Tabulkatext"/>
              <w:widowControl/>
              <w:suppressAutoHyphens w:val="true"/>
              <w:jc w:val="right"/>
              <w:rPr>
                <w:b/>
                <w:bCs/>
                <w:color w:val="0C1838"/>
              </w:rPr>
            </w:pPr>
            <w:r>
              <w:rPr>
                <w:b/>
                <w:bCs/>
                <w:color w:val="0C1838"/>
                <w:kern w:val="0"/>
                <w:lang w:val="cs-CZ" w:bidi="ar-SA"/>
              </w:rPr>
              <w:t xml:space="preserve">Koef. / </w:t>
            </w:r>
            <w:r>
              <w:rPr>
                <w:b/>
                <w:bCs/>
                <w:i/>
                <w:iCs/>
                <w:color w:val="0C1838"/>
                <w:kern w:val="0"/>
                <w:lang w:val="cs-CZ" w:bidi="ar-SA"/>
              </w:rPr>
              <w:t>Coeff.</w:t>
            </w:r>
          </w:p>
        </w:tc>
        <w:tc>
          <w:tcPr>
            <w:tcW w:w="1598" w:type="dxa"/>
            <w:tcBorders>
              <w:top w:val="nil"/>
              <w:left w:val="nil"/>
              <w:bottom w:val="nil"/>
              <w:right w:val="nil"/>
            </w:tcBorders>
          </w:tcPr>
          <w:p>
            <w:pPr>
              <w:pStyle w:val="Tabulkatext"/>
              <w:widowControl/>
              <w:suppressAutoHyphens w:val="true"/>
              <w:jc w:val="right"/>
              <w:rPr>
                <w:b/>
                <w:bCs/>
                <w:color w:val="0C1838"/>
              </w:rPr>
            </w:pPr>
            <w:r>
              <w:rPr>
                <w:b/>
                <w:bCs/>
                <w:color w:val="0C1838"/>
                <w:kern w:val="0"/>
                <w:lang w:val="cs-CZ" w:bidi="ar-SA"/>
              </w:rPr>
              <w:t>s.e.</w:t>
            </w:r>
          </w:p>
        </w:tc>
        <w:tc>
          <w:tcPr>
            <w:tcW w:w="1596" w:type="dxa"/>
            <w:tcBorders>
              <w:top w:val="nil"/>
              <w:left w:val="nil"/>
              <w:bottom w:val="nil"/>
              <w:right w:val="nil"/>
            </w:tcBorders>
          </w:tcPr>
          <w:p>
            <w:pPr>
              <w:pStyle w:val="Tabulkatext"/>
              <w:widowControl/>
              <w:suppressAutoHyphens w:val="true"/>
              <w:jc w:val="right"/>
              <w:rPr>
                <w:b/>
                <w:bCs/>
                <w:color w:val="0C1838"/>
              </w:rPr>
            </w:pPr>
            <w:r>
              <w:rPr>
                <w:b/>
                <w:bCs/>
                <w:color w:val="0C1838"/>
                <w:kern w:val="0"/>
                <w:lang w:val="cs-CZ" w:bidi="ar-SA"/>
              </w:rPr>
              <w:t>t</w:t>
            </w:r>
          </w:p>
        </w:tc>
        <w:tc>
          <w:tcPr>
            <w:tcW w:w="1600" w:type="dxa"/>
            <w:tcBorders>
              <w:top w:val="nil"/>
              <w:left w:val="nil"/>
              <w:bottom w:val="nil"/>
              <w:right w:val="nil"/>
            </w:tcBorders>
          </w:tcPr>
          <w:p>
            <w:pPr>
              <w:pStyle w:val="Tabulkatext"/>
              <w:widowControl/>
              <w:suppressAutoHyphens w:val="true"/>
              <w:rPr>
                <w:b/>
                <w:bCs/>
                <w:color w:val="0C1838"/>
              </w:rPr>
            </w:pPr>
            <w:r>
              <w:rPr>
                <w:b/>
                <w:bCs/>
                <w:color w:val="0C1838"/>
              </w:rPr>
            </w:r>
          </w:p>
        </w:tc>
      </w:tr>
      <w:tr>
        <w:trPr/>
        <w:tc>
          <w:tcPr>
            <w:tcW w:w="2693" w:type="dxa"/>
            <w:tcBorders>
              <w:top w:val="nil"/>
              <w:left w:val="nil"/>
              <w:bottom w:val="nil"/>
              <w:right w:val="nil"/>
            </w:tcBorders>
          </w:tcPr>
          <w:p>
            <w:pPr>
              <w:pStyle w:val="Tabulkatext"/>
              <w:widowControl/>
              <w:suppressAutoHyphens w:val="true"/>
              <w:rPr>
                <w:b/>
                <w:bCs/>
              </w:rPr>
            </w:pPr>
            <w:r>
              <w:rPr>
                <w:kern w:val="0"/>
                <w:lang w:val="cs-CZ" w:bidi="ar-SA"/>
              </w:rPr>
              <w:t>[[#EU_list_prices_02_regressions]][[#MM_02_hedonic_log_OLS_inverse]]</w:t>
            </w:r>
            <w:r>
              <w:rPr>
                <w:b/>
                <w:bCs/>
                <w:kern w:val="0"/>
                <w:lang w:val="cs-CZ" w:bidi="ar-SA"/>
              </w:rPr>
              <w:t>[[dependent_variable]]</w:t>
            </w:r>
          </w:p>
        </w:tc>
        <w:tc>
          <w:tcPr>
            <w:tcW w:w="1599" w:type="dxa"/>
            <w:tcBorders>
              <w:top w:val="nil"/>
              <w:left w:val="nil"/>
              <w:bottom w:val="nil"/>
              <w:right w:val="nil"/>
            </w:tcBorders>
          </w:tcPr>
          <w:p>
            <w:pPr>
              <w:pStyle w:val="Tabulkatext"/>
              <w:widowControl/>
              <w:suppressAutoHyphens w:val="true"/>
              <w:jc w:val="right"/>
              <w:rPr>
                <w:kern w:val="0"/>
                <w:lang w:val="cs-CZ" w:bidi="ar-SA"/>
              </w:rPr>
            </w:pPr>
            <w:r>
              <w:rPr>
                <w:kern w:val="0"/>
                <w:lang w:val="cs-CZ" w:bidi="ar-SA"/>
              </w:rPr>
            </w:r>
          </w:p>
        </w:tc>
        <w:tc>
          <w:tcPr>
            <w:tcW w:w="1598" w:type="dxa"/>
            <w:tcBorders>
              <w:top w:val="nil"/>
              <w:left w:val="nil"/>
              <w:bottom w:val="nil"/>
              <w:right w:val="nil"/>
            </w:tcBorders>
          </w:tcPr>
          <w:p>
            <w:pPr>
              <w:pStyle w:val="Tabulkatext"/>
              <w:widowControl/>
              <w:suppressAutoHyphens w:val="true"/>
              <w:jc w:val="right"/>
              <w:rPr>
                <w:kern w:val="0"/>
                <w:lang w:val="cs-CZ" w:bidi="ar-SA"/>
              </w:rPr>
            </w:pPr>
            <w:r>
              <w:rPr>
                <w:kern w:val="0"/>
                <w:lang w:val="cs-CZ" w:bidi="ar-SA"/>
              </w:rPr>
            </w:r>
          </w:p>
        </w:tc>
        <w:tc>
          <w:tcPr>
            <w:tcW w:w="1596" w:type="dxa"/>
            <w:tcBorders>
              <w:top w:val="nil"/>
              <w:left w:val="nil"/>
              <w:bottom w:val="nil"/>
              <w:right w:val="nil"/>
            </w:tcBorders>
          </w:tcPr>
          <w:p>
            <w:pPr>
              <w:pStyle w:val="Tabulkatext"/>
              <w:widowControl/>
              <w:suppressAutoHyphens w:val="true"/>
              <w:jc w:val="right"/>
              <w:rPr>
                <w:kern w:val="0"/>
                <w:lang w:val="cs-CZ" w:bidi="ar-SA"/>
              </w:rPr>
            </w:pPr>
            <w:r>
              <w:rPr>
                <w:kern w:val="0"/>
                <w:lang w:val="cs-CZ" w:bidi="ar-SA"/>
              </w:rPr>
            </w:r>
          </w:p>
        </w:tc>
        <w:tc>
          <w:tcPr>
            <w:tcW w:w="1600" w:type="dxa"/>
            <w:tcBorders>
              <w:top w:val="nil"/>
              <w:left w:val="nil"/>
              <w:bottom w:val="nil"/>
              <w:right w:val="nil"/>
            </w:tcBorders>
          </w:tcPr>
          <w:p>
            <w:pPr>
              <w:pStyle w:val="Tabulkatext"/>
              <w:widowControl/>
              <w:suppressAutoHyphens w:val="true"/>
              <w:rPr>
                <w:kern w:val="0"/>
                <w:lang w:val="cs-CZ" w:bidi="ar-SA"/>
              </w:rPr>
            </w:pPr>
            <w:r>
              <w:rPr>
                <w:kern w:val="0"/>
                <w:lang w:val="cs-CZ" w:bidi="ar-SA"/>
              </w:rPr>
            </w:r>
          </w:p>
        </w:tc>
      </w:tr>
      <w:tr>
        <w:trPr/>
        <w:tc>
          <w:tcPr>
            <w:tcW w:w="2693" w:type="dxa"/>
            <w:tcBorders>
              <w:top w:val="nil"/>
              <w:left w:val="nil"/>
              <w:bottom w:val="nil"/>
              <w:right w:val="nil"/>
            </w:tcBorders>
          </w:tcPr>
          <w:p>
            <w:pPr>
              <w:pStyle w:val="Tabulkatext"/>
              <w:widowControl/>
              <w:suppressAutoHyphens w:val="true"/>
              <w:rPr>
                <w:kern w:val="0"/>
                <w:lang w:val="cs-CZ" w:bidi="ar-SA"/>
              </w:rPr>
            </w:pPr>
            <w:r>
              <w:rPr>
                <w:kern w:val="0"/>
                <w:lang w:val="cs-CZ" w:bidi="ar-SA"/>
              </w:rPr>
              <w:t>[[#explanatory_variables]][[name]]</w:t>
            </w:r>
          </w:p>
        </w:tc>
        <w:tc>
          <w:tcPr>
            <w:tcW w:w="1599" w:type="dxa"/>
            <w:tcBorders>
              <w:top w:val="nil"/>
              <w:left w:val="nil"/>
              <w:bottom w:val="nil"/>
              <w:right w:val="nil"/>
            </w:tcBorders>
          </w:tcPr>
          <w:p>
            <w:pPr>
              <w:pStyle w:val="Tabulkatext"/>
              <w:widowControl/>
              <w:suppressAutoHyphens w:val="true"/>
              <w:jc w:val="right"/>
              <w:rPr>
                <w:kern w:val="0"/>
                <w:lang w:val="cs-CZ" w:bidi="ar-SA"/>
              </w:rPr>
            </w:pPr>
            <w:r>
              <w:rPr>
                <w:kern w:val="0"/>
                <w:lang w:val="cs-CZ" w:bidi="ar-SA"/>
              </w:rPr>
              <w:t>[[coef]]</w:t>
            </w:r>
          </w:p>
        </w:tc>
        <w:tc>
          <w:tcPr>
            <w:tcW w:w="1598" w:type="dxa"/>
            <w:tcBorders>
              <w:top w:val="nil"/>
              <w:left w:val="nil"/>
              <w:bottom w:val="nil"/>
              <w:right w:val="nil"/>
            </w:tcBorders>
          </w:tcPr>
          <w:p>
            <w:pPr>
              <w:pStyle w:val="Tabulkatext"/>
              <w:widowControl/>
              <w:suppressAutoHyphens w:val="true"/>
              <w:jc w:val="right"/>
              <w:rPr>
                <w:kern w:val="0"/>
                <w:lang w:val="cs-CZ" w:bidi="ar-SA"/>
              </w:rPr>
            </w:pPr>
            <w:r>
              <w:rPr>
                <w:kern w:val="0"/>
                <w:lang w:val="cs-CZ" w:bidi="ar-SA"/>
              </w:rPr>
              <w:t>[[SE]]</w:t>
            </w:r>
          </w:p>
        </w:tc>
        <w:tc>
          <w:tcPr>
            <w:tcW w:w="1596" w:type="dxa"/>
            <w:tcBorders>
              <w:top w:val="nil"/>
              <w:left w:val="nil"/>
              <w:bottom w:val="nil"/>
              <w:right w:val="nil"/>
            </w:tcBorders>
          </w:tcPr>
          <w:p>
            <w:pPr>
              <w:pStyle w:val="Tabulkatext"/>
              <w:widowControl/>
              <w:suppressAutoHyphens w:val="true"/>
              <w:jc w:val="right"/>
              <w:rPr>
                <w:kern w:val="0"/>
                <w:lang w:val="cs-CZ" w:bidi="ar-SA"/>
              </w:rPr>
            </w:pPr>
            <w:r>
              <w:rPr>
                <w:kern w:val="0"/>
                <w:lang w:val="cs-CZ" w:bidi="ar-SA"/>
              </w:rPr>
              <w:t>[[ts]]</w:t>
            </w:r>
          </w:p>
        </w:tc>
        <w:tc>
          <w:tcPr>
            <w:tcW w:w="1600" w:type="dxa"/>
            <w:tcBorders>
              <w:top w:val="nil"/>
              <w:left w:val="nil"/>
              <w:bottom w:val="nil"/>
              <w:right w:val="nil"/>
            </w:tcBorders>
          </w:tcPr>
          <w:p>
            <w:pPr>
              <w:pStyle w:val="Tabulkatext"/>
              <w:widowControl/>
              <w:suppressAutoHyphens w:val="true"/>
              <w:rPr>
                <w:kern w:val="0"/>
                <w:lang w:val="cs-CZ" w:bidi="ar-SA"/>
              </w:rPr>
            </w:pPr>
            <w:r>
              <w:rPr>
                <w:kern w:val="0"/>
                <w:lang w:val="cs-CZ" w:bidi="ar-SA"/>
              </w:rPr>
              <w:t>[[ps]][[/explanatory_variables]]</w:t>
            </w:r>
          </w:p>
        </w:tc>
      </w:tr>
      <w:tr>
        <w:trPr/>
        <w:tc>
          <w:tcPr>
            <w:tcW w:w="2693" w:type="dxa"/>
            <w:tcBorders>
              <w:top w:val="nil"/>
              <w:left w:val="nil"/>
              <w:bottom w:val="nil"/>
              <w:right w:val="nil"/>
            </w:tcBorders>
          </w:tcPr>
          <w:p>
            <w:pPr>
              <w:pStyle w:val="Tabulkatext"/>
              <w:widowControl/>
              <w:suppressAutoHyphens w:val="true"/>
              <w:rPr>
                <w:b/>
                <w:bCs/>
                <w:color w:val="0C1838"/>
              </w:rPr>
            </w:pPr>
            <w:r>
              <w:rPr>
                <w:b/>
                <w:bCs/>
                <w:color w:val="0C1838"/>
                <w:kern w:val="0"/>
                <w:lang w:val="cs-CZ" w:bidi="ar-SA"/>
              </w:rPr>
              <w:t>N = [[N]]</w:t>
            </w:r>
          </w:p>
        </w:tc>
        <w:tc>
          <w:tcPr>
            <w:tcW w:w="1599" w:type="dxa"/>
            <w:tcBorders>
              <w:top w:val="nil"/>
              <w:left w:val="nil"/>
              <w:bottom w:val="nil"/>
              <w:right w:val="nil"/>
            </w:tcBorders>
          </w:tcPr>
          <w:p>
            <w:pPr>
              <w:pStyle w:val="Tabulkatext"/>
              <w:widowControl/>
              <w:suppressAutoHyphens w:val="true"/>
              <w:jc w:val="right"/>
              <w:rPr>
                <w:b/>
                <w:bCs/>
                <w:color w:val="0C1838"/>
              </w:rPr>
            </w:pPr>
            <w:r>
              <w:rPr>
                <w:b/>
                <w:bCs/>
                <w:color w:val="0C1838"/>
                <w:kern w:val="0"/>
                <w:lang w:val="cs-CZ" w:bidi="ar-SA"/>
              </w:rPr>
              <w:t>R</w:t>
            </w:r>
            <w:r>
              <w:rPr>
                <w:b/>
                <w:bCs/>
                <w:color w:val="0C1838"/>
                <w:kern w:val="0"/>
                <w:vertAlign w:val="superscript"/>
                <w:lang w:val="cs-CZ" w:bidi="ar-SA"/>
              </w:rPr>
              <w:t>2</w:t>
            </w:r>
          </w:p>
          <w:p>
            <w:pPr>
              <w:pStyle w:val="Tabulkatext"/>
              <w:widowControl/>
              <w:suppressAutoHyphens w:val="true"/>
              <w:jc w:val="right"/>
              <w:rPr>
                <w:b/>
                <w:bCs/>
                <w:color w:val="0C1838"/>
              </w:rPr>
            </w:pPr>
            <w:r>
              <w:rPr>
                <w:b/>
                <w:bCs/>
                <w:color w:val="0C1838"/>
                <w:kern w:val="0"/>
                <w:lang w:val="cs-CZ" w:bidi="ar-SA"/>
              </w:rPr>
              <w:t>[[R_2]]</w:t>
            </w:r>
          </w:p>
        </w:tc>
        <w:tc>
          <w:tcPr>
            <w:tcW w:w="1598" w:type="dxa"/>
            <w:tcBorders>
              <w:top w:val="nil"/>
              <w:left w:val="nil"/>
              <w:bottom w:val="nil"/>
              <w:right w:val="nil"/>
            </w:tcBorders>
          </w:tcPr>
          <w:p>
            <w:pPr>
              <w:pStyle w:val="Tabulkatext"/>
              <w:widowControl/>
              <w:suppressAutoHyphens w:val="true"/>
              <w:jc w:val="right"/>
              <w:rPr>
                <w:b/>
                <w:bCs/>
                <w:color w:val="0C1838"/>
              </w:rPr>
            </w:pPr>
            <w:r>
              <w:rPr>
                <w:b/>
                <w:bCs/>
                <w:color w:val="0C1838"/>
                <w:kern w:val="0"/>
                <w:lang w:val="cs-CZ" w:bidi="ar-SA"/>
              </w:rPr>
              <w:t>Adj R</w:t>
            </w:r>
            <w:r>
              <w:rPr>
                <w:b/>
                <w:bCs/>
                <w:color w:val="0C1838"/>
                <w:kern w:val="0"/>
                <w:vertAlign w:val="superscript"/>
                <w:lang w:val="cs-CZ" w:bidi="ar-SA"/>
              </w:rPr>
              <w:t>2</w:t>
            </w:r>
          </w:p>
          <w:p>
            <w:pPr>
              <w:pStyle w:val="Tabulkatext"/>
              <w:widowControl/>
              <w:suppressAutoHyphens w:val="true"/>
              <w:jc w:val="right"/>
              <w:rPr>
                <w:b/>
                <w:bCs/>
                <w:color w:val="0C1838"/>
              </w:rPr>
            </w:pPr>
            <w:r>
              <w:rPr>
                <w:b/>
                <w:bCs/>
                <w:color w:val="0C1838"/>
                <w:kern w:val="0"/>
                <w:lang w:val="cs-CZ" w:bidi="ar-SA"/>
              </w:rPr>
              <w:t>[[Adj_R_2]]</w:t>
            </w:r>
          </w:p>
        </w:tc>
        <w:tc>
          <w:tcPr>
            <w:tcW w:w="1596" w:type="dxa"/>
            <w:tcBorders>
              <w:top w:val="nil"/>
              <w:left w:val="nil"/>
              <w:bottom w:val="nil"/>
              <w:right w:val="nil"/>
            </w:tcBorders>
          </w:tcPr>
          <w:p>
            <w:pPr>
              <w:pStyle w:val="Tabulkatext"/>
              <w:widowControl/>
              <w:suppressAutoHyphens w:val="true"/>
              <w:jc w:val="right"/>
              <w:rPr>
                <w:b/>
                <w:bCs/>
                <w:color w:val="0C1838"/>
              </w:rPr>
            </w:pPr>
            <w:r>
              <w:rPr>
                <w:b/>
                <w:bCs/>
                <w:color w:val="0C1838"/>
                <w:kern w:val="0"/>
                <w:lang w:val="cs-CZ" w:bidi="ar-SA"/>
              </w:rPr>
              <w:t>F</w:t>
            </w:r>
          </w:p>
          <w:p>
            <w:pPr>
              <w:pStyle w:val="Tabulkatext"/>
              <w:widowControl/>
              <w:suppressAutoHyphens w:val="true"/>
              <w:jc w:val="right"/>
              <w:rPr>
                <w:b/>
                <w:bCs/>
                <w:color w:val="0C1838"/>
              </w:rPr>
            </w:pPr>
            <w:r>
              <w:rPr>
                <w:b/>
                <w:bCs/>
                <w:color w:val="0C1838"/>
                <w:kern w:val="0"/>
                <w:lang w:val="cs-CZ" w:bidi="ar-SA"/>
              </w:rPr>
              <w:t>[[F_statistic]]</w:t>
            </w:r>
          </w:p>
        </w:tc>
        <w:tc>
          <w:tcPr>
            <w:tcW w:w="1600" w:type="dxa"/>
            <w:tcBorders>
              <w:top w:val="nil"/>
              <w:left w:val="nil"/>
              <w:bottom w:val="nil"/>
              <w:right w:val="nil"/>
            </w:tcBorders>
          </w:tcPr>
          <w:p>
            <w:pPr>
              <w:pStyle w:val="Tabulkatext"/>
              <w:widowControl/>
              <w:suppressAutoHyphens w:val="true"/>
              <w:rPr>
                <w:b/>
                <w:bCs/>
                <w:color w:val="0C1838"/>
              </w:rPr>
            </w:pPr>
            <w:r>
              <w:rPr>
                <w:b/>
                <w:bCs/>
                <w:color w:val="0C1838"/>
                <w:kern w:val="0"/>
                <w:lang w:val="cs-CZ" w:bidi="ar-SA"/>
              </w:rPr>
              <w:t>F(p)</w:t>
            </w:r>
          </w:p>
          <w:p>
            <w:pPr>
              <w:pStyle w:val="Tabulkatext"/>
              <w:widowControl/>
              <w:suppressAutoHyphens w:val="true"/>
              <w:rPr>
                <w:b/>
                <w:bCs/>
                <w:color w:val="0C1838"/>
              </w:rPr>
            </w:pPr>
            <w:r>
              <w:rPr>
                <w:b/>
                <w:bCs/>
                <w:color w:val="0C1838"/>
                <w:kern w:val="0"/>
                <w:lang w:val="cs-CZ" w:bidi="ar-SA"/>
              </w:rPr>
              <w:t>[[F_p_value]]</w:t>
            </w:r>
            <w:r>
              <w:rPr>
                <w:kern w:val="0"/>
                <w:lang w:val="cs-CZ" w:bidi="ar-SA"/>
              </w:rPr>
              <w:t>[[/MM_02_hedonic_log_OLS_inverse]][[/EU_list_prices_02_regressions]]</w:t>
            </w:r>
          </w:p>
        </w:tc>
      </w:tr>
    </w:tbl>
    <w:p>
      <w:pPr>
        <w:pStyle w:val="Zdroj"/>
        <w:rPr/>
      </w:pPr>
      <w:r>
        <w:rPr/>
        <w:t>Zdroj/Source: Vlastní odhad Úřadu / Estimation done by the Office.</w:t>
      </w:r>
    </w:p>
    <w:p>
      <w:pPr>
        <w:pStyle w:val="Textprost"/>
        <w:rPr/>
      </w:pPr>
      <w:r>
        <w:rPr/>
      </w:r>
    </w:p>
    <w:p>
      <w:pPr>
        <w:pStyle w:val="Textprost"/>
        <w:rPr/>
      </w:pPr>
      <w:r>
        <w:rPr/>
      </w:r>
    </w:p>
    <w:p>
      <w:pPr>
        <w:pStyle w:val="Tabulka"/>
        <w:numPr>
          <w:ilvl w:val="0"/>
          <w:numId w:val="3"/>
        </w:numPr>
        <w:ind w:hanging="1560" w:left="1560" w:right="0"/>
        <w:rPr/>
      </w:pPr>
      <w:bookmarkStart w:id="159" w:name="_Toc229057983"/>
      <w:r>
        <w:rPr/>
        <w:t>Finální model odhadu odchylky českých ceníkových cen mobilních služeb</w:t>
      </w:r>
      <w:bookmarkEnd w:id="159"/>
    </w:p>
    <w:p>
      <w:pPr>
        <w:pStyle w:val="TabulkavAJ"/>
        <w:ind w:hanging="0" w:left="1560" w:right="0"/>
        <w:rPr/>
      </w:pPr>
      <w:bookmarkStart w:id="160" w:name="_Toc229060856"/>
      <w:r>
        <w:rPr/>
        <w:t>Final Model of the Estimate of the Deviation of Czech List Prices for Mobile Services</w:t>
      </w:r>
      <w:bookmarkEnd w:id="160"/>
    </w:p>
    <w:p>
      <w:pPr>
        <w:pStyle w:val="Textkol"/>
        <w:rPr/>
      </w:pPr>
      <w:r>
        <w:rPr/>
        <w:t>Poprosím Toma a vložit příkaz</w:t>
      </w:r>
    </w:p>
    <w:p>
      <w:pPr>
        <w:pStyle w:val="Zdroj"/>
        <w:rPr/>
      </w:pPr>
      <w:r>
        <w:rPr/>
        <w:t>Zdroj/Source: Vlastní odhad Úřadu / Estimated by the Office.</w:t>
      </w:r>
    </w:p>
    <w:p>
      <w:pPr>
        <w:pStyle w:val="Textprost"/>
        <w:rPr/>
      </w:pPr>
      <w:r>
        <w:rPr/>
      </w:r>
    </w:p>
    <w:p>
      <w:pPr>
        <w:pStyle w:val="Textprost"/>
        <w:rPr/>
      </w:pPr>
      <w:r>
        <w:rPr/>
      </w:r>
    </w:p>
    <w:p>
      <w:pPr>
        <w:pStyle w:val="Tabulka"/>
        <w:numPr>
          <w:ilvl w:val="0"/>
          <w:numId w:val="3"/>
        </w:numPr>
        <w:ind w:hanging="1560" w:left="1560" w:right="0"/>
        <w:rPr/>
      </w:pPr>
      <w:bookmarkStart w:id="161" w:name="_Toc229057984"/>
      <w:r>
        <w:rPr/>
        <w:t>Inverzní finální model odhadu odchylky českých ceníkových cen mobilních služeb</w:t>
      </w:r>
      <w:bookmarkEnd w:id="161"/>
    </w:p>
    <w:p>
      <w:pPr>
        <w:pStyle w:val="TabulkavAJ"/>
        <w:ind w:hanging="0" w:left="1560" w:right="0"/>
        <w:rPr/>
      </w:pPr>
      <w:bookmarkStart w:id="162" w:name="_Toc229060857"/>
      <w:r>
        <w:rPr>
          <w:lang w:val="cs-CZ"/>
        </w:rPr>
        <w:t xml:space="preserve">Inverse </w:t>
      </w:r>
      <w:r>
        <w:rPr/>
        <w:t>Final Model of the Estimate of the Deviation of Czech List Prices for Mobile Services</w:t>
      </w:r>
      <w:bookmarkEnd w:id="162"/>
    </w:p>
    <w:p>
      <w:pPr>
        <w:pStyle w:val="Textkol"/>
        <w:rPr/>
      </w:pPr>
      <w:r>
        <w:rPr/>
        <w:t>Poprosím vložit příkaz; model, kde ČR bude v konstantě a ostatní státy ve svých dummy</w:t>
      </w:r>
    </w:p>
    <w:p>
      <w:pPr>
        <w:pStyle w:val="Zdroj"/>
        <w:rPr/>
      </w:pPr>
      <w:r>
        <w:rPr/>
        <w:t>Zdroj/Source: Vlastní odhad Úřadu / Estimated by the Office.</w:t>
      </w:r>
    </w:p>
    <w:p>
      <w:pPr>
        <w:pStyle w:val="Textprost"/>
        <w:rPr/>
      </w:pPr>
      <w:r>
        <w:rPr/>
      </w:r>
    </w:p>
    <w:p>
      <w:pPr>
        <w:pStyle w:val="Textprost"/>
        <w:rPr/>
      </w:pPr>
      <w:r>
        <w:rPr/>
      </w:r>
    </w:p>
    <w:p>
      <w:pPr>
        <w:pStyle w:val="Textprost"/>
        <w:rPr/>
      </w:pPr>
      <w:r>
        <w:rPr/>
      </w:r>
    </w:p>
    <w:p>
      <w:pPr>
        <w:pStyle w:val="Zjitnadu"/>
        <w:numPr>
          <w:ilvl w:val="1"/>
          <w:numId w:val="4"/>
        </w:numPr>
        <w:ind w:hanging="1276" w:left="284" w:right="142"/>
        <w:rPr/>
      </w:pPr>
      <w:bookmarkStart w:id="163" w:name="_Toc226560432"/>
      <w:r>
        <w:rPr/>
        <w:t xml:space="preserve">Úřad na základě provedené analýzy zjistil, že </w:t>
      </w:r>
      <w:r>
        <w:rPr>
          <w:b/>
          <w:bCs/>
        </w:rPr>
        <w:t>cenová úroveň ceníkových cen v České republice je o XX,XX % vyšší za jinak nezměněných podmínek</w:t>
      </w:r>
      <w:r>
        <w:rPr/>
        <w:t xml:space="preserve">, a to na hladině statistické významnosti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01</m:t>
        </m:r>
      </m:oMath>
      <w:r>
        <w:rPr/>
        <w:t>. Konkrétně jsou ceny mobilních operátorů v České republice vyšší ve srovnání s ostatními členskými státy v EU.</w:t>
      </w:r>
      <w:bookmarkEnd w:id="163"/>
    </w:p>
    <w:p>
      <w:pPr>
        <w:pStyle w:val="ZjitnaduvAJ"/>
        <w:ind w:hanging="0" w:left="284" w:right="142"/>
        <w:rPr/>
      </w:pPr>
      <w:r>
        <w:rPr/>
        <w:t xml:space="preserve">Based on the analysis conducted, the Office found that </w:t>
      </w:r>
      <w:r>
        <w:rPr>
          <w:b/>
          <w:bCs/>
        </w:rPr>
        <w:t>the level of list prices in the Czech Republic is XX.XX% higher, ceteris paribus</w:t>
      </w:r>
      <w:r>
        <w:rPr/>
        <w:t xml:space="preserve">, at the statistical significance level of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01</m:t>
        </m:r>
      </m:oMath>
      <w:r>
        <w:rPr/>
        <w:t>. Specifically, the prices charged by mobile operators in the Czech Republic are higher compared to other EU Member States.</w:t>
      </w:r>
    </w:p>
    <w:p>
      <w:pPr>
        <w:pStyle w:val="Textprost"/>
        <w:rPr/>
      </w:pPr>
      <w:r>
        <w:rPr/>
        <w:t xml:space="preserve">Pro lepší představu Úřad uvádí i odhadnuté ceny mobilních tarifů českých operátorů, a to na základě finálního modelu prezentovaného v Tabulce č. </w:t>
      </w:r>
      <w:commentRangeStart w:id="25"/>
      <w:r>
        <w:rPr/>
        <w:t>XXX</w:t>
      </w:r>
      <w:r>
        <w:rPr/>
      </w:r>
      <w:commentRangeEnd w:id="25"/>
      <w:r>
        <w:commentReference w:id="25"/>
      </w:r>
      <w:r>
        <w:rPr/>
        <w:t>. Odhadnutá cena konkrétního tarifu českého operátora je cenou, jaká by byla za podmínek panujících v EU, kdyby se nabízel mimo Českou republiku.</w:t>
      </w:r>
    </w:p>
    <w:p>
      <w:pPr>
        <w:pStyle w:val="Tabulka"/>
        <w:numPr>
          <w:ilvl w:val="0"/>
          <w:numId w:val="3"/>
        </w:numPr>
        <w:ind w:hanging="1560" w:left="1560" w:right="0"/>
        <w:rPr/>
      </w:pPr>
      <w:bookmarkStart w:id="164" w:name="_Toc229057985"/>
      <w:r>
        <w:rPr/>
        <w:t xml:space="preserve">Úřadem modelované ceníkové ceny </w:t>
      </w:r>
      <w:commentRangeStart w:id="26"/>
      <w:r>
        <w:rPr/>
        <w:t xml:space="preserve">mobilních služeb </w:t>
      </w:r>
      <w:r>
        <w:rPr/>
      </w:r>
      <w:commentRangeEnd w:id="26"/>
      <w:r>
        <w:commentReference w:id="26"/>
      </w:r>
      <w:r>
        <w:rPr/>
        <w:t>(v K</w:t>
      </w:r>
      <w:bookmarkEnd w:id="164"/>
      <w:r>
        <w:rPr/>
        <w:t>č)</w:t>
      </w:r>
    </w:p>
    <w:p>
      <w:pPr>
        <w:pStyle w:val="TabulkavAJ"/>
        <w:ind w:hanging="0" w:left="1560" w:right="0"/>
        <w:rPr>
          <w:lang w:val="cs-CZ"/>
        </w:rPr>
      </w:pPr>
      <w:r>
        <w:rPr>
          <w:lang w:val="cs-CZ"/>
        </w:rPr>
      </w:r>
    </w:p>
    <w:p>
      <w:pPr>
        <w:pStyle w:val="Textkol"/>
        <w:rPr/>
      </w:pPr>
      <w:r>
        <w:rPr/>
        <w:t>Poprosím vložit příkaz; Nachystat tabulku, která by vypsala: operátora v čr, název tarifu, P_CZK, P(stříška)_CZK a diferenci v Kč; nicméně musí se to spočítat bez dummy proměnné pro čr</w:t>
      </w:r>
    </w:p>
    <w:p>
      <w:pPr>
        <w:pStyle w:val="Zdroj"/>
        <w:rPr/>
      </w:pPr>
      <w:r>
        <w:rPr/>
        <w:t>Zdroj/Source: Vlastní odhad Úřadu / Estimated by the Office.</w:t>
      </w:r>
    </w:p>
    <w:p>
      <w:pPr>
        <w:pStyle w:val="Textprost"/>
        <w:rPr/>
      </w:pPr>
      <w:r>
        <w:rPr/>
        <w:t>Údaje jen potvrzují zjištění Úřadu dosažená sektorovým šetřením. Úřad má za to, že bez důvodných pochybností prokázal, že rovnovážné nominální ceníkové ceny jsou v České republice vyšší než rovnovážné nominální ceníkové ceny v ostatních státech EU. Jinými slovy tato část potvrzuje pro české prostředí teoretickou domněnku</w:t>
      </w:r>
    </w:p>
    <w:p>
      <w:pPr>
        <w:pStyle w:val="Graf"/>
        <w:numPr>
          <w:ilvl w:val="0"/>
          <w:numId w:val="2"/>
        </w:numPr>
        <w:ind w:hanging="1418" w:left="1418" w:right="0"/>
        <w:jc w:val="left"/>
        <w:rPr/>
      </w:pPr>
      <w:bookmarkStart w:id="165" w:name="_Toc229058029"/>
      <w:r>
        <w:rPr/>
      </w:r>
      <m:oMathPara xmlns:m="http://schemas.openxmlformats.org/officeDocument/2006/math">
        <m:oMathParaPr>
          <m:jc m:val="left"/>
        </m:oMathParaPr>
        <m:oMath>
          <m:sSub>
            <m:e>
              <m:r>
                <w:rPr>
                  <w:rFonts w:ascii="Cambria Math" w:hAnsi="Cambria Math"/>
                </w:rPr>
                <m:t xml:space="preserve">P</m:t>
              </m:r>
            </m:e>
            <m:sub>
              <m:r>
                <w:rPr>
                  <w:rFonts w:ascii="Cambria Math" w:hAnsi="Cambria Math"/>
                </w:rPr>
                <m:t xml:space="preserve">O</m:t>
              </m:r>
            </m:sub>
          </m:sSub>
          <m:r>
            <w:rPr>
              <w:rFonts w:ascii="Cambria Math" w:hAnsi="Cambria Math"/>
            </w:rPr>
            <m:t xml:space="preserve">&gt;</m:t>
          </m:r>
          <m:sSub>
            <m:e>
              <m:r>
                <w:rPr>
                  <w:rFonts w:ascii="Cambria Math" w:hAnsi="Cambria Math"/>
                </w:rPr>
                <m:t xml:space="preserve">P</m:t>
              </m:r>
            </m:e>
            <m:sub>
              <m:r>
                <w:rPr>
                  <w:rFonts w:ascii="Cambria Math" w:hAnsi="Cambria Math"/>
                </w:rPr>
                <m:t xml:space="preserve">E</m:t>
              </m:r>
            </m:sub>
          </m:sSub>
        </m:oMath>
      </m:oMathPara>
      <w:bookmarkEnd w:id="165"/>
    </w:p>
    <w:p>
      <w:pPr>
        <w:pStyle w:val="Textprost"/>
        <w:rPr/>
      </w:pPr>
      <w:r>
        <w:rPr/>
        <w:t xml:space="preserve">uvedenou v části </w:t>
      </w:r>
      <w:commentRangeStart w:id="27"/>
      <w:r>
        <w:rPr/>
        <w:t>XXX</w:t>
      </w:r>
      <w:r>
        <w:rPr/>
      </w:r>
      <w:commentRangeEnd w:id="27"/>
      <w:r>
        <w:commentReference w:id="27"/>
      </w:r>
      <w:r>
        <w:rPr/>
        <w:t xml:space="preserve"> ve zkoumané oblasti mobilních služeb. Zároveň lze na příslušné hladině statistické významnosti tvrdit, že české ceníkové ceny jsou ve srovnání s evropskými </w:t>
      </w:r>
      <w:commentRangeStart w:id="28"/>
      <w:r>
        <w:rPr/>
        <w:t>excesivní</w:t>
      </w:r>
      <w:r>
        <w:rPr/>
      </w:r>
      <w:commentRangeEnd w:id="28"/>
      <w:r>
        <w:commentReference w:id="28"/>
      </w:r>
      <w:r>
        <w:rPr/>
        <w:t>.</w:t>
      </w:r>
    </w:p>
    <w:p>
      <w:pPr>
        <w:pStyle w:val="Textprost"/>
        <w:rPr/>
      </w:pPr>
      <w:r>
        <w:rPr/>
        <w:t>Tato zjištěná situace v ČR má pouze tři možná soutěžně relevantní vysvětlení:</w:t>
      </w:r>
    </w:p>
    <w:p>
      <w:pPr>
        <w:pStyle w:val="Textslovan"/>
        <w:numPr>
          <w:ilvl w:val="0"/>
          <w:numId w:val="55"/>
        </w:numPr>
        <w:ind w:hanging="360" w:left="720" w:right="0"/>
        <w:rPr/>
      </w:pPr>
      <w:r>
        <w:rPr/>
        <w:t>Hospodářská soutěž řádně funguje</w:t>
      </w:r>
      <w:r>
        <w:rPr>
          <w:rStyle w:val="FootnoteReference"/>
        </w:rPr>
        <w:footnoteReference w:id="128"/>
      </w:r>
      <w:r>
        <w:rPr/>
        <w:t xml:space="preserve"> u nás i v EU, avšak ČR se značně odlišuje svými produkčními náklady nebo chováním spotřebitelů.</w:t>
      </w:r>
      <w:r>
        <w:rPr>
          <w:rStyle w:val="FootnoteReference"/>
        </w:rPr>
        <w:footnoteReference w:id="129"/>
      </w:r>
      <w:r>
        <w:rPr/>
        <w:t xml:space="preserve"> Při vyšších nákladech v ČR by skutečně výsledná ceníková cena byla objektivně vyšší v ČR. Obdobně by tomu tak bylo, kdyby česká populace odmítala spotřebovávat mobilní služby ve stejném rozsahu jako spotřebitelé v EU.</w:t>
      </w:r>
      <w:r>
        <w:rPr>
          <w:rStyle w:val="FootnoteReference"/>
        </w:rPr>
        <w:footnoteReference w:id="130"/>
      </w:r>
      <w:r>
        <w:rPr/>
        <w:t xml:space="preserve"> V tomto případě by se tedy značné fixní náklady rozpočítávaly mezi menší množství spotřebitelů.</w:t>
      </w:r>
    </w:p>
    <w:p>
      <w:pPr>
        <w:pStyle w:val="Textslovan"/>
        <w:numPr>
          <w:ilvl w:val="0"/>
          <w:numId w:val="8"/>
        </w:numPr>
        <w:ind w:hanging="357" w:left="456" w:right="0"/>
        <w:rPr/>
      </w:pPr>
      <w:r>
        <w:rPr/>
        <w:t>Hospodářská soutěž u nás řádně nefunguje, zatímco v EU funguje bez měřitelného narušení nebo selhávání. Výsledkem by opět byl statisticky významný rozdíl v tržních cenách, jehož příčiny by Úřad musel řádně prošetřit.</w:t>
      </w:r>
    </w:p>
    <w:p>
      <w:pPr>
        <w:pStyle w:val="Textslovan"/>
        <w:numPr>
          <w:ilvl w:val="0"/>
          <w:numId w:val="8"/>
        </w:numPr>
        <w:ind w:hanging="357" w:left="456" w:right="0"/>
        <w:rPr/>
      </w:pPr>
      <w:r>
        <w:rPr/>
        <w:t>Hospodářská soutěž u nás ani v EU nefunguje, přičemž situace u nás by byla měřitelně horší ve srovnání s ostatními státy EU.</w:t>
      </w:r>
    </w:p>
    <w:p>
      <w:pPr>
        <w:pStyle w:val="Textprost"/>
        <w:rPr/>
      </w:pPr>
      <w:r>
        <w:rPr/>
        <w:t>Úřad připouští, že existuje i možné vysvětlení v podobě toho, že hospodářská soutěž řádně funguje u nás i v EU, avšak u nás měřitelně hůře, což by samo o sobě bylo paradoxně důvodem zkoumání Úřadu, neboť by její fungování bylo relativně oslabené. To samo o sobě je definicí narušení fungování hospodářské soutěže. Možné vysvětlení v podobě u nás fungující hospodářské soutěže a jejího narušení ve státech EU pak Úřad považuje za tak vzdálené realitě, že se jím ve svých úvahách dále nezabýval.</w:t>
      </w:r>
    </w:p>
    <w:p>
      <w:pPr>
        <w:pStyle w:val="Textprost"/>
        <w:rPr/>
      </w:pPr>
      <w:r>
        <w:rPr/>
        <w:t xml:space="preserve">Vysvětlení 2 a 3 objektivně vedou k závěru o selhávání nebo narušení fungování hospodářské soutěže, přičemž Úřad je ze zákona povinen řádně prošetřit jejich příčinu. Za účelem prověření vysvětlení č. 1 pak musel Úřad přistoupit k posouzení relativní situace na nabídkové, resp. nákladové, straně trhu nebo trhů, čemuž se detailněji věnuje část </w:t>
      </w:r>
      <w:commentRangeStart w:id="29"/>
      <w:r>
        <w:rPr/>
        <w:t>XXX</w:t>
      </w:r>
      <w:r>
        <w:rPr/>
      </w:r>
      <w:commentRangeEnd w:id="29"/>
      <w:r>
        <w:commentReference w:id="29"/>
      </w:r>
      <w:r>
        <w:rPr/>
        <w:t xml:space="preserve"> této kapitoly.</w:t>
      </w:r>
    </w:p>
    <w:p>
      <w:pPr>
        <w:pStyle w:val="Zvradu"/>
        <w:numPr>
          <w:ilvl w:val="0"/>
          <w:numId w:val="11"/>
        </w:numPr>
        <w:ind w:hanging="578" w:left="283" w:right="284"/>
        <w:rPr/>
      </w:pPr>
      <w:r>
        <w:rPr/>
        <w:t>Provedená analýza dokládá, že XXX</w:t>
      </w:r>
    </w:p>
    <w:p>
      <w:pPr>
        <w:pStyle w:val="Heading3"/>
        <w:ind w:hanging="1134" w:left="142" w:right="284"/>
        <w:rPr/>
      </w:pPr>
      <w:bookmarkStart w:id="166" w:name="_Toc229057854"/>
      <w:r>
        <w:rPr/>
        <w:t xml:space="preserve">Kvalitativní posouzení relativní cenové úrovně ceníkových cen </w:t>
      </w:r>
      <w:r>
        <w:rPr>
          <w:i/>
          <w:iCs/>
        </w:rPr>
        <w:t>post-paid</w:t>
      </w:r>
      <w:r>
        <w:rPr/>
        <w:t xml:space="preserve"> mobilních služeb v ČR</w:t>
      </w:r>
      <w:bookmarkEnd w:id="166"/>
    </w:p>
    <w:p>
      <w:pPr>
        <w:pStyle w:val="Textprost"/>
        <w:rPr/>
      </w:pPr>
      <w:r>
        <w:rPr/>
        <w:t xml:space="preserve">S ohledem na výsledky kvantitativního šetření, přistoupil Úřad i k hlubšímu posouzení kvalitativního aspektu nabízených mobilních služeb. Za účelem relativního kvalitativního posouzení nabízených mobilních služeb v České republice seřadil Úřad mobilní služby, které sesbíral pro účely kvantitativního posouzení relativních ceníkových cen uvedeného v částech </w:t>
      </w:r>
      <w:commentRangeStart w:id="30"/>
      <w:r>
        <w:rPr/>
        <w:t>XXX</w:t>
      </w:r>
      <w:r>
        <w:rPr/>
      </w:r>
      <w:commentRangeEnd w:id="30"/>
      <w:r>
        <w:commentReference w:id="30"/>
      </w:r>
      <w:r>
        <w:rPr/>
        <w:t>, a jejich zjištěnou charakteristiku podle výše přepočtené nominální ceníkové ceny od nejvyšší po nejnižší. Úřad tedy mohl vyhodnotit, co je obsahem mobilní služby nabízené v ČR a obsahem cenově nominálně nejbližší mobilní služby nabízené v hospodářském prostoru EU. Toto srovnání tedy ukazuje obsah jednotlivých služeb napříč Evropou při zachování nominální cenové parity.</w:t>
      </w:r>
    </w:p>
    <w:p>
      <w:pPr>
        <w:pStyle w:val="Textprost"/>
        <w:rPr/>
      </w:pPr>
      <w:r>
        <w:rPr/>
        <w:t>Tabulky č. XXX až XXX uvádí okolí nejdražšího paušálu českých full mobilních operátorů. Okolí nejlevnějších paušálů českých full mobilních operátorů zachycují Tabulky č. XXX až XXX.</w:t>
      </w:r>
    </w:p>
    <w:p>
      <w:pPr>
        <w:pStyle w:val="Tabulka"/>
        <w:numPr>
          <w:ilvl w:val="0"/>
          <w:numId w:val="3"/>
        </w:numPr>
        <w:ind w:hanging="1560" w:left="1560" w:right="0"/>
        <w:rPr/>
      </w:pPr>
      <w:bookmarkStart w:id="167" w:name="_Toc229057986"/>
      <w:r>
        <w:rPr/>
        <w:t>Nejbližší cenové okolí ceníkově nejdražšího mobilního tarifu společnosti T-Mobile ze sběru ceníkových cen č. 1</w:t>
      </w:r>
      <w:bookmarkEnd w:id="167"/>
    </w:p>
    <w:p>
      <w:pPr>
        <w:pStyle w:val="TabulkavAJ"/>
        <w:ind w:hanging="0" w:left="1560" w:right="0"/>
        <w:rPr/>
      </w:pPr>
      <w:bookmarkStart w:id="168" w:name="_Toc229060858"/>
      <w:r>
        <w:rPr/>
        <w:t>The Closest Price Environment of T</w:t>
        <w:noBreakHyphen/>
        <w:t>Mobile’s Most Expensive Listed Mobile Tariff from Price List Collection No. 1</w:t>
      </w:r>
      <w:bookmarkEnd w:id="168"/>
    </w:p>
    <w:tbl>
      <w:tblPr>
        <w:tblStyle w:val="TableGrid"/>
        <w:tblW w:w="907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62"/>
        <w:gridCol w:w="991"/>
        <w:gridCol w:w="1134"/>
        <w:gridCol w:w="709"/>
        <w:gridCol w:w="1007"/>
        <w:gridCol w:w="1557"/>
        <w:gridCol w:w="3110"/>
      </w:tblGrid>
      <w:tr>
        <w:trPr/>
        <w:tc>
          <w:tcPr>
            <w:tcW w:w="562" w:type="dxa"/>
            <w:tcBorders>
              <w:top w:val="nil"/>
              <w:left w:val="nil"/>
              <w:bottom w:val="single" w:sz="4" w:space="0" w:color="0C1838"/>
              <w:right w:val="nil"/>
            </w:tcBorders>
          </w:tcPr>
          <w:p>
            <w:pPr>
              <w:pStyle w:val="Textprost"/>
              <w:widowControl/>
              <w:suppressAutoHyphens w:val="true"/>
              <w:spacing w:before="0" w:after="160"/>
              <w:rPr>
                <w:kern w:val="0"/>
                <w:lang w:val="cs-CZ" w:bidi="ar-SA"/>
              </w:rPr>
            </w:pPr>
            <w:r>
              <w:rPr>
                <w:rFonts w:eastAsia="Calibri" w:eastAsiaTheme="minorHAnsi"/>
                <w:kern w:val="0"/>
                <w:lang w:val="cs-CZ" w:bidi="ar-SA"/>
              </w:rPr>
              <w:t>Poř.</w:t>
            </w:r>
          </w:p>
        </w:tc>
        <w:tc>
          <w:tcPr>
            <w:tcW w:w="991" w:type="dxa"/>
            <w:tcBorders>
              <w:top w:val="nil"/>
              <w:left w:val="nil"/>
              <w:bottom w:val="single" w:sz="4" w:space="0" w:color="0C1838"/>
              <w:right w:val="nil"/>
            </w:tcBorders>
          </w:tcPr>
          <w:p>
            <w:pPr>
              <w:pStyle w:val="Textprost"/>
              <w:widowControl/>
              <w:suppressAutoHyphens w:val="true"/>
              <w:spacing w:before="0" w:after="160"/>
              <w:rPr>
                <w:kern w:val="0"/>
                <w:lang w:val="cs-CZ" w:bidi="ar-SA"/>
              </w:rPr>
            </w:pPr>
            <w:r>
              <w:rPr>
                <w:kern w:val="0"/>
                <w:lang w:val="cs-CZ" w:bidi="ar-SA"/>
              </w:rPr>
              <w:t>P_CZK</w:t>
            </w:r>
          </w:p>
        </w:tc>
        <w:tc>
          <w:tcPr>
            <w:tcW w:w="1134" w:type="dxa"/>
            <w:tcBorders>
              <w:top w:val="nil"/>
              <w:left w:val="nil"/>
              <w:bottom w:val="single" w:sz="4" w:space="0" w:color="0C1838"/>
              <w:right w:val="single" w:sz="4" w:space="0" w:color="0C1838"/>
            </w:tcBorders>
          </w:tcPr>
          <w:p>
            <w:pPr>
              <w:pStyle w:val="Textprost"/>
              <w:widowControl/>
              <w:suppressAutoHyphens w:val="true"/>
              <w:spacing w:before="0" w:after="160"/>
              <w:rPr>
                <w:kern w:val="0"/>
                <w:lang w:val="cs-CZ" w:bidi="ar-SA"/>
              </w:rPr>
            </w:pPr>
            <w:r>
              <w:rPr>
                <w:kern w:val="0"/>
                <w:lang w:val="cs-CZ" w:bidi="ar-SA"/>
              </w:rPr>
              <w:t>P_NC</w:t>
            </w:r>
          </w:p>
        </w:tc>
        <w:tc>
          <w:tcPr>
            <w:tcW w:w="709" w:type="dxa"/>
            <w:tcBorders>
              <w:top w:val="nil"/>
              <w:left w:val="single" w:sz="4" w:space="0" w:color="0C1838"/>
              <w:bottom w:val="single" w:sz="4" w:space="0" w:color="0C1838"/>
              <w:right w:val="nil"/>
            </w:tcBorders>
          </w:tcPr>
          <w:p>
            <w:pPr>
              <w:pStyle w:val="Textprost"/>
              <w:widowControl/>
              <w:suppressAutoHyphens w:val="true"/>
              <w:spacing w:before="0" w:after="160"/>
              <w:rPr>
                <w:kern w:val="0"/>
                <w:lang w:val="cs-CZ" w:bidi="ar-SA"/>
              </w:rPr>
            </w:pPr>
            <w:r>
              <w:rPr>
                <w:kern w:val="0"/>
                <w:lang w:val="cs-CZ" w:bidi="ar-SA"/>
              </w:rPr>
              <w:t>Stát</w:t>
            </w:r>
          </w:p>
        </w:tc>
        <w:tc>
          <w:tcPr>
            <w:tcW w:w="1007" w:type="dxa"/>
            <w:tcBorders>
              <w:top w:val="nil"/>
              <w:left w:val="nil"/>
              <w:bottom w:val="single" w:sz="4" w:space="0" w:color="0C1838"/>
              <w:right w:val="nil"/>
            </w:tcBorders>
          </w:tcPr>
          <w:p>
            <w:pPr>
              <w:pStyle w:val="Textprost"/>
              <w:widowControl/>
              <w:suppressAutoHyphens w:val="true"/>
              <w:spacing w:before="0" w:after="160"/>
              <w:rPr>
                <w:kern w:val="0"/>
                <w:lang w:val="cs-CZ" w:bidi="ar-SA"/>
              </w:rPr>
            </w:pPr>
            <w:r>
              <w:rPr>
                <w:kern w:val="0"/>
                <w:lang w:val="cs-CZ" w:bidi="ar-SA"/>
              </w:rPr>
              <w:t>Operátor</w:t>
            </w:r>
          </w:p>
        </w:tc>
        <w:tc>
          <w:tcPr>
            <w:tcW w:w="1557" w:type="dxa"/>
            <w:tcBorders>
              <w:top w:val="nil"/>
              <w:left w:val="nil"/>
              <w:bottom w:val="single" w:sz="4" w:space="0" w:color="0C1838"/>
              <w:right w:val="nil"/>
            </w:tcBorders>
          </w:tcPr>
          <w:p>
            <w:pPr>
              <w:pStyle w:val="Textprost"/>
              <w:widowControl/>
              <w:suppressAutoHyphens w:val="true"/>
              <w:spacing w:before="0" w:after="160"/>
              <w:rPr>
                <w:kern w:val="0"/>
                <w:lang w:val="cs-CZ" w:bidi="ar-SA"/>
              </w:rPr>
            </w:pPr>
            <w:r>
              <w:rPr>
                <w:kern w:val="0"/>
                <w:lang w:val="cs-CZ" w:bidi="ar-SA"/>
              </w:rPr>
              <w:t>Paušál</w:t>
            </w:r>
          </w:p>
        </w:tc>
        <w:tc>
          <w:tcPr>
            <w:tcW w:w="3110" w:type="dxa"/>
            <w:tcBorders>
              <w:top w:val="nil"/>
              <w:left w:val="nil"/>
              <w:bottom w:val="single" w:sz="4" w:space="0" w:color="0C1838"/>
              <w:right w:val="nil"/>
            </w:tcBorders>
          </w:tcPr>
          <w:p>
            <w:pPr>
              <w:pStyle w:val="Textprost"/>
              <w:widowControl/>
              <w:suppressAutoHyphens w:val="true"/>
              <w:spacing w:before="0" w:after="160"/>
              <w:rPr>
                <w:kern w:val="0"/>
                <w:lang w:val="cs-CZ" w:bidi="ar-SA"/>
              </w:rPr>
            </w:pPr>
            <w:r>
              <w:rPr>
                <w:kern w:val="0"/>
                <w:lang w:val="cs-CZ" w:bidi="ar-SA"/>
              </w:rPr>
              <w:t>Obsah</w:t>
            </w:r>
          </w:p>
        </w:tc>
      </w:tr>
      <w:tr>
        <w:trPr/>
        <w:tc>
          <w:tcPr>
            <w:tcW w:w="562" w:type="dxa"/>
            <w:tcBorders>
              <w:top w:val="single" w:sz="4" w:space="0" w:color="0C1838"/>
              <w:left w:val="nil"/>
              <w:bottom w:val="nil"/>
              <w:right w:val="nil"/>
            </w:tcBorders>
          </w:tcPr>
          <w:p>
            <w:pPr>
              <w:pStyle w:val="Textprost"/>
              <w:widowControl/>
              <w:suppressAutoHyphens w:val="true"/>
              <w:spacing w:before="0" w:after="160"/>
              <w:rPr>
                <w:kern w:val="0"/>
                <w:lang w:val="cs-CZ" w:bidi="ar-SA"/>
              </w:rPr>
            </w:pPr>
            <w:r>
              <w:rPr>
                <w:kern w:val="0"/>
                <w:lang w:val="cs-CZ" w:bidi="ar-SA"/>
              </w:rPr>
              <w:t>7.</w:t>
            </w:r>
          </w:p>
        </w:tc>
        <w:tc>
          <w:tcPr>
            <w:tcW w:w="991" w:type="dxa"/>
            <w:tcBorders>
              <w:top w:val="single" w:sz="4" w:space="0" w:color="0C1838"/>
              <w:left w:val="nil"/>
              <w:bottom w:val="nil"/>
              <w:right w:val="nil"/>
            </w:tcBorders>
          </w:tcPr>
          <w:p>
            <w:pPr>
              <w:pStyle w:val="Textprost"/>
              <w:widowControl/>
              <w:suppressAutoHyphens w:val="true"/>
              <w:spacing w:before="0" w:after="160"/>
              <w:rPr>
                <w:kern w:val="0"/>
                <w:lang w:val="cs-CZ" w:bidi="ar-SA"/>
              </w:rPr>
            </w:pPr>
            <w:r>
              <w:rPr>
                <w:kern w:val="0"/>
                <w:lang w:val="cs-CZ" w:bidi="ar-SA"/>
              </w:rPr>
              <w:t>1 982 Kč</w:t>
            </w:r>
          </w:p>
        </w:tc>
        <w:tc>
          <w:tcPr>
            <w:tcW w:w="1134" w:type="dxa"/>
            <w:tcBorders>
              <w:top w:val="single" w:sz="4" w:space="0" w:color="0C1838"/>
              <w:left w:val="nil"/>
              <w:bottom w:val="nil"/>
              <w:right w:val="single" w:sz="4" w:space="0" w:color="0C1838"/>
            </w:tcBorders>
          </w:tcPr>
          <w:p>
            <w:pPr>
              <w:pStyle w:val="Textprost"/>
              <w:widowControl/>
              <w:suppressAutoHyphens w:val="true"/>
              <w:spacing w:before="0" w:after="160"/>
              <w:rPr>
                <w:kern w:val="0"/>
                <w:lang w:val="cs-CZ" w:bidi="ar-SA"/>
              </w:rPr>
            </w:pPr>
            <w:r>
              <w:rPr>
                <w:kern w:val="0"/>
                <w:lang w:val="cs-CZ" w:bidi="ar-SA"/>
              </w:rPr>
              <w:t>81,31 EUR</w:t>
            </w:r>
          </w:p>
        </w:tc>
        <w:tc>
          <w:tcPr>
            <w:tcW w:w="709" w:type="dxa"/>
            <w:tcBorders>
              <w:top w:val="single" w:sz="4" w:space="0" w:color="0C1838"/>
              <w:left w:val="single" w:sz="4" w:space="0" w:color="0C1838"/>
              <w:bottom w:val="nil"/>
              <w:right w:val="nil"/>
            </w:tcBorders>
          </w:tcPr>
          <w:p>
            <w:pPr>
              <w:pStyle w:val="Textprost"/>
              <w:widowControl/>
              <w:suppressAutoHyphens w:val="true"/>
              <w:spacing w:before="0" w:after="160"/>
              <w:rPr>
                <w:kern w:val="0"/>
                <w:lang w:val="cs-CZ" w:bidi="ar-SA"/>
              </w:rPr>
            </w:pPr>
            <w:r>
              <w:rPr>
                <w:kern w:val="0"/>
                <w:lang w:val="cs-CZ" w:bidi="ar-SA"/>
              </w:rPr>
              <w:t>EE</w:t>
            </w:r>
          </w:p>
        </w:tc>
        <w:tc>
          <w:tcPr>
            <w:tcW w:w="1007" w:type="dxa"/>
            <w:tcBorders>
              <w:top w:val="single" w:sz="4" w:space="0" w:color="0C1838"/>
              <w:left w:val="nil"/>
              <w:bottom w:val="nil"/>
              <w:right w:val="nil"/>
            </w:tcBorders>
          </w:tcPr>
          <w:p>
            <w:pPr>
              <w:pStyle w:val="Textprost"/>
              <w:widowControl/>
              <w:suppressAutoHyphens w:val="true"/>
              <w:spacing w:before="0" w:after="160"/>
              <w:rPr>
                <w:kern w:val="0"/>
                <w:lang w:val="cs-CZ" w:bidi="ar-SA"/>
              </w:rPr>
            </w:pPr>
            <w:r>
              <w:rPr>
                <w:kern w:val="0"/>
                <w:lang w:val="cs-CZ" w:bidi="ar-SA"/>
              </w:rPr>
              <w:t>Tele2</w:t>
            </w:r>
          </w:p>
        </w:tc>
        <w:tc>
          <w:tcPr>
            <w:tcW w:w="1557" w:type="dxa"/>
            <w:tcBorders>
              <w:top w:val="single" w:sz="4" w:space="0" w:color="0C1838"/>
              <w:left w:val="nil"/>
              <w:bottom w:val="nil"/>
              <w:right w:val="nil"/>
            </w:tcBorders>
          </w:tcPr>
          <w:p>
            <w:pPr>
              <w:pStyle w:val="Textprost"/>
              <w:widowControl/>
              <w:suppressAutoHyphens w:val="true"/>
              <w:spacing w:before="0" w:after="160"/>
              <w:rPr>
                <w:kern w:val="0"/>
                <w:lang w:val="cs-CZ" w:bidi="ar-SA"/>
              </w:rPr>
            </w:pPr>
            <w:r>
              <w:rPr>
                <w:kern w:val="0"/>
                <w:lang w:val="cs-CZ" w:bidi="ar-SA"/>
              </w:rPr>
              <w:t>Piiramatu Ekstra MAX</w:t>
            </w:r>
          </w:p>
        </w:tc>
        <w:tc>
          <w:tcPr>
            <w:tcW w:w="3110" w:type="dxa"/>
            <w:tcBorders>
              <w:top w:val="single" w:sz="4" w:space="0" w:color="0C1838"/>
              <w:left w:val="nil"/>
              <w:bottom w:val="nil"/>
              <w:right w:val="nil"/>
            </w:tcBorders>
          </w:tcPr>
          <w:p>
            <w:pPr>
              <w:pStyle w:val="Tabulkatext"/>
              <w:widowControl/>
              <w:suppressAutoHyphens w:val="true"/>
              <w:rPr>
                <w:kern w:val="0"/>
                <w:lang w:val="cs-CZ" w:bidi="ar-SA"/>
              </w:rPr>
            </w:pPr>
            <w:r>
              <w:rPr>
                <w:kern w:val="0"/>
                <w:lang w:val="cs-CZ" w:bidi="ar-SA"/>
              </w:rPr>
              <w:t>Neomezený + neomezený objem dat po celé EU</w:t>
            </w:r>
          </w:p>
        </w:tc>
      </w:tr>
      <w:tr>
        <w:trPr/>
        <w:tc>
          <w:tcPr>
            <w:tcW w:w="562" w:type="dxa"/>
            <w:tcBorders>
              <w:top w:val="nil"/>
              <w:left w:val="nil"/>
              <w:bottom w:val="nil"/>
              <w:right w:val="nil"/>
            </w:tcBorders>
          </w:tcPr>
          <w:p>
            <w:pPr>
              <w:pStyle w:val="Textprost"/>
              <w:widowControl/>
              <w:suppressAutoHyphens w:val="true"/>
              <w:spacing w:before="0" w:after="160"/>
              <w:rPr>
                <w:kern w:val="0"/>
                <w:lang w:val="cs-CZ" w:bidi="ar-SA"/>
              </w:rPr>
            </w:pPr>
            <w:r>
              <w:rPr>
                <w:kern w:val="0"/>
                <w:lang w:val="cs-CZ" w:bidi="ar-SA"/>
              </w:rPr>
              <w:t>8.</w:t>
            </w:r>
          </w:p>
        </w:tc>
        <w:tc>
          <w:tcPr>
            <w:tcW w:w="991" w:type="dxa"/>
            <w:tcBorders>
              <w:top w:val="nil"/>
              <w:left w:val="nil"/>
              <w:bottom w:val="nil"/>
              <w:right w:val="nil"/>
            </w:tcBorders>
          </w:tcPr>
          <w:p>
            <w:pPr>
              <w:pStyle w:val="Textprost"/>
              <w:widowControl/>
              <w:suppressAutoHyphens w:val="true"/>
              <w:spacing w:before="0" w:after="160"/>
              <w:rPr>
                <w:kern w:val="0"/>
                <w:lang w:val="cs-CZ" w:bidi="ar-SA"/>
              </w:rPr>
            </w:pPr>
            <w:r>
              <w:rPr>
                <w:kern w:val="0"/>
                <w:lang w:val="cs-CZ" w:bidi="ar-SA"/>
              </w:rPr>
              <w:t>1 950 Kč</w:t>
            </w:r>
          </w:p>
        </w:tc>
        <w:tc>
          <w:tcPr>
            <w:tcW w:w="1134" w:type="dxa"/>
            <w:tcBorders>
              <w:top w:val="nil"/>
              <w:left w:val="nil"/>
              <w:bottom w:val="nil"/>
              <w:right w:val="single" w:sz="4" w:space="0" w:color="0C1838"/>
            </w:tcBorders>
          </w:tcPr>
          <w:p>
            <w:pPr>
              <w:pStyle w:val="Textprost"/>
              <w:widowControl/>
              <w:suppressAutoHyphens w:val="true"/>
              <w:spacing w:before="0" w:after="160"/>
              <w:rPr>
                <w:kern w:val="0"/>
                <w:lang w:val="cs-CZ" w:bidi="ar-SA"/>
              </w:rPr>
            </w:pPr>
            <w:r>
              <w:rPr>
                <w:kern w:val="0"/>
                <w:lang w:val="cs-CZ" w:bidi="ar-SA"/>
              </w:rPr>
              <w:t>79,99 EUR</w:t>
            </w:r>
          </w:p>
        </w:tc>
        <w:tc>
          <w:tcPr>
            <w:tcW w:w="709" w:type="dxa"/>
            <w:tcBorders>
              <w:top w:val="nil"/>
              <w:left w:val="single" w:sz="4" w:space="0" w:color="0C1838"/>
              <w:bottom w:val="nil"/>
              <w:right w:val="nil"/>
            </w:tcBorders>
          </w:tcPr>
          <w:p>
            <w:pPr>
              <w:pStyle w:val="Textprost"/>
              <w:widowControl/>
              <w:suppressAutoHyphens w:val="true"/>
              <w:spacing w:before="0" w:after="160"/>
              <w:rPr>
                <w:kern w:val="0"/>
                <w:lang w:val="cs-CZ" w:bidi="ar-SA"/>
              </w:rPr>
            </w:pPr>
            <w:r>
              <w:rPr>
                <w:kern w:val="0"/>
                <w:lang w:val="cs-CZ" w:bidi="ar-SA"/>
              </w:rPr>
              <w:t>DE</w:t>
            </w:r>
          </w:p>
        </w:tc>
        <w:tc>
          <w:tcPr>
            <w:tcW w:w="1007" w:type="dxa"/>
            <w:tcBorders>
              <w:top w:val="nil"/>
              <w:left w:val="nil"/>
              <w:bottom w:val="nil"/>
              <w:right w:val="nil"/>
            </w:tcBorders>
          </w:tcPr>
          <w:p>
            <w:pPr>
              <w:pStyle w:val="Textprost"/>
              <w:widowControl/>
              <w:suppressAutoHyphens w:val="true"/>
              <w:spacing w:before="0" w:after="160"/>
              <w:rPr>
                <w:kern w:val="0"/>
                <w:lang w:val="cs-CZ" w:bidi="ar-SA"/>
              </w:rPr>
            </w:pPr>
            <w:r>
              <w:rPr>
                <w:kern w:val="0"/>
                <w:lang w:val="cs-CZ" w:bidi="ar-SA"/>
              </w:rPr>
              <w:t>Vodafone</w:t>
            </w:r>
          </w:p>
        </w:tc>
        <w:tc>
          <w:tcPr>
            <w:tcW w:w="1557" w:type="dxa"/>
            <w:tcBorders>
              <w:top w:val="nil"/>
              <w:left w:val="nil"/>
              <w:bottom w:val="nil"/>
              <w:right w:val="nil"/>
            </w:tcBorders>
          </w:tcPr>
          <w:p>
            <w:pPr>
              <w:pStyle w:val="Textprost"/>
              <w:widowControl/>
              <w:suppressAutoHyphens w:val="true"/>
              <w:spacing w:before="0" w:after="160"/>
              <w:rPr>
                <w:kern w:val="0"/>
                <w:lang w:val="cs-CZ" w:bidi="ar-SA"/>
              </w:rPr>
            </w:pPr>
            <w:r>
              <w:rPr>
                <w:kern w:val="0"/>
                <w:lang w:val="cs-CZ" w:bidi="ar-SA"/>
              </w:rPr>
              <w:t>GigaMobil XL</w:t>
            </w:r>
          </w:p>
        </w:tc>
        <w:tc>
          <w:tcPr>
            <w:tcW w:w="3110" w:type="dxa"/>
            <w:tcBorders>
              <w:top w:val="nil"/>
              <w:left w:val="nil"/>
              <w:bottom w:val="nil"/>
              <w:right w:val="nil"/>
            </w:tcBorders>
          </w:tcPr>
          <w:p>
            <w:pPr>
              <w:pStyle w:val="Textprost"/>
              <w:widowControl/>
              <w:suppressAutoHyphens w:val="true"/>
              <w:rPr>
                <w:kern w:val="0"/>
                <w:lang w:val="cs-CZ" w:bidi="ar-SA"/>
              </w:rPr>
            </w:pPr>
            <w:r>
              <w:rPr>
                <w:kern w:val="0"/>
                <w:lang w:val="cs-CZ" w:bidi="ar-SA"/>
              </w:rPr>
              <w:t>Neomezený</w:t>
            </w:r>
          </w:p>
          <w:p>
            <w:pPr>
              <w:pStyle w:val="Textprost"/>
              <w:widowControl/>
              <w:suppressAutoHyphens w:val="true"/>
              <w:spacing w:before="0" w:after="160"/>
              <w:rPr>
                <w:kern w:val="0"/>
                <w:lang w:val="cs-CZ" w:bidi="ar-SA"/>
              </w:rPr>
            </w:pPr>
            <w:r>
              <w:rPr>
                <w:kern w:val="0"/>
                <w:lang w:val="cs-CZ" w:bidi="ar-SA"/>
              </w:rPr>
              <w:t>Noví zákazníci 25 % sleva</w:t>
            </w:r>
          </w:p>
        </w:tc>
      </w:tr>
      <w:tr>
        <w:trPr/>
        <w:tc>
          <w:tcPr>
            <w:tcW w:w="562" w:type="dxa"/>
            <w:tcBorders>
              <w:top w:val="nil"/>
              <w:left w:val="nil"/>
              <w:bottom w:val="nil"/>
              <w:right w:val="nil"/>
            </w:tcBorders>
          </w:tcPr>
          <w:p>
            <w:pPr>
              <w:pStyle w:val="Textprost"/>
              <w:widowControl/>
              <w:suppressAutoHyphens w:val="true"/>
              <w:spacing w:before="0" w:after="160"/>
              <w:rPr>
                <w:kern w:val="0"/>
                <w:lang w:val="cs-CZ" w:bidi="ar-SA"/>
              </w:rPr>
            </w:pPr>
            <w:r>
              <w:rPr>
                <w:kern w:val="0"/>
                <w:lang w:val="cs-CZ" w:bidi="ar-SA"/>
              </w:rPr>
              <w:t>9.</w:t>
            </w:r>
          </w:p>
        </w:tc>
        <w:tc>
          <w:tcPr>
            <w:tcW w:w="991" w:type="dxa"/>
            <w:tcBorders>
              <w:top w:val="nil"/>
              <w:left w:val="nil"/>
              <w:bottom w:val="nil"/>
              <w:right w:val="nil"/>
            </w:tcBorders>
          </w:tcPr>
          <w:p>
            <w:pPr>
              <w:pStyle w:val="Textprost"/>
              <w:widowControl/>
              <w:suppressAutoHyphens w:val="true"/>
              <w:spacing w:before="0" w:after="160"/>
              <w:rPr>
                <w:kern w:val="0"/>
                <w:lang w:val="cs-CZ" w:bidi="ar-SA"/>
              </w:rPr>
            </w:pPr>
            <w:r>
              <w:rPr>
                <w:kern w:val="0"/>
                <w:lang w:val="cs-CZ" w:bidi="ar-SA"/>
              </w:rPr>
              <w:t>1 785 Kč</w:t>
            </w:r>
          </w:p>
        </w:tc>
        <w:tc>
          <w:tcPr>
            <w:tcW w:w="1134" w:type="dxa"/>
            <w:tcBorders>
              <w:top w:val="nil"/>
              <w:left w:val="nil"/>
              <w:bottom w:val="nil"/>
              <w:right w:val="single" w:sz="4" w:space="0" w:color="0C1838"/>
            </w:tcBorders>
          </w:tcPr>
          <w:p>
            <w:pPr>
              <w:pStyle w:val="Textprost"/>
              <w:widowControl/>
              <w:suppressAutoHyphens w:val="true"/>
              <w:spacing w:before="0" w:after="160"/>
              <w:rPr>
                <w:kern w:val="0"/>
                <w:lang w:val="cs-CZ" w:bidi="ar-SA"/>
              </w:rPr>
            </w:pPr>
            <w:r>
              <w:rPr>
                <w:kern w:val="0"/>
                <w:lang w:val="cs-CZ" w:bidi="ar-SA"/>
              </w:rPr>
              <w:t>1 785 CZK</w:t>
            </w:r>
          </w:p>
        </w:tc>
        <w:tc>
          <w:tcPr>
            <w:tcW w:w="709" w:type="dxa"/>
            <w:tcBorders>
              <w:top w:val="nil"/>
              <w:left w:val="single" w:sz="4" w:space="0" w:color="0C1838"/>
              <w:bottom w:val="nil"/>
              <w:right w:val="nil"/>
            </w:tcBorders>
          </w:tcPr>
          <w:p>
            <w:pPr>
              <w:pStyle w:val="Textprost"/>
              <w:widowControl/>
              <w:suppressAutoHyphens w:val="true"/>
              <w:spacing w:before="0" w:after="160"/>
              <w:rPr>
                <w:kern w:val="0"/>
                <w:lang w:val="cs-CZ" w:bidi="ar-SA"/>
              </w:rPr>
            </w:pPr>
            <w:r>
              <w:rPr>
                <w:kern w:val="0"/>
                <w:lang w:val="cs-CZ" w:bidi="ar-SA"/>
              </w:rPr>
              <w:t>CZ</w:t>
            </w:r>
          </w:p>
        </w:tc>
        <w:tc>
          <w:tcPr>
            <w:tcW w:w="1007" w:type="dxa"/>
            <w:tcBorders>
              <w:top w:val="nil"/>
              <w:left w:val="nil"/>
              <w:bottom w:val="nil"/>
              <w:right w:val="nil"/>
            </w:tcBorders>
          </w:tcPr>
          <w:p>
            <w:pPr>
              <w:pStyle w:val="Textprost"/>
              <w:widowControl/>
              <w:suppressAutoHyphens w:val="true"/>
              <w:spacing w:before="0" w:after="160"/>
              <w:rPr>
                <w:kern w:val="0"/>
                <w:lang w:val="cs-CZ" w:bidi="ar-SA"/>
              </w:rPr>
            </w:pPr>
            <w:r>
              <w:rPr>
                <w:kern w:val="0"/>
                <w:lang w:val="cs-CZ" w:bidi="ar-SA"/>
              </w:rPr>
              <w:t>T-Mobile</w:t>
            </w:r>
          </w:p>
        </w:tc>
        <w:tc>
          <w:tcPr>
            <w:tcW w:w="1557" w:type="dxa"/>
            <w:tcBorders>
              <w:top w:val="nil"/>
              <w:left w:val="nil"/>
              <w:bottom w:val="nil"/>
              <w:right w:val="nil"/>
            </w:tcBorders>
          </w:tcPr>
          <w:p>
            <w:pPr>
              <w:pStyle w:val="Tabulkatext"/>
              <w:widowControl/>
              <w:suppressAutoHyphens w:val="true"/>
              <w:rPr>
                <w:kern w:val="0"/>
                <w:lang w:val="cs-CZ" w:bidi="ar-SA"/>
              </w:rPr>
            </w:pPr>
            <w:r>
              <w:rPr>
                <w:kern w:val="0"/>
                <w:lang w:val="cs-CZ" w:bidi="ar-SA"/>
              </w:rPr>
              <w:t>Next Extra neomezeně 5XL</w:t>
            </w:r>
          </w:p>
        </w:tc>
        <w:tc>
          <w:tcPr>
            <w:tcW w:w="3110" w:type="dxa"/>
            <w:tcBorders>
              <w:top w:val="nil"/>
              <w:left w:val="nil"/>
              <w:bottom w:val="nil"/>
              <w:right w:val="nil"/>
            </w:tcBorders>
          </w:tcPr>
          <w:p>
            <w:pPr>
              <w:pStyle w:val="Textprost"/>
              <w:widowControl/>
              <w:suppressAutoHyphens w:val="true"/>
              <w:spacing w:before="0" w:after="160"/>
              <w:rPr>
                <w:kern w:val="0"/>
                <w:lang w:val="cs-CZ" w:bidi="ar-SA"/>
              </w:rPr>
            </w:pPr>
            <w:r>
              <w:rPr>
                <w:kern w:val="0"/>
                <w:lang w:val="cs-CZ" w:bidi="ar-SA"/>
              </w:rPr>
              <w:t>Neomezený + AlzaPlus a Netflix nebo HBOmax na rok zdarma</w:t>
            </w:r>
          </w:p>
        </w:tc>
      </w:tr>
      <w:tr>
        <w:trPr/>
        <w:tc>
          <w:tcPr>
            <w:tcW w:w="562" w:type="dxa"/>
            <w:tcBorders>
              <w:top w:val="nil"/>
              <w:left w:val="nil"/>
              <w:bottom w:val="nil"/>
              <w:right w:val="nil"/>
            </w:tcBorders>
          </w:tcPr>
          <w:p>
            <w:pPr>
              <w:pStyle w:val="Textprost"/>
              <w:widowControl/>
              <w:suppressAutoHyphens w:val="true"/>
              <w:spacing w:before="0" w:after="160"/>
              <w:rPr>
                <w:kern w:val="0"/>
                <w:lang w:val="cs-CZ" w:bidi="ar-SA"/>
              </w:rPr>
            </w:pPr>
            <w:r>
              <w:rPr>
                <w:kern w:val="0"/>
                <w:lang w:val="cs-CZ" w:bidi="ar-SA"/>
              </w:rPr>
              <w:t>10.</w:t>
            </w:r>
          </w:p>
        </w:tc>
        <w:tc>
          <w:tcPr>
            <w:tcW w:w="991" w:type="dxa"/>
            <w:tcBorders>
              <w:top w:val="nil"/>
              <w:left w:val="nil"/>
              <w:bottom w:val="nil"/>
              <w:right w:val="nil"/>
            </w:tcBorders>
          </w:tcPr>
          <w:p>
            <w:pPr>
              <w:pStyle w:val="Textprost"/>
              <w:widowControl/>
              <w:suppressAutoHyphens w:val="true"/>
              <w:spacing w:before="0" w:after="160"/>
              <w:rPr>
                <w:kern w:val="0"/>
                <w:lang w:val="cs-CZ" w:bidi="ar-SA"/>
              </w:rPr>
            </w:pPr>
            <w:r>
              <w:rPr>
                <w:kern w:val="0"/>
                <w:lang w:val="cs-CZ" w:bidi="ar-SA"/>
              </w:rPr>
              <w:t>1 731 Kč</w:t>
            </w:r>
          </w:p>
        </w:tc>
        <w:tc>
          <w:tcPr>
            <w:tcW w:w="1134" w:type="dxa"/>
            <w:tcBorders>
              <w:top w:val="nil"/>
              <w:left w:val="nil"/>
              <w:bottom w:val="nil"/>
              <w:right w:val="single" w:sz="4" w:space="0" w:color="0C1838"/>
            </w:tcBorders>
          </w:tcPr>
          <w:p>
            <w:pPr>
              <w:pStyle w:val="Textprost"/>
              <w:widowControl/>
              <w:suppressAutoHyphens w:val="true"/>
              <w:spacing w:before="0" w:after="160"/>
              <w:rPr>
                <w:kern w:val="0"/>
                <w:lang w:val="cs-CZ" w:bidi="ar-SA"/>
              </w:rPr>
            </w:pPr>
            <w:r>
              <w:rPr>
                <w:kern w:val="0"/>
                <w:lang w:val="cs-CZ" w:bidi="ar-SA"/>
              </w:rPr>
              <w:t>71 EUR</w:t>
            </w:r>
          </w:p>
        </w:tc>
        <w:tc>
          <w:tcPr>
            <w:tcW w:w="709" w:type="dxa"/>
            <w:tcBorders>
              <w:top w:val="nil"/>
              <w:left w:val="single" w:sz="4" w:space="0" w:color="0C1838"/>
              <w:bottom w:val="nil"/>
              <w:right w:val="nil"/>
            </w:tcBorders>
          </w:tcPr>
          <w:p>
            <w:pPr>
              <w:pStyle w:val="Textprost"/>
              <w:widowControl/>
              <w:suppressAutoHyphens w:val="true"/>
              <w:spacing w:before="0" w:after="160"/>
              <w:rPr>
                <w:kern w:val="0"/>
                <w:lang w:val="cs-CZ" w:bidi="ar-SA"/>
              </w:rPr>
            </w:pPr>
            <w:r>
              <w:rPr>
                <w:kern w:val="0"/>
                <w:lang w:val="cs-CZ" w:bidi="ar-SA"/>
              </w:rPr>
              <w:t>LU</w:t>
            </w:r>
          </w:p>
        </w:tc>
        <w:tc>
          <w:tcPr>
            <w:tcW w:w="1007" w:type="dxa"/>
            <w:tcBorders>
              <w:top w:val="nil"/>
              <w:left w:val="nil"/>
              <w:bottom w:val="nil"/>
              <w:right w:val="nil"/>
            </w:tcBorders>
          </w:tcPr>
          <w:p>
            <w:pPr>
              <w:pStyle w:val="Textprost"/>
              <w:widowControl/>
              <w:suppressAutoHyphens w:val="true"/>
              <w:spacing w:before="0" w:after="160"/>
              <w:rPr>
                <w:kern w:val="0"/>
                <w:lang w:val="cs-CZ" w:bidi="ar-SA"/>
              </w:rPr>
            </w:pPr>
            <w:r>
              <w:rPr>
                <w:kern w:val="0"/>
                <w:lang w:val="cs-CZ" w:bidi="ar-SA"/>
              </w:rPr>
              <w:t>POST</w:t>
            </w:r>
          </w:p>
        </w:tc>
        <w:tc>
          <w:tcPr>
            <w:tcW w:w="1557" w:type="dxa"/>
            <w:tcBorders>
              <w:top w:val="nil"/>
              <w:left w:val="nil"/>
              <w:bottom w:val="nil"/>
              <w:right w:val="nil"/>
            </w:tcBorders>
          </w:tcPr>
          <w:p>
            <w:pPr>
              <w:pStyle w:val="Textprost"/>
              <w:widowControl/>
              <w:suppressAutoHyphens w:val="true"/>
              <w:spacing w:before="0" w:after="160"/>
              <w:rPr>
                <w:kern w:val="0"/>
                <w:lang w:val="cs-CZ" w:bidi="ar-SA"/>
              </w:rPr>
            </w:pPr>
            <w:r>
              <w:rPr>
                <w:kern w:val="0"/>
                <w:lang w:val="cs-CZ" w:bidi="ar-SA"/>
              </w:rPr>
              <w:t>XL</w:t>
            </w:r>
          </w:p>
        </w:tc>
        <w:tc>
          <w:tcPr>
            <w:tcW w:w="3110" w:type="dxa"/>
            <w:tcBorders>
              <w:top w:val="nil"/>
              <w:left w:val="nil"/>
              <w:bottom w:val="nil"/>
              <w:right w:val="nil"/>
            </w:tcBorders>
          </w:tcPr>
          <w:p>
            <w:pPr>
              <w:pStyle w:val="Textprost"/>
              <w:widowControl/>
              <w:suppressAutoHyphens w:val="true"/>
              <w:spacing w:before="0" w:after="160"/>
              <w:rPr>
                <w:kern w:val="0"/>
                <w:lang w:val="cs-CZ" w:bidi="ar-SA"/>
              </w:rPr>
            </w:pPr>
            <w:r>
              <w:rPr>
                <w:kern w:val="0"/>
                <w:lang w:val="cs-CZ" w:bidi="ar-SA"/>
              </w:rPr>
              <w:t>Neomezený + 94 GB EU, USA, Kanada</w:t>
            </w:r>
          </w:p>
        </w:tc>
      </w:tr>
      <w:tr>
        <w:trPr/>
        <w:tc>
          <w:tcPr>
            <w:tcW w:w="562" w:type="dxa"/>
            <w:tcBorders>
              <w:top w:val="nil"/>
              <w:left w:val="nil"/>
              <w:bottom w:val="nil"/>
              <w:right w:val="nil"/>
            </w:tcBorders>
          </w:tcPr>
          <w:p>
            <w:pPr>
              <w:pStyle w:val="Textprost"/>
              <w:widowControl/>
              <w:suppressAutoHyphens w:val="true"/>
              <w:spacing w:before="0" w:after="160"/>
              <w:rPr>
                <w:kern w:val="0"/>
                <w:lang w:val="cs-CZ" w:bidi="ar-SA"/>
              </w:rPr>
            </w:pPr>
            <w:r>
              <w:rPr>
                <w:kern w:val="0"/>
                <w:lang w:val="cs-CZ" w:bidi="ar-SA"/>
              </w:rPr>
              <w:t>11.</w:t>
            </w:r>
          </w:p>
        </w:tc>
        <w:tc>
          <w:tcPr>
            <w:tcW w:w="991" w:type="dxa"/>
            <w:tcBorders>
              <w:top w:val="nil"/>
              <w:left w:val="nil"/>
              <w:bottom w:val="nil"/>
              <w:right w:val="nil"/>
            </w:tcBorders>
          </w:tcPr>
          <w:p>
            <w:pPr>
              <w:pStyle w:val="Textprost"/>
              <w:widowControl/>
              <w:suppressAutoHyphens w:val="true"/>
              <w:spacing w:before="0" w:after="160"/>
              <w:rPr>
                <w:kern w:val="0"/>
                <w:lang w:val="cs-CZ" w:bidi="ar-SA"/>
              </w:rPr>
            </w:pPr>
            <w:r>
              <w:rPr>
                <w:kern w:val="0"/>
                <w:lang w:val="cs-CZ" w:bidi="ar-SA"/>
              </w:rPr>
              <w:t>1 706 Kč</w:t>
            </w:r>
          </w:p>
        </w:tc>
        <w:tc>
          <w:tcPr>
            <w:tcW w:w="1134" w:type="dxa"/>
            <w:tcBorders>
              <w:top w:val="nil"/>
              <w:left w:val="nil"/>
              <w:bottom w:val="nil"/>
              <w:right w:val="single" w:sz="4" w:space="0" w:color="0C1838"/>
            </w:tcBorders>
          </w:tcPr>
          <w:p>
            <w:pPr>
              <w:pStyle w:val="Textprost"/>
              <w:widowControl/>
              <w:suppressAutoHyphens w:val="true"/>
              <w:spacing w:before="0" w:after="160"/>
              <w:rPr>
                <w:kern w:val="0"/>
                <w:lang w:val="cs-CZ" w:bidi="ar-SA"/>
              </w:rPr>
            </w:pPr>
            <w:r>
              <w:rPr>
                <w:kern w:val="0"/>
                <w:lang w:val="cs-CZ" w:bidi="ar-SA"/>
              </w:rPr>
              <w:t>69,99 EUR</w:t>
            </w:r>
          </w:p>
        </w:tc>
        <w:tc>
          <w:tcPr>
            <w:tcW w:w="709" w:type="dxa"/>
            <w:tcBorders>
              <w:top w:val="nil"/>
              <w:left w:val="single" w:sz="4" w:space="0" w:color="0C1838"/>
              <w:bottom w:val="nil"/>
              <w:right w:val="nil"/>
            </w:tcBorders>
          </w:tcPr>
          <w:p>
            <w:pPr>
              <w:pStyle w:val="Textprost"/>
              <w:widowControl/>
              <w:suppressAutoHyphens w:val="true"/>
              <w:spacing w:before="0" w:after="160"/>
              <w:rPr>
                <w:kern w:val="0"/>
                <w:lang w:val="cs-CZ" w:bidi="ar-SA"/>
              </w:rPr>
            </w:pPr>
            <w:r>
              <w:rPr>
                <w:kern w:val="0"/>
                <w:lang w:val="cs-CZ" w:bidi="ar-SA"/>
              </w:rPr>
              <w:t>DE</w:t>
            </w:r>
          </w:p>
        </w:tc>
        <w:tc>
          <w:tcPr>
            <w:tcW w:w="1007" w:type="dxa"/>
            <w:tcBorders>
              <w:top w:val="nil"/>
              <w:left w:val="nil"/>
              <w:bottom w:val="nil"/>
              <w:right w:val="nil"/>
            </w:tcBorders>
          </w:tcPr>
          <w:p>
            <w:pPr>
              <w:pStyle w:val="Textprost"/>
              <w:widowControl/>
              <w:suppressAutoHyphens w:val="true"/>
              <w:spacing w:before="0" w:after="160"/>
              <w:rPr>
                <w:kern w:val="0"/>
                <w:lang w:val="cs-CZ" w:bidi="ar-SA"/>
              </w:rPr>
            </w:pPr>
            <w:r>
              <w:rPr>
                <w:kern w:val="0"/>
                <w:lang w:val="cs-CZ" w:bidi="ar-SA"/>
              </w:rPr>
              <w:t>Vodafone</w:t>
            </w:r>
          </w:p>
        </w:tc>
        <w:tc>
          <w:tcPr>
            <w:tcW w:w="1557" w:type="dxa"/>
            <w:tcBorders>
              <w:top w:val="nil"/>
              <w:left w:val="nil"/>
              <w:bottom w:val="nil"/>
              <w:right w:val="nil"/>
            </w:tcBorders>
          </w:tcPr>
          <w:p>
            <w:pPr>
              <w:pStyle w:val="Textprost"/>
              <w:widowControl/>
              <w:suppressAutoHyphens w:val="true"/>
              <w:spacing w:before="0" w:after="160"/>
              <w:rPr>
                <w:kern w:val="0"/>
                <w:lang w:val="cs-CZ" w:bidi="ar-SA"/>
              </w:rPr>
            </w:pPr>
            <w:r>
              <w:rPr>
                <w:kern w:val="0"/>
                <w:lang w:val="cs-CZ" w:bidi="ar-SA"/>
              </w:rPr>
              <w:t>GigaMobil Young XL</w:t>
            </w:r>
          </w:p>
        </w:tc>
        <w:tc>
          <w:tcPr>
            <w:tcW w:w="3110" w:type="dxa"/>
            <w:tcBorders>
              <w:top w:val="nil"/>
              <w:left w:val="nil"/>
              <w:bottom w:val="nil"/>
              <w:right w:val="nil"/>
            </w:tcBorders>
          </w:tcPr>
          <w:p>
            <w:pPr>
              <w:pStyle w:val="Textprost"/>
              <w:widowControl/>
              <w:suppressAutoHyphens w:val="true"/>
              <w:rPr>
                <w:kern w:val="0"/>
                <w:lang w:val="cs-CZ" w:bidi="ar-SA"/>
              </w:rPr>
            </w:pPr>
            <w:r>
              <w:rPr>
                <w:kern w:val="0"/>
                <w:lang w:val="cs-CZ" w:bidi="ar-SA"/>
              </w:rPr>
              <w:t>Neomezený</w:t>
            </w:r>
          </w:p>
          <w:p>
            <w:pPr>
              <w:pStyle w:val="Textprost"/>
              <w:widowControl/>
              <w:suppressAutoHyphens w:val="true"/>
              <w:spacing w:before="0" w:after="160"/>
              <w:rPr>
                <w:kern w:val="0"/>
                <w:lang w:val="cs-CZ" w:bidi="ar-SA"/>
              </w:rPr>
            </w:pPr>
            <w:r>
              <w:rPr>
                <w:kern w:val="0"/>
                <w:lang w:val="cs-CZ" w:bidi="ar-SA"/>
              </w:rPr>
              <w:t>Noví zákazníci 30 % sleva</w:t>
            </w:r>
          </w:p>
        </w:tc>
      </w:tr>
    </w:tbl>
    <w:p>
      <w:pPr>
        <w:pStyle w:val="Zdroj"/>
        <w:rPr>
          <w:lang w:val="en-GB"/>
        </w:rPr>
      </w:pPr>
      <w:r>
        <w:rPr>
          <w:lang w:val="en-GB"/>
        </w:rPr>
        <w:t>Note: The table shows order of the tariff according to the list price expressed in CZK, the list price in national currency, country, supplying operator, tariff name and the content of the tariff in Czech.</w:t>
      </w:r>
    </w:p>
    <w:p>
      <w:pPr>
        <w:pStyle w:val="Textprost"/>
        <w:rPr/>
      </w:pPr>
      <w:r>
        <w:rPr/>
        <w:t>Ze srovnání nejdražšího Úřadem zjištěného mobilního tarifu nabízeného domácnostem společností T-Mobile vyplývá, že v jeho nejbližším nominálním okolí se nachází srovnatelné neomezené tarify, avšak tyto mobilní služby operátora, který je nabízí, buď zahrnují větší balík zahraničních dat (v EU nebo dokonce i v USA a Kanadě) nebo na něj noví zákazníci dostanou slevu v řádech nižších desítek procent. Pro ně se tedy tyto mobilní tarify nenachází v nominálním cenovém okolí zkoumaného tarifu společnosti T-Mobile, ale jsou řádově níže. Společnost T-Mobile k dotčenému tarifu nabízí službu AlzaPlus</w:t>
      </w:r>
      <w:r>
        <w:rPr>
          <w:rStyle w:val="FootnoteReference"/>
        </w:rPr>
        <w:footnoteReference w:id="131"/>
      </w:r>
      <w:r>
        <w:rPr/>
        <w:t xml:space="preserve"> zdarma a služby Netflix nebo HBOmax na rok zdarma. Úřad podotýká, že tyto služby „videa na požádání“</w:t>
      </w:r>
      <w:r>
        <w:rPr>
          <w:rStyle w:val="FootnoteReference"/>
        </w:rPr>
        <w:footnoteReference w:id="132"/>
      </w:r>
      <w:r>
        <w:rPr/>
        <w:t xml:space="preserve"> zdarma k zakoupenému tarifu se objevují až při nominálních cenách řádově o několik stovek korun nižších, jak dokládá Tabulka č. XXX zachycující nominální cenové okolí nejdražšího tarifu společnosti O2.</w:t>
      </w:r>
    </w:p>
    <w:p>
      <w:pPr>
        <w:pStyle w:val="Tabulka"/>
        <w:numPr>
          <w:ilvl w:val="0"/>
          <w:numId w:val="3"/>
        </w:numPr>
        <w:ind w:hanging="1560" w:left="1560" w:right="0"/>
        <w:rPr/>
      </w:pPr>
      <w:bookmarkStart w:id="169" w:name="_Toc229057987"/>
      <w:r>
        <w:rPr/>
        <w:t>Nejbližší cenové okolí ceníkově nejdražšího mobilního tarifu společnosti O2 ze sběru ceníkových cen č. 1</w:t>
      </w:r>
      <w:bookmarkEnd w:id="169"/>
    </w:p>
    <w:p>
      <w:pPr>
        <w:pStyle w:val="TabulkavAJ"/>
        <w:ind w:hanging="0" w:left="1560" w:right="0"/>
        <w:rPr/>
      </w:pPr>
      <w:bookmarkStart w:id="170" w:name="_Toc229060859"/>
      <w:r>
        <w:rPr/>
        <w:t>The Closest Price Environment of O2’s Most Expensive Listed Mobile Tariff from Price List Collection No. 1</w:t>
      </w:r>
      <w:bookmarkEnd w:id="170"/>
    </w:p>
    <w:tbl>
      <w:tblPr>
        <w:tblStyle w:val="TableGrid"/>
        <w:tblW w:w="906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60"/>
        <w:gridCol w:w="993"/>
        <w:gridCol w:w="1136"/>
        <w:gridCol w:w="707"/>
        <w:gridCol w:w="994"/>
        <w:gridCol w:w="1559"/>
        <w:gridCol w:w="3111"/>
      </w:tblGrid>
      <w:tr>
        <w:trPr/>
        <w:tc>
          <w:tcPr>
            <w:tcW w:w="560" w:type="dxa"/>
            <w:tcBorders>
              <w:top w:val="nil"/>
              <w:left w:val="nil"/>
              <w:bottom w:val="single" w:sz="4" w:space="0" w:color="0C1838"/>
              <w:right w:val="nil"/>
            </w:tcBorders>
          </w:tcPr>
          <w:p>
            <w:pPr>
              <w:pStyle w:val="Tabulkatext"/>
              <w:widowControl/>
              <w:suppressAutoHyphens w:val="true"/>
              <w:rPr>
                <w:kern w:val="0"/>
                <w:lang w:val="cs-CZ" w:bidi="ar-SA"/>
              </w:rPr>
            </w:pPr>
            <w:r>
              <w:rPr>
                <w:rFonts w:eastAsia="Calibri" w:eastAsiaTheme="minorHAnsi"/>
                <w:kern w:val="0"/>
                <w:lang w:val="cs-CZ" w:bidi="ar-SA"/>
              </w:rPr>
              <w:t>Poř.</w:t>
            </w:r>
          </w:p>
        </w:tc>
        <w:tc>
          <w:tcPr>
            <w:tcW w:w="993" w:type="dxa"/>
            <w:tcBorders>
              <w:top w:val="nil"/>
              <w:left w:val="nil"/>
              <w:bottom w:val="single" w:sz="4" w:space="0" w:color="0C1838"/>
              <w:right w:val="nil"/>
            </w:tcBorders>
          </w:tcPr>
          <w:p>
            <w:pPr>
              <w:pStyle w:val="Tabulkatext"/>
              <w:widowControl/>
              <w:suppressAutoHyphens w:val="true"/>
              <w:rPr>
                <w:kern w:val="0"/>
                <w:lang w:val="cs-CZ" w:bidi="ar-SA"/>
              </w:rPr>
            </w:pPr>
            <w:r>
              <w:rPr>
                <w:kern w:val="0"/>
                <w:lang w:val="cs-CZ" w:bidi="ar-SA"/>
              </w:rPr>
              <w:t>P_CZK</w:t>
            </w:r>
          </w:p>
        </w:tc>
        <w:tc>
          <w:tcPr>
            <w:tcW w:w="1136" w:type="dxa"/>
            <w:tcBorders>
              <w:top w:val="nil"/>
              <w:left w:val="nil"/>
              <w:bottom w:val="single" w:sz="4" w:space="0" w:color="0C1838"/>
              <w:right w:val="single" w:sz="4" w:space="0" w:color="0C1838"/>
            </w:tcBorders>
          </w:tcPr>
          <w:p>
            <w:pPr>
              <w:pStyle w:val="Tabulkatext"/>
              <w:widowControl/>
              <w:suppressAutoHyphens w:val="true"/>
              <w:rPr>
                <w:kern w:val="0"/>
                <w:lang w:val="cs-CZ" w:bidi="ar-SA"/>
              </w:rPr>
            </w:pPr>
            <w:r>
              <w:rPr>
                <w:kern w:val="0"/>
                <w:lang w:val="cs-CZ" w:bidi="ar-SA"/>
              </w:rPr>
              <w:t>P_NC</w:t>
            </w:r>
          </w:p>
        </w:tc>
        <w:tc>
          <w:tcPr>
            <w:tcW w:w="707" w:type="dxa"/>
            <w:tcBorders>
              <w:top w:val="nil"/>
              <w:left w:val="single" w:sz="4" w:space="0" w:color="0C1838"/>
              <w:bottom w:val="single" w:sz="4" w:space="0" w:color="0C1838"/>
              <w:right w:val="nil"/>
            </w:tcBorders>
          </w:tcPr>
          <w:p>
            <w:pPr>
              <w:pStyle w:val="Tabulkatext"/>
              <w:widowControl/>
              <w:suppressAutoHyphens w:val="true"/>
              <w:rPr>
                <w:kern w:val="0"/>
                <w:lang w:val="cs-CZ" w:bidi="ar-SA"/>
              </w:rPr>
            </w:pPr>
            <w:r>
              <w:rPr>
                <w:kern w:val="0"/>
                <w:lang w:val="cs-CZ" w:bidi="ar-SA"/>
              </w:rPr>
              <w:t>Stát</w:t>
            </w:r>
          </w:p>
        </w:tc>
        <w:tc>
          <w:tcPr>
            <w:tcW w:w="994" w:type="dxa"/>
            <w:tcBorders>
              <w:top w:val="nil"/>
              <w:left w:val="nil"/>
              <w:bottom w:val="single" w:sz="4" w:space="0" w:color="0C1838"/>
              <w:right w:val="nil"/>
            </w:tcBorders>
          </w:tcPr>
          <w:p>
            <w:pPr>
              <w:pStyle w:val="Tabulkatext"/>
              <w:widowControl/>
              <w:suppressAutoHyphens w:val="true"/>
              <w:rPr>
                <w:kern w:val="0"/>
                <w:lang w:val="cs-CZ" w:bidi="ar-SA"/>
              </w:rPr>
            </w:pPr>
            <w:r>
              <w:rPr>
                <w:kern w:val="0"/>
                <w:lang w:val="cs-CZ" w:bidi="ar-SA"/>
              </w:rPr>
              <w:t>Operátor</w:t>
            </w:r>
          </w:p>
        </w:tc>
        <w:tc>
          <w:tcPr>
            <w:tcW w:w="1559" w:type="dxa"/>
            <w:tcBorders>
              <w:top w:val="nil"/>
              <w:left w:val="nil"/>
              <w:bottom w:val="single" w:sz="4" w:space="0" w:color="0C1838"/>
              <w:right w:val="nil"/>
            </w:tcBorders>
          </w:tcPr>
          <w:p>
            <w:pPr>
              <w:pStyle w:val="Tabulkatext"/>
              <w:widowControl/>
              <w:suppressAutoHyphens w:val="true"/>
              <w:rPr>
                <w:kern w:val="0"/>
                <w:lang w:val="cs-CZ" w:bidi="ar-SA"/>
              </w:rPr>
            </w:pPr>
            <w:r>
              <w:rPr>
                <w:kern w:val="0"/>
                <w:lang w:val="cs-CZ" w:bidi="ar-SA"/>
              </w:rPr>
              <w:t>Paušál</w:t>
            </w:r>
          </w:p>
        </w:tc>
        <w:tc>
          <w:tcPr>
            <w:tcW w:w="3111" w:type="dxa"/>
            <w:tcBorders>
              <w:top w:val="nil"/>
              <w:left w:val="nil"/>
              <w:bottom w:val="single" w:sz="4" w:space="0" w:color="0C1838"/>
              <w:right w:val="nil"/>
            </w:tcBorders>
          </w:tcPr>
          <w:p>
            <w:pPr>
              <w:pStyle w:val="Tabulkatext"/>
              <w:widowControl/>
              <w:suppressAutoHyphens w:val="true"/>
              <w:rPr>
                <w:kern w:val="0"/>
                <w:lang w:val="cs-CZ" w:bidi="ar-SA"/>
              </w:rPr>
            </w:pPr>
            <w:r>
              <w:rPr>
                <w:kern w:val="0"/>
                <w:lang w:val="cs-CZ" w:bidi="ar-SA"/>
              </w:rPr>
              <w:t>Obsah</w:t>
            </w:r>
          </w:p>
        </w:tc>
      </w:tr>
      <w:tr>
        <w:trPr/>
        <w:tc>
          <w:tcPr>
            <w:tcW w:w="560" w:type="dxa"/>
            <w:tcBorders>
              <w:top w:val="single" w:sz="4" w:space="0" w:color="0C1838"/>
              <w:left w:val="nil"/>
              <w:bottom w:val="nil"/>
              <w:right w:val="nil"/>
            </w:tcBorders>
          </w:tcPr>
          <w:p>
            <w:pPr>
              <w:pStyle w:val="Tabulkatext"/>
              <w:widowControl/>
              <w:suppressAutoHyphens w:val="true"/>
              <w:rPr>
                <w:kern w:val="0"/>
                <w:lang w:val="cs-CZ" w:bidi="ar-SA"/>
              </w:rPr>
            </w:pPr>
            <w:r>
              <w:rPr>
                <w:kern w:val="0"/>
                <w:lang w:val="cs-CZ" w:bidi="ar-SA"/>
              </w:rPr>
              <w:t>29.</w:t>
            </w:r>
          </w:p>
        </w:tc>
        <w:tc>
          <w:tcPr>
            <w:tcW w:w="993" w:type="dxa"/>
            <w:tcBorders>
              <w:top w:val="single" w:sz="4" w:space="0" w:color="0C1838"/>
              <w:left w:val="nil"/>
              <w:bottom w:val="nil"/>
              <w:right w:val="nil"/>
            </w:tcBorders>
          </w:tcPr>
          <w:p>
            <w:pPr>
              <w:pStyle w:val="Tabulkatext"/>
              <w:widowControl/>
              <w:suppressAutoHyphens w:val="true"/>
              <w:rPr>
                <w:kern w:val="0"/>
                <w:lang w:val="cs-CZ" w:bidi="ar-SA"/>
              </w:rPr>
            </w:pPr>
            <w:r>
              <w:rPr>
                <w:kern w:val="0"/>
                <w:lang w:val="cs-CZ" w:bidi="ar-SA"/>
              </w:rPr>
              <w:t>1 391 Kč</w:t>
            </w:r>
          </w:p>
        </w:tc>
        <w:tc>
          <w:tcPr>
            <w:tcW w:w="1136" w:type="dxa"/>
            <w:tcBorders>
              <w:top w:val="single" w:sz="4" w:space="0" w:color="0C1838"/>
              <w:left w:val="nil"/>
              <w:bottom w:val="nil"/>
              <w:right w:val="single" w:sz="4" w:space="0" w:color="0C1838"/>
            </w:tcBorders>
          </w:tcPr>
          <w:p>
            <w:pPr>
              <w:pStyle w:val="Tabulkatext"/>
              <w:widowControl/>
              <w:suppressAutoHyphens w:val="true"/>
              <w:rPr>
                <w:kern w:val="0"/>
                <w:lang w:val="cs-CZ" w:bidi="ar-SA"/>
              </w:rPr>
            </w:pPr>
            <w:r>
              <w:rPr>
                <w:kern w:val="0"/>
                <w:lang w:val="cs-CZ" w:bidi="ar-SA"/>
              </w:rPr>
              <w:t>629 SEK</w:t>
            </w:r>
          </w:p>
        </w:tc>
        <w:tc>
          <w:tcPr>
            <w:tcW w:w="707" w:type="dxa"/>
            <w:tcBorders>
              <w:top w:val="single" w:sz="4" w:space="0" w:color="0C1838"/>
              <w:left w:val="single" w:sz="4" w:space="0" w:color="0C1838"/>
              <w:bottom w:val="nil"/>
              <w:right w:val="nil"/>
            </w:tcBorders>
          </w:tcPr>
          <w:p>
            <w:pPr>
              <w:pStyle w:val="Tabulkatext"/>
              <w:widowControl/>
              <w:suppressAutoHyphens w:val="true"/>
              <w:rPr>
                <w:kern w:val="0"/>
                <w:lang w:val="cs-CZ" w:bidi="ar-SA"/>
              </w:rPr>
            </w:pPr>
            <w:r>
              <w:rPr>
                <w:kern w:val="0"/>
                <w:lang w:val="cs-CZ" w:bidi="ar-SA"/>
              </w:rPr>
              <w:t>SE</w:t>
            </w:r>
          </w:p>
        </w:tc>
        <w:tc>
          <w:tcPr>
            <w:tcW w:w="994" w:type="dxa"/>
            <w:tcBorders>
              <w:top w:val="single" w:sz="4" w:space="0" w:color="0C1838"/>
              <w:left w:val="nil"/>
              <w:bottom w:val="nil"/>
              <w:right w:val="nil"/>
            </w:tcBorders>
          </w:tcPr>
          <w:p>
            <w:pPr>
              <w:pStyle w:val="Tabulkatext"/>
              <w:widowControl/>
              <w:suppressAutoHyphens w:val="true"/>
              <w:rPr>
                <w:kern w:val="0"/>
                <w:lang w:val="cs-CZ" w:bidi="ar-SA"/>
              </w:rPr>
            </w:pPr>
            <w:r>
              <w:rPr>
                <w:kern w:val="0"/>
                <w:lang w:val="cs-CZ" w:bidi="ar-SA"/>
              </w:rPr>
              <w:t>Telia</w:t>
            </w:r>
          </w:p>
        </w:tc>
        <w:tc>
          <w:tcPr>
            <w:tcW w:w="1559" w:type="dxa"/>
            <w:tcBorders>
              <w:top w:val="single" w:sz="4" w:space="0" w:color="0C1838"/>
              <w:left w:val="nil"/>
              <w:bottom w:val="nil"/>
              <w:right w:val="nil"/>
            </w:tcBorders>
          </w:tcPr>
          <w:p>
            <w:pPr>
              <w:pStyle w:val="Tabulkatext"/>
              <w:widowControl/>
              <w:suppressAutoHyphens w:val="true"/>
              <w:rPr>
                <w:kern w:val="0"/>
                <w:lang w:val="cs-CZ" w:bidi="ar-SA"/>
              </w:rPr>
            </w:pPr>
            <w:r>
              <w:rPr>
                <w:kern w:val="0"/>
                <w:lang w:val="cs-CZ" w:bidi="ar-SA"/>
              </w:rPr>
              <w:t>Obergransad Plus Netflix</w:t>
            </w:r>
          </w:p>
        </w:tc>
        <w:tc>
          <w:tcPr>
            <w:tcW w:w="3111" w:type="dxa"/>
            <w:tcBorders>
              <w:top w:val="single" w:sz="4" w:space="0" w:color="0C1838"/>
              <w:left w:val="nil"/>
              <w:bottom w:val="nil"/>
              <w:right w:val="nil"/>
            </w:tcBorders>
          </w:tcPr>
          <w:p>
            <w:pPr>
              <w:pStyle w:val="Tabulkatext"/>
              <w:widowControl/>
              <w:suppressAutoHyphens w:val="true"/>
              <w:rPr>
                <w:kern w:val="0"/>
                <w:lang w:val="cs-CZ" w:bidi="ar-SA"/>
              </w:rPr>
            </w:pPr>
            <w:r>
              <w:rPr>
                <w:kern w:val="0"/>
                <w:lang w:val="cs-CZ" w:bidi="ar-SA"/>
              </w:rPr>
              <w:t>Neomezený + Netflix</w:t>
            </w:r>
          </w:p>
        </w:tc>
      </w:tr>
      <w:tr>
        <w:trPr/>
        <w:tc>
          <w:tcPr>
            <w:tcW w:w="560" w:type="dxa"/>
            <w:tcBorders>
              <w:top w:val="nil"/>
              <w:left w:val="nil"/>
              <w:bottom w:val="nil"/>
              <w:right w:val="nil"/>
            </w:tcBorders>
          </w:tcPr>
          <w:p>
            <w:pPr>
              <w:pStyle w:val="Tabulkatext"/>
              <w:widowControl/>
              <w:suppressAutoHyphens w:val="true"/>
              <w:rPr>
                <w:kern w:val="0"/>
                <w:lang w:val="cs-CZ" w:bidi="ar-SA"/>
              </w:rPr>
            </w:pPr>
            <w:r>
              <w:rPr>
                <w:kern w:val="0"/>
                <w:lang w:val="cs-CZ" w:bidi="ar-SA"/>
              </w:rPr>
              <w:t>30.</w:t>
            </w:r>
          </w:p>
        </w:tc>
        <w:tc>
          <w:tcPr>
            <w:tcW w:w="993" w:type="dxa"/>
            <w:tcBorders>
              <w:top w:val="nil"/>
              <w:left w:val="nil"/>
              <w:bottom w:val="nil"/>
              <w:right w:val="nil"/>
            </w:tcBorders>
          </w:tcPr>
          <w:p>
            <w:pPr>
              <w:pStyle w:val="Tabulkatext"/>
              <w:widowControl/>
              <w:suppressAutoHyphens w:val="true"/>
              <w:rPr>
                <w:kern w:val="0"/>
                <w:lang w:val="cs-CZ" w:bidi="ar-SA"/>
              </w:rPr>
            </w:pPr>
            <w:r>
              <w:rPr>
                <w:kern w:val="0"/>
                <w:lang w:val="cs-CZ" w:bidi="ar-SA"/>
              </w:rPr>
              <w:t>1 385 Kč</w:t>
            </w:r>
          </w:p>
        </w:tc>
        <w:tc>
          <w:tcPr>
            <w:tcW w:w="1136" w:type="dxa"/>
            <w:tcBorders>
              <w:top w:val="nil"/>
              <w:left w:val="nil"/>
              <w:bottom w:val="nil"/>
              <w:right w:val="single" w:sz="4" w:space="0" w:color="0C1838"/>
            </w:tcBorders>
          </w:tcPr>
          <w:p>
            <w:pPr>
              <w:pStyle w:val="Tabulkatext"/>
              <w:widowControl/>
              <w:suppressAutoHyphens w:val="true"/>
              <w:rPr>
                <w:kern w:val="0"/>
                <w:lang w:val="cs-CZ" w:bidi="ar-SA"/>
              </w:rPr>
            </w:pPr>
            <w:r>
              <w:rPr>
                <w:kern w:val="0"/>
                <w:lang w:val="cs-CZ" w:bidi="ar-SA"/>
              </w:rPr>
              <w:t>1 385 CZK</w:t>
            </w:r>
          </w:p>
        </w:tc>
        <w:tc>
          <w:tcPr>
            <w:tcW w:w="707" w:type="dxa"/>
            <w:tcBorders>
              <w:top w:val="nil"/>
              <w:left w:val="single" w:sz="4" w:space="0" w:color="0C1838"/>
              <w:bottom w:val="nil"/>
              <w:right w:val="nil"/>
            </w:tcBorders>
          </w:tcPr>
          <w:p>
            <w:pPr>
              <w:pStyle w:val="Tabulkatext"/>
              <w:widowControl/>
              <w:suppressAutoHyphens w:val="true"/>
              <w:rPr>
                <w:kern w:val="0"/>
                <w:lang w:val="cs-CZ" w:bidi="ar-SA"/>
              </w:rPr>
            </w:pPr>
            <w:r>
              <w:rPr>
                <w:kern w:val="0"/>
                <w:lang w:val="cs-CZ" w:bidi="ar-SA"/>
              </w:rPr>
              <w:t>CZ</w:t>
            </w:r>
          </w:p>
        </w:tc>
        <w:tc>
          <w:tcPr>
            <w:tcW w:w="994" w:type="dxa"/>
            <w:tcBorders>
              <w:top w:val="nil"/>
              <w:left w:val="nil"/>
              <w:bottom w:val="nil"/>
              <w:right w:val="nil"/>
            </w:tcBorders>
          </w:tcPr>
          <w:p>
            <w:pPr>
              <w:pStyle w:val="Tabulkatext"/>
              <w:widowControl/>
              <w:suppressAutoHyphens w:val="true"/>
              <w:rPr>
                <w:kern w:val="0"/>
                <w:lang w:val="cs-CZ" w:bidi="ar-SA"/>
              </w:rPr>
            </w:pPr>
            <w:r>
              <w:rPr>
                <w:kern w:val="0"/>
                <w:lang w:val="cs-CZ" w:bidi="ar-SA"/>
              </w:rPr>
              <w:t>T-Mobile</w:t>
            </w:r>
          </w:p>
        </w:tc>
        <w:tc>
          <w:tcPr>
            <w:tcW w:w="1559" w:type="dxa"/>
            <w:tcBorders>
              <w:top w:val="nil"/>
              <w:left w:val="nil"/>
              <w:bottom w:val="nil"/>
              <w:right w:val="nil"/>
            </w:tcBorders>
          </w:tcPr>
          <w:p>
            <w:pPr>
              <w:pStyle w:val="Tabulkatext"/>
              <w:widowControl/>
              <w:suppressAutoHyphens w:val="true"/>
              <w:rPr>
                <w:kern w:val="0"/>
                <w:lang w:val="cs-CZ" w:bidi="ar-SA"/>
              </w:rPr>
            </w:pPr>
            <w:r>
              <w:rPr>
                <w:kern w:val="0"/>
                <w:lang w:val="cs-CZ" w:bidi="ar-SA"/>
              </w:rPr>
              <w:t>Next neomezeně 4XL</w:t>
            </w:r>
          </w:p>
        </w:tc>
        <w:tc>
          <w:tcPr>
            <w:tcW w:w="3111" w:type="dxa"/>
            <w:tcBorders>
              <w:top w:val="nil"/>
              <w:left w:val="nil"/>
              <w:bottom w:val="nil"/>
              <w:right w:val="nil"/>
            </w:tcBorders>
          </w:tcPr>
          <w:p>
            <w:pPr>
              <w:pStyle w:val="Tabulkatext"/>
              <w:widowControl/>
              <w:suppressAutoHyphens w:val="true"/>
              <w:rPr>
                <w:kern w:val="0"/>
                <w:lang w:val="cs-CZ" w:bidi="ar-SA"/>
              </w:rPr>
            </w:pPr>
            <w:r>
              <w:rPr>
                <w:kern w:val="0"/>
                <w:lang w:val="cs-CZ" w:bidi="ar-SA"/>
              </w:rPr>
              <w:t>Neomezený + AlzaPlus na rok zdarma</w:t>
            </w:r>
          </w:p>
        </w:tc>
      </w:tr>
      <w:tr>
        <w:trPr/>
        <w:tc>
          <w:tcPr>
            <w:tcW w:w="560" w:type="dxa"/>
            <w:tcBorders>
              <w:top w:val="nil"/>
              <w:left w:val="nil"/>
              <w:bottom w:val="nil"/>
              <w:right w:val="nil"/>
            </w:tcBorders>
          </w:tcPr>
          <w:p>
            <w:pPr>
              <w:pStyle w:val="Tabulkatext"/>
              <w:widowControl/>
              <w:suppressAutoHyphens w:val="true"/>
              <w:rPr>
                <w:kern w:val="0"/>
                <w:lang w:val="cs-CZ" w:bidi="ar-SA"/>
              </w:rPr>
            </w:pPr>
            <w:r>
              <w:rPr>
                <w:kern w:val="0"/>
                <w:lang w:val="cs-CZ" w:bidi="ar-SA"/>
              </w:rPr>
              <w:t>31.</w:t>
            </w:r>
          </w:p>
        </w:tc>
        <w:tc>
          <w:tcPr>
            <w:tcW w:w="993" w:type="dxa"/>
            <w:tcBorders>
              <w:top w:val="nil"/>
              <w:left w:val="nil"/>
              <w:bottom w:val="nil"/>
              <w:right w:val="nil"/>
            </w:tcBorders>
          </w:tcPr>
          <w:p>
            <w:pPr>
              <w:pStyle w:val="Tabulkatext"/>
              <w:widowControl/>
              <w:suppressAutoHyphens w:val="true"/>
              <w:rPr>
                <w:kern w:val="0"/>
                <w:lang w:val="cs-CZ" w:bidi="ar-SA"/>
              </w:rPr>
            </w:pPr>
            <w:r>
              <w:rPr>
                <w:kern w:val="0"/>
                <w:lang w:val="cs-CZ" w:bidi="ar-SA"/>
              </w:rPr>
              <w:t>1 349 Kč</w:t>
            </w:r>
          </w:p>
        </w:tc>
        <w:tc>
          <w:tcPr>
            <w:tcW w:w="1136" w:type="dxa"/>
            <w:tcBorders>
              <w:top w:val="nil"/>
              <w:left w:val="nil"/>
              <w:bottom w:val="nil"/>
              <w:right w:val="single" w:sz="4" w:space="0" w:color="0C1838"/>
            </w:tcBorders>
          </w:tcPr>
          <w:p>
            <w:pPr>
              <w:pStyle w:val="Tabulkatext"/>
              <w:widowControl/>
              <w:suppressAutoHyphens w:val="true"/>
              <w:rPr>
                <w:kern w:val="0"/>
                <w:lang w:val="cs-CZ" w:bidi="ar-SA"/>
              </w:rPr>
            </w:pPr>
            <w:r>
              <w:rPr>
                <w:kern w:val="0"/>
                <w:lang w:val="cs-CZ" w:bidi="ar-SA"/>
              </w:rPr>
              <w:t>1 349 CZK</w:t>
            </w:r>
          </w:p>
        </w:tc>
        <w:tc>
          <w:tcPr>
            <w:tcW w:w="707" w:type="dxa"/>
            <w:tcBorders>
              <w:top w:val="nil"/>
              <w:left w:val="single" w:sz="4" w:space="0" w:color="0C1838"/>
              <w:bottom w:val="nil"/>
              <w:right w:val="nil"/>
            </w:tcBorders>
          </w:tcPr>
          <w:p>
            <w:pPr>
              <w:pStyle w:val="Tabulkatext"/>
              <w:widowControl/>
              <w:suppressAutoHyphens w:val="true"/>
              <w:rPr>
                <w:kern w:val="0"/>
                <w:lang w:val="cs-CZ" w:bidi="ar-SA"/>
              </w:rPr>
            </w:pPr>
            <w:r>
              <w:rPr>
                <w:kern w:val="0"/>
                <w:lang w:val="cs-CZ" w:bidi="ar-SA"/>
              </w:rPr>
              <w:t>CZ</w:t>
            </w:r>
          </w:p>
        </w:tc>
        <w:tc>
          <w:tcPr>
            <w:tcW w:w="994" w:type="dxa"/>
            <w:tcBorders>
              <w:top w:val="nil"/>
              <w:left w:val="nil"/>
              <w:bottom w:val="nil"/>
              <w:right w:val="nil"/>
            </w:tcBorders>
          </w:tcPr>
          <w:p>
            <w:pPr>
              <w:pStyle w:val="Tabulkatext"/>
              <w:widowControl/>
              <w:suppressAutoHyphens w:val="true"/>
              <w:rPr>
                <w:kern w:val="0"/>
                <w:lang w:val="cs-CZ" w:bidi="ar-SA"/>
              </w:rPr>
            </w:pPr>
            <w:r>
              <w:rPr>
                <w:kern w:val="0"/>
                <w:lang w:val="cs-CZ" w:bidi="ar-SA"/>
              </w:rPr>
              <w:t>O2</w:t>
            </w:r>
          </w:p>
        </w:tc>
        <w:tc>
          <w:tcPr>
            <w:tcW w:w="1559" w:type="dxa"/>
            <w:tcBorders>
              <w:top w:val="nil"/>
              <w:left w:val="nil"/>
              <w:bottom w:val="nil"/>
              <w:right w:val="nil"/>
            </w:tcBorders>
          </w:tcPr>
          <w:p>
            <w:pPr>
              <w:pStyle w:val="Tabulkatext"/>
              <w:widowControl/>
              <w:suppressAutoHyphens w:val="true"/>
              <w:rPr>
                <w:kern w:val="0"/>
                <w:lang w:val="cs-CZ" w:bidi="ar-SA"/>
              </w:rPr>
            </w:pPr>
            <w:r>
              <w:rPr>
                <w:kern w:val="0"/>
                <w:lang w:val="cs-CZ" w:bidi="ar-SA"/>
              </w:rPr>
              <w:t>Tarif NEO Platinový</w:t>
            </w:r>
          </w:p>
        </w:tc>
        <w:tc>
          <w:tcPr>
            <w:tcW w:w="3111" w:type="dxa"/>
            <w:tcBorders>
              <w:top w:val="nil"/>
              <w:left w:val="nil"/>
              <w:bottom w:val="nil"/>
              <w:right w:val="nil"/>
            </w:tcBorders>
          </w:tcPr>
          <w:p>
            <w:pPr>
              <w:pStyle w:val="Tabulkatext"/>
              <w:widowControl/>
              <w:suppressAutoHyphens w:val="true"/>
              <w:rPr>
                <w:kern w:val="0"/>
                <w:lang w:val="cs-CZ" w:bidi="ar-SA"/>
              </w:rPr>
            </w:pPr>
            <w:r>
              <w:rPr>
                <w:kern w:val="0"/>
                <w:lang w:val="cs-CZ" w:bidi="ar-SA"/>
              </w:rPr>
              <w:t>Neomezený</w:t>
            </w:r>
          </w:p>
        </w:tc>
      </w:tr>
      <w:tr>
        <w:trPr/>
        <w:tc>
          <w:tcPr>
            <w:tcW w:w="560" w:type="dxa"/>
            <w:tcBorders>
              <w:top w:val="nil"/>
              <w:left w:val="nil"/>
              <w:bottom w:val="nil"/>
              <w:right w:val="nil"/>
            </w:tcBorders>
          </w:tcPr>
          <w:p>
            <w:pPr>
              <w:pStyle w:val="Tabulkatext"/>
              <w:widowControl/>
              <w:suppressAutoHyphens w:val="true"/>
              <w:rPr>
                <w:kern w:val="0"/>
                <w:lang w:val="cs-CZ" w:bidi="ar-SA"/>
              </w:rPr>
            </w:pPr>
            <w:r>
              <w:rPr>
                <w:kern w:val="0"/>
                <w:lang w:val="cs-CZ" w:bidi="ar-SA"/>
              </w:rPr>
              <w:t>32.</w:t>
            </w:r>
          </w:p>
        </w:tc>
        <w:tc>
          <w:tcPr>
            <w:tcW w:w="993" w:type="dxa"/>
            <w:tcBorders>
              <w:top w:val="nil"/>
              <w:left w:val="nil"/>
              <w:bottom w:val="nil"/>
              <w:right w:val="nil"/>
            </w:tcBorders>
          </w:tcPr>
          <w:p>
            <w:pPr>
              <w:pStyle w:val="Tabulkatext"/>
              <w:widowControl/>
              <w:suppressAutoHyphens w:val="true"/>
              <w:rPr>
                <w:kern w:val="0"/>
                <w:lang w:val="cs-CZ" w:bidi="ar-SA"/>
              </w:rPr>
            </w:pPr>
            <w:r>
              <w:rPr>
                <w:kern w:val="0"/>
                <w:lang w:val="cs-CZ" w:bidi="ar-SA"/>
              </w:rPr>
              <w:t>1 347 Kč</w:t>
            </w:r>
          </w:p>
        </w:tc>
        <w:tc>
          <w:tcPr>
            <w:tcW w:w="1136" w:type="dxa"/>
            <w:tcBorders>
              <w:top w:val="nil"/>
              <w:left w:val="nil"/>
              <w:bottom w:val="nil"/>
              <w:right w:val="single" w:sz="4" w:space="0" w:color="0C1838"/>
            </w:tcBorders>
          </w:tcPr>
          <w:p>
            <w:pPr>
              <w:pStyle w:val="Tabulkatext"/>
              <w:widowControl/>
              <w:suppressAutoHyphens w:val="true"/>
              <w:rPr>
                <w:kern w:val="0"/>
                <w:lang w:val="cs-CZ" w:bidi="ar-SA"/>
              </w:rPr>
            </w:pPr>
            <w:r>
              <w:rPr>
                <w:kern w:val="0"/>
                <w:lang w:val="cs-CZ" w:bidi="ar-SA"/>
              </w:rPr>
              <w:t>609 SEK</w:t>
            </w:r>
          </w:p>
        </w:tc>
        <w:tc>
          <w:tcPr>
            <w:tcW w:w="707" w:type="dxa"/>
            <w:tcBorders>
              <w:top w:val="nil"/>
              <w:left w:val="single" w:sz="4" w:space="0" w:color="0C1838"/>
              <w:bottom w:val="nil"/>
              <w:right w:val="nil"/>
            </w:tcBorders>
          </w:tcPr>
          <w:p>
            <w:pPr>
              <w:pStyle w:val="Tabulkatext"/>
              <w:widowControl/>
              <w:suppressAutoHyphens w:val="true"/>
              <w:rPr>
                <w:kern w:val="0"/>
                <w:lang w:val="cs-CZ" w:bidi="ar-SA"/>
              </w:rPr>
            </w:pPr>
            <w:r>
              <w:rPr>
                <w:kern w:val="0"/>
                <w:lang w:val="cs-CZ" w:bidi="ar-SA"/>
              </w:rPr>
              <w:t>SE</w:t>
            </w:r>
          </w:p>
        </w:tc>
        <w:tc>
          <w:tcPr>
            <w:tcW w:w="994" w:type="dxa"/>
            <w:tcBorders>
              <w:top w:val="nil"/>
              <w:left w:val="nil"/>
              <w:bottom w:val="nil"/>
              <w:right w:val="nil"/>
            </w:tcBorders>
          </w:tcPr>
          <w:p>
            <w:pPr>
              <w:pStyle w:val="Tabulkatext"/>
              <w:widowControl/>
              <w:suppressAutoHyphens w:val="true"/>
              <w:rPr>
                <w:kern w:val="0"/>
                <w:lang w:val="cs-CZ" w:bidi="ar-SA"/>
              </w:rPr>
            </w:pPr>
            <w:r>
              <w:rPr>
                <w:kern w:val="0"/>
                <w:lang w:val="cs-CZ" w:bidi="ar-SA"/>
              </w:rPr>
              <w:t>Telia</w:t>
            </w:r>
          </w:p>
        </w:tc>
        <w:tc>
          <w:tcPr>
            <w:tcW w:w="1559" w:type="dxa"/>
            <w:tcBorders>
              <w:top w:val="nil"/>
              <w:left w:val="nil"/>
              <w:bottom w:val="nil"/>
              <w:right w:val="nil"/>
            </w:tcBorders>
          </w:tcPr>
          <w:p>
            <w:pPr>
              <w:pStyle w:val="Tabulkatext"/>
              <w:widowControl/>
              <w:suppressAutoHyphens w:val="true"/>
              <w:rPr>
                <w:kern w:val="0"/>
                <w:lang w:val="cs-CZ" w:bidi="ar-SA"/>
              </w:rPr>
            </w:pPr>
            <w:r>
              <w:rPr>
                <w:kern w:val="0"/>
                <w:lang w:val="cs-CZ" w:bidi="ar-SA"/>
              </w:rPr>
              <w:t>Obergransad Plus HBO Max</w:t>
            </w:r>
          </w:p>
        </w:tc>
        <w:tc>
          <w:tcPr>
            <w:tcW w:w="3111" w:type="dxa"/>
            <w:tcBorders>
              <w:top w:val="nil"/>
              <w:left w:val="nil"/>
              <w:bottom w:val="nil"/>
              <w:right w:val="nil"/>
            </w:tcBorders>
          </w:tcPr>
          <w:p>
            <w:pPr>
              <w:pStyle w:val="Tabulkatext"/>
              <w:widowControl/>
              <w:suppressAutoHyphens w:val="true"/>
              <w:rPr>
                <w:kern w:val="0"/>
                <w:lang w:val="cs-CZ" w:bidi="ar-SA"/>
              </w:rPr>
            </w:pPr>
            <w:r>
              <w:rPr>
                <w:kern w:val="0"/>
                <w:lang w:val="cs-CZ" w:bidi="ar-SA"/>
              </w:rPr>
              <w:t>Neomezený + HBO Max</w:t>
            </w:r>
          </w:p>
        </w:tc>
      </w:tr>
      <w:tr>
        <w:trPr/>
        <w:tc>
          <w:tcPr>
            <w:tcW w:w="560" w:type="dxa"/>
            <w:tcBorders>
              <w:top w:val="nil"/>
              <w:left w:val="nil"/>
              <w:bottom w:val="nil"/>
              <w:right w:val="nil"/>
            </w:tcBorders>
          </w:tcPr>
          <w:p>
            <w:pPr>
              <w:pStyle w:val="Tabulkatext"/>
              <w:widowControl/>
              <w:suppressAutoHyphens w:val="true"/>
              <w:rPr>
                <w:kern w:val="0"/>
                <w:lang w:val="cs-CZ" w:bidi="ar-SA"/>
              </w:rPr>
            </w:pPr>
            <w:r>
              <w:rPr>
                <w:kern w:val="0"/>
                <w:lang w:val="cs-CZ" w:bidi="ar-SA"/>
              </w:rPr>
              <w:t>33.</w:t>
            </w:r>
          </w:p>
        </w:tc>
        <w:tc>
          <w:tcPr>
            <w:tcW w:w="993" w:type="dxa"/>
            <w:tcBorders>
              <w:top w:val="nil"/>
              <w:left w:val="nil"/>
              <w:bottom w:val="nil"/>
              <w:right w:val="nil"/>
            </w:tcBorders>
          </w:tcPr>
          <w:p>
            <w:pPr>
              <w:pStyle w:val="Tabulkatext"/>
              <w:widowControl/>
              <w:suppressAutoHyphens w:val="true"/>
              <w:rPr>
                <w:kern w:val="0"/>
                <w:lang w:val="cs-CZ" w:bidi="ar-SA"/>
              </w:rPr>
            </w:pPr>
            <w:r>
              <w:rPr>
                <w:kern w:val="0"/>
                <w:lang w:val="cs-CZ" w:bidi="ar-SA"/>
              </w:rPr>
              <w:t>1 325 Kč</w:t>
            </w:r>
          </w:p>
        </w:tc>
        <w:tc>
          <w:tcPr>
            <w:tcW w:w="1136" w:type="dxa"/>
            <w:tcBorders>
              <w:top w:val="nil"/>
              <w:left w:val="nil"/>
              <w:bottom w:val="nil"/>
              <w:right w:val="single" w:sz="4" w:space="0" w:color="0C1838"/>
            </w:tcBorders>
          </w:tcPr>
          <w:p>
            <w:pPr>
              <w:pStyle w:val="Tabulkatext"/>
              <w:widowControl/>
              <w:suppressAutoHyphens w:val="true"/>
              <w:rPr>
                <w:kern w:val="0"/>
                <w:lang w:val="cs-CZ" w:bidi="ar-SA"/>
              </w:rPr>
            </w:pPr>
            <w:r>
              <w:rPr>
                <w:kern w:val="0"/>
                <w:lang w:val="cs-CZ" w:bidi="ar-SA"/>
              </w:rPr>
              <w:t>599 SEK</w:t>
            </w:r>
          </w:p>
        </w:tc>
        <w:tc>
          <w:tcPr>
            <w:tcW w:w="707" w:type="dxa"/>
            <w:tcBorders>
              <w:top w:val="nil"/>
              <w:left w:val="single" w:sz="4" w:space="0" w:color="0C1838"/>
              <w:bottom w:val="nil"/>
              <w:right w:val="nil"/>
            </w:tcBorders>
          </w:tcPr>
          <w:p>
            <w:pPr>
              <w:pStyle w:val="Tabulkatext"/>
              <w:widowControl/>
              <w:suppressAutoHyphens w:val="true"/>
              <w:rPr>
                <w:kern w:val="0"/>
                <w:lang w:val="cs-CZ" w:bidi="ar-SA"/>
              </w:rPr>
            </w:pPr>
            <w:r>
              <w:rPr>
                <w:kern w:val="0"/>
                <w:lang w:val="cs-CZ" w:bidi="ar-SA"/>
              </w:rPr>
              <w:t>SE</w:t>
            </w:r>
          </w:p>
        </w:tc>
        <w:tc>
          <w:tcPr>
            <w:tcW w:w="994" w:type="dxa"/>
            <w:tcBorders>
              <w:top w:val="nil"/>
              <w:left w:val="nil"/>
              <w:bottom w:val="nil"/>
              <w:right w:val="nil"/>
            </w:tcBorders>
          </w:tcPr>
          <w:p>
            <w:pPr>
              <w:pStyle w:val="Tabulkatext"/>
              <w:widowControl/>
              <w:suppressAutoHyphens w:val="true"/>
              <w:rPr>
                <w:kern w:val="0"/>
                <w:lang w:val="cs-CZ" w:bidi="ar-SA"/>
              </w:rPr>
            </w:pPr>
            <w:r>
              <w:rPr>
                <w:kern w:val="0"/>
                <w:lang w:val="cs-CZ" w:bidi="ar-SA"/>
              </w:rPr>
              <w:t>Telia</w:t>
            </w:r>
          </w:p>
        </w:tc>
        <w:tc>
          <w:tcPr>
            <w:tcW w:w="1559" w:type="dxa"/>
            <w:tcBorders>
              <w:top w:val="nil"/>
              <w:left w:val="nil"/>
              <w:bottom w:val="nil"/>
              <w:right w:val="nil"/>
            </w:tcBorders>
          </w:tcPr>
          <w:p>
            <w:pPr>
              <w:pStyle w:val="Tabulkatext"/>
              <w:widowControl/>
              <w:suppressAutoHyphens w:val="true"/>
              <w:rPr>
                <w:kern w:val="0"/>
                <w:lang w:val="cs-CZ" w:bidi="ar-SA"/>
              </w:rPr>
            </w:pPr>
            <w:r>
              <w:rPr>
                <w:kern w:val="0"/>
                <w:lang w:val="cs-CZ" w:bidi="ar-SA"/>
              </w:rPr>
              <w:t>Obergransad Plus Disney+</w:t>
            </w:r>
          </w:p>
        </w:tc>
        <w:tc>
          <w:tcPr>
            <w:tcW w:w="3111" w:type="dxa"/>
            <w:tcBorders>
              <w:top w:val="nil"/>
              <w:left w:val="nil"/>
              <w:bottom w:val="nil"/>
              <w:right w:val="nil"/>
            </w:tcBorders>
          </w:tcPr>
          <w:p>
            <w:pPr>
              <w:pStyle w:val="Tabulkatext"/>
              <w:widowControl/>
              <w:suppressAutoHyphens w:val="true"/>
              <w:rPr>
                <w:kern w:val="0"/>
                <w:lang w:val="cs-CZ" w:bidi="ar-SA"/>
              </w:rPr>
            </w:pPr>
            <w:r>
              <w:rPr>
                <w:kern w:val="0"/>
                <w:lang w:val="cs-CZ" w:bidi="ar-SA"/>
              </w:rPr>
              <w:t>Neomezený + Disney+</w:t>
            </w:r>
          </w:p>
        </w:tc>
      </w:tr>
    </w:tbl>
    <w:p>
      <w:pPr>
        <w:pStyle w:val="Zdroj"/>
        <w:rPr>
          <w:lang w:val="en-GB"/>
        </w:rPr>
      </w:pPr>
      <w:r>
        <w:rPr>
          <w:lang w:val="en-GB"/>
        </w:rPr>
        <w:t>Note: The table shows order of the tariff according to the list price expressed in CZK, the list price in national currency, country, supplying operator, tariff name and the content of the tariff in Czech.</w:t>
      </w:r>
    </w:p>
    <w:p>
      <w:pPr>
        <w:pStyle w:val="Textprost"/>
        <w:rPr/>
      </w:pPr>
      <w:r>
        <w:rPr/>
        <w:t>Úřad předně poukazuje na to, že v nominálním cenovém okolí nejdražšího mobilního tarifu nabízeného společností O2 v čase zkoumání Úřadu se nachází mobilní tarify ze Švédska a jeden tarif konkurenta – společnosti T-Mobile. Společnost O2 nabízí neomezený tarif bez dalších výhod. Úřad též doplňuje, že cenová diference daná pouze tím, že mobilní tarif společnosti T-Mobile obsahuje službu AlzaPlus na rok zdarma, byla 40,- Kč při měsíční platbě, tj. 480,- Kč za rok. Služba AlzaPlus poskytovaná jako „výhoda“ k mobilnímu tarifu společnosti T-Mobile tak byla o 60,53 %</w:t>
      </w:r>
      <w:r>
        <w:rPr>
          <w:rStyle w:val="FootnoteReference"/>
        </w:rPr>
        <w:footnoteReference w:id="133"/>
      </w:r>
      <w:r>
        <w:rPr/>
        <w:t xml:space="preserve"> dražší, než kdyby si spotřebitel koupil mobilní tarif od společnosti O2 a k tomu službu AlzaPlus přímo od společnosti Alza. Takovou „výhodu“ tedy nelze racionálně považovat za nástroj necenové konkurence na straně nabídky ve formě kvalitativních výhod k nabízeným službám. </w:t>
      </w:r>
      <w:commentRangeStart w:id="31"/>
      <w:r>
        <w:rPr/>
        <w:t>Úřad se tak nutně musí pozastavit nad fungováním konkurenčního prostředí v České republice.</w:t>
      </w:r>
      <w:commentRangeEnd w:id="31"/>
      <w:r>
        <w:commentReference w:id="31"/>
      </w:r>
      <w:r>
        <w:rPr/>
      </w:r>
    </w:p>
    <w:p>
      <w:pPr>
        <w:pStyle w:val="Textprost"/>
        <w:rPr/>
      </w:pPr>
      <w:r>
        <w:rPr/>
        <w:t xml:space="preserve">Co se týče nejdražšího mobilního tarifu společnosti O2, nachází se v jeho nejbližším cenovém okolí mobilní tarify švédského operátora Telia, avšak obsahující službu VOD, a to buď službu Netflix, HBO max nebo Disney+. Vyjde-li Úřad z rozdílu v ceně mezi mobilními tarify společnosti T-Mobile uvedenými v Tabulkách č. </w:t>
      </w:r>
      <w:commentRangeStart w:id="32"/>
      <w:r>
        <w:rPr/>
        <w:t>XXX a XXX</w:t>
      </w:r>
      <w:r>
        <w:rPr/>
      </w:r>
      <w:commentRangeEnd w:id="32"/>
      <w:r>
        <w:commentReference w:id="32"/>
      </w:r>
      <w:r>
        <w:rPr/>
        <w:t>, přičemž cenový rozdíl za tuto výhodu je u tohoto konkurenta společnosti O2 400,- Kč za měsíc, musí Úřad nutně dojít k závěru, že českému prostředí</w:t>
      </w:r>
      <w:r>
        <w:rPr>
          <w:rStyle w:val="FootnoteReference"/>
        </w:rPr>
        <w:footnoteReference w:id="134"/>
      </w:r>
      <w:r>
        <w:rPr/>
        <w:t xml:space="preserve"> by odpovídala cena 949,- Kč za situace, že by v něm panovaly švédské tržní podmínky.</w:t>
      </w:r>
      <w:r>
        <w:rPr>
          <w:rStyle w:val="FootnoteReference"/>
        </w:rPr>
        <w:footnoteReference w:id="135"/>
      </w:r>
    </w:p>
    <w:p>
      <w:pPr>
        <w:pStyle w:val="Normal"/>
        <w:spacing w:lineRule="auto" w:line="259" w:before="0" w:after="160"/>
        <w:ind w:left="0" w:right="0"/>
        <w:jc w:val="left"/>
        <w:rPr/>
      </w:pPr>
      <w:r>
        <w:rPr/>
      </w:r>
      <w:r>
        <w:br w:type="page"/>
      </w:r>
    </w:p>
    <w:p>
      <w:pPr>
        <w:pStyle w:val="Textprost"/>
        <w:spacing w:before="0" w:after="160"/>
        <w:rPr/>
      </w:pPr>
      <w:r>
        <w:rPr/>
      </w:r>
    </w:p>
    <w:p>
      <w:pPr>
        <w:pStyle w:val="Tabulka"/>
        <w:numPr>
          <w:ilvl w:val="0"/>
          <w:numId w:val="3"/>
        </w:numPr>
        <w:ind w:hanging="1560" w:left="1560" w:right="0"/>
        <w:rPr/>
      </w:pPr>
      <w:bookmarkStart w:id="171" w:name="_Toc229057988"/>
      <w:r>
        <w:rPr/>
        <w:t>Nejbližší cenové okolí ceníkově nejdražšího mobilního tarifu společnosti Vodafone ze sběru ceníkových cen č. 1</w:t>
      </w:r>
      <w:bookmarkEnd w:id="171"/>
    </w:p>
    <w:p>
      <w:pPr>
        <w:pStyle w:val="TabulkavAJ"/>
        <w:ind w:hanging="0" w:left="1560" w:right="0"/>
        <w:rPr/>
      </w:pPr>
      <w:bookmarkStart w:id="172" w:name="_Toc229060860"/>
      <w:r>
        <w:rPr/>
        <w:t>The Closest Price Environment of Vodafone’s Most Expensive Listed Mobile Tariff from Price List Collection No. 1</w:t>
      </w:r>
      <w:bookmarkEnd w:id="172"/>
    </w:p>
    <w:tbl>
      <w:tblPr>
        <w:tblStyle w:val="TableGrid"/>
        <w:tblW w:w="906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60"/>
        <w:gridCol w:w="993"/>
        <w:gridCol w:w="1136"/>
        <w:gridCol w:w="707"/>
        <w:gridCol w:w="1135"/>
        <w:gridCol w:w="1418"/>
        <w:gridCol w:w="3111"/>
      </w:tblGrid>
      <w:tr>
        <w:trPr/>
        <w:tc>
          <w:tcPr>
            <w:tcW w:w="560" w:type="dxa"/>
            <w:tcBorders>
              <w:top w:val="nil"/>
              <w:left w:val="nil"/>
              <w:bottom w:val="single" w:sz="4" w:space="0" w:color="0C1838"/>
              <w:right w:val="nil"/>
            </w:tcBorders>
          </w:tcPr>
          <w:p>
            <w:pPr>
              <w:pStyle w:val="Tabulkatext"/>
              <w:widowControl/>
              <w:suppressAutoHyphens w:val="true"/>
              <w:rPr>
                <w:kern w:val="0"/>
                <w:lang w:val="cs-CZ" w:bidi="ar-SA"/>
              </w:rPr>
            </w:pPr>
            <w:r>
              <w:rPr>
                <w:kern w:val="0"/>
                <w:lang w:val="cs-CZ" w:bidi="ar-SA"/>
              </w:rPr>
              <w:t>Poř.</w:t>
            </w:r>
          </w:p>
        </w:tc>
        <w:tc>
          <w:tcPr>
            <w:tcW w:w="993" w:type="dxa"/>
            <w:tcBorders>
              <w:top w:val="nil"/>
              <w:left w:val="nil"/>
              <w:bottom w:val="single" w:sz="4" w:space="0" w:color="0C1838"/>
              <w:right w:val="nil"/>
            </w:tcBorders>
          </w:tcPr>
          <w:p>
            <w:pPr>
              <w:pStyle w:val="Tabulkatext"/>
              <w:widowControl/>
              <w:suppressAutoHyphens w:val="true"/>
              <w:rPr>
                <w:kern w:val="0"/>
                <w:lang w:val="cs-CZ" w:bidi="ar-SA"/>
              </w:rPr>
            </w:pPr>
            <w:r>
              <w:rPr>
                <w:kern w:val="0"/>
                <w:lang w:val="cs-CZ" w:bidi="ar-SA"/>
              </w:rPr>
              <w:t>P_CZK</w:t>
            </w:r>
          </w:p>
        </w:tc>
        <w:tc>
          <w:tcPr>
            <w:tcW w:w="1136" w:type="dxa"/>
            <w:tcBorders>
              <w:top w:val="nil"/>
              <w:left w:val="nil"/>
              <w:bottom w:val="single" w:sz="4" w:space="0" w:color="0C1838"/>
              <w:right w:val="single" w:sz="4" w:space="0" w:color="0C1838"/>
            </w:tcBorders>
          </w:tcPr>
          <w:p>
            <w:pPr>
              <w:pStyle w:val="Tabulkatext"/>
              <w:widowControl/>
              <w:suppressAutoHyphens w:val="true"/>
              <w:rPr>
                <w:kern w:val="0"/>
                <w:lang w:val="cs-CZ" w:bidi="ar-SA"/>
              </w:rPr>
            </w:pPr>
            <w:r>
              <w:rPr>
                <w:kern w:val="0"/>
                <w:lang w:val="cs-CZ" w:bidi="ar-SA"/>
              </w:rPr>
              <w:t>P_NC</w:t>
            </w:r>
          </w:p>
        </w:tc>
        <w:tc>
          <w:tcPr>
            <w:tcW w:w="707" w:type="dxa"/>
            <w:tcBorders>
              <w:top w:val="nil"/>
              <w:left w:val="single" w:sz="4" w:space="0" w:color="0C1838"/>
              <w:bottom w:val="single" w:sz="4" w:space="0" w:color="0C1838"/>
              <w:right w:val="nil"/>
            </w:tcBorders>
          </w:tcPr>
          <w:p>
            <w:pPr>
              <w:pStyle w:val="Tabulkatext"/>
              <w:widowControl/>
              <w:suppressAutoHyphens w:val="true"/>
              <w:rPr>
                <w:kern w:val="0"/>
                <w:lang w:val="cs-CZ" w:bidi="ar-SA"/>
              </w:rPr>
            </w:pPr>
            <w:r>
              <w:rPr>
                <w:kern w:val="0"/>
                <w:lang w:val="cs-CZ" w:bidi="ar-SA"/>
              </w:rPr>
              <w:t>Stát</w:t>
            </w:r>
          </w:p>
        </w:tc>
        <w:tc>
          <w:tcPr>
            <w:tcW w:w="1135" w:type="dxa"/>
            <w:tcBorders>
              <w:top w:val="nil"/>
              <w:left w:val="nil"/>
              <w:bottom w:val="single" w:sz="4" w:space="0" w:color="0C1838"/>
              <w:right w:val="nil"/>
            </w:tcBorders>
          </w:tcPr>
          <w:p>
            <w:pPr>
              <w:pStyle w:val="Tabulkatext"/>
              <w:widowControl/>
              <w:suppressAutoHyphens w:val="true"/>
              <w:rPr>
                <w:kern w:val="0"/>
                <w:lang w:val="cs-CZ" w:bidi="ar-SA"/>
              </w:rPr>
            </w:pPr>
            <w:r>
              <w:rPr>
                <w:kern w:val="0"/>
                <w:lang w:val="cs-CZ" w:bidi="ar-SA"/>
              </w:rPr>
              <w:t>Operátor</w:t>
            </w:r>
          </w:p>
        </w:tc>
        <w:tc>
          <w:tcPr>
            <w:tcW w:w="1418" w:type="dxa"/>
            <w:tcBorders>
              <w:top w:val="nil"/>
              <w:left w:val="nil"/>
              <w:bottom w:val="single" w:sz="4" w:space="0" w:color="0C1838"/>
              <w:right w:val="nil"/>
            </w:tcBorders>
          </w:tcPr>
          <w:p>
            <w:pPr>
              <w:pStyle w:val="Tabulkatext"/>
              <w:widowControl/>
              <w:suppressAutoHyphens w:val="true"/>
              <w:rPr>
                <w:kern w:val="0"/>
                <w:lang w:val="cs-CZ" w:bidi="ar-SA"/>
              </w:rPr>
            </w:pPr>
            <w:r>
              <w:rPr>
                <w:kern w:val="0"/>
                <w:lang w:val="cs-CZ" w:bidi="ar-SA"/>
              </w:rPr>
              <w:t>Paušál</w:t>
            </w:r>
          </w:p>
        </w:tc>
        <w:tc>
          <w:tcPr>
            <w:tcW w:w="3111" w:type="dxa"/>
            <w:tcBorders>
              <w:top w:val="nil"/>
              <w:left w:val="nil"/>
              <w:bottom w:val="single" w:sz="4" w:space="0" w:color="0C1838"/>
              <w:right w:val="nil"/>
            </w:tcBorders>
          </w:tcPr>
          <w:p>
            <w:pPr>
              <w:pStyle w:val="Tabulkatext"/>
              <w:widowControl/>
              <w:suppressAutoHyphens w:val="true"/>
              <w:rPr>
                <w:kern w:val="0"/>
                <w:lang w:val="cs-CZ" w:bidi="ar-SA"/>
              </w:rPr>
            </w:pPr>
            <w:r>
              <w:rPr>
                <w:kern w:val="0"/>
                <w:lang w:val="cs-CZ" w:bidi="ar-SA"/>
              </w:rPr>
              <w:t>Obsah</w:t>
            </w:r>
          </w:p>
        </w:tc>
      </w:tr>
      <w:tr>
        <w:trPr/>
        <w:tc>
          <w:tcPr>
            <w:tcW w:w="560" w:type="dxa"/>
            <w:tcBorders>
              <w:top w:val="single" w:sz="4" w:space="0" w:color="0C1838"/>
              <w:left w:val="nil"/>
              <w:bottom w:val="nil"/>
              <w:right w:val="nil"/>
            </w:tcBorders>
          </w:tcPr>
          <w:p>
            <w:pPr>
              <w:pStyle w:val="Tabulkatext"/>
              <w:widowControl/>
              <w:suppressAutoHyphens w:val="true"/>
              <w:rPr>
                <w:kern w:val="0"/>
                <w:lang w:val="cs-CZ" w:bidi="ar-SA"/>
              </w:rPr>
            </w:pPr>
            <w:r>
              <w:rPr>
                <w:kern w:val="0"/>
                <w:lang w:val="cs-CZ" w:bidi="ar-SA"/>
              </w:rPr>
            </w:r>
          </w:p>
        </w:tc>
        <w:tc>
          <w:tcPr>
            <w:tcW w:w="993" w:type="dxa"/>
            <w:tcBorders>
              <w:top w:val="single" w:sz="4" w:space="0" w:color="0C1838"/>
              <w:left w:val="nil"/>
              <w:bottom w:val="nil"/>
              <w:right w:val="nil"/>
            </w:tcBorders>
          </w:tcPr>
          <w:p>
            <w:pPr>
              <w:pStyle w:val="Tabulkatext"/>
              <w:widowControl/>
              <w:suppressAutoHyphens w:val="true"/>
              <w:rPr>
                <w:kern w:val="0"/>
                <w:lang w:val="cs-CZ" w:bidi="ar-SA"/>
              </w:rPr>
            </w:pPr>
            <w:r>
              <w:rPr>
                <w:kern w:val="0"/>
                <w:lang w:val="cs-CZ" w:bidi="ar-SA"/>
              </w:rPr>
            </w:r>
          </w:p>
        </w:tc>
        <w:tc>
          <w:tcPr>
            <w:tcW w:w="1136" w:type="dxa"/>
            <w:tcBorders>
              <w:top w:val="single" w:sz="4" w:space="0" w:color="0C1838"/>
              <w:left w:val="nil"/>
              <w:bottom w:val="nil"/>
              <w:right w:val="single" w:sz="4" w:space="0" w:color="0C1838"/>
            </w:tcBorders>
          </w:tcPr>
          <w:p>
            <w:pPr>
              <w:pStyle w:val="Tabulkatext"/>
              <w:widowControl/>
              <w:suppressAutoHyphens w:val="true"/>
              <w:rPr>
                <w:kern w:val="0"/>
                <w:lang w:val="cs-CZ" w:bidi="ar-SA"/>
              </w:rPr>
            </w:pPr>
            <w:r>
              <w:rPr>
                <w:kern w:val="0"/>
                <w:lang w:val="cs-CZ" w:bidi="ar-SA"/>
              </w:rPr>
            </w:r>
          </w:p>
        </w:tc>
        <w:tc>
          <w:tcPr>
            <w:tcW w:w="707" w:type="dxa"/>
            <w:tcBorders>
              <w:top w:val="single" w:sz="4" w:space="0" w:color="0C1838"/>
              <w:left w:val="single" w:sz="4" w:space="0" w:color="0C1838"/>
              <w:bottom w:val="nil"/>
              <w:right w:val="nil"/>
            </w:tcBorders>
          </w:tcPr>
          <w:p>
            <w:pPr>
              <w:pStyle w:val="Tabulkatext"/>
              <w:widowControl/>
              <w:suppressAutoHyphens w:val="true"/>
              <w:rPr>
                <w:kern w:val="0"/>
                <w:lang w:val="cs-CZ" w:bidi="ar-SA"/>
              </w:rPr>
            </w:pPr>
            <w:r>
              <w:rPr>
                <w:kern w:val="0"/>
                <w:lang w:val="cs-CZ" w:bidi="ar-SA"/>
              </w:rPr>
            </w:r>
          </w:p>
        </w:tc>
        <w:tc>
          <w:tcPr>
            <w:tcW w:w="1135" w:type="dxa"/>
            <w:tcBorders>
              <w:top w:val="single" w:sz="4" w:space="0" w:color="0C1838"/>
              <w:left w:val="nil"/>
              <w:bottom w:val="nil"/>
              <w:right w:val="nil"/>
            </w:tcBorders>
          </w:tcPr>
          <w:p>
            <w:pPr>
              <w:pStyle w:val="Tabulkatext"/>
              <w:widowControl/>
              <w:suppressAutoHyphens w:val="true"/>
              <w:rPr>
                <w:kern w:val="0"/>
                <w:lang w:val="cs-CZ" w:bidi="ar-SA"/>
              </w:rPr>
            </w:pPr>
            <w:r>
              <w:rPr>
                <w:kern w:val="0"/>
                <w:lang w:val="cs-CZ" w:bidi="ar-SA"/>
              </w:rPr>
            </w:r>
          </w:p>
        </w:tc>
        <w:tc>
          <w:tcPr>
            <w:tcW w:w="1418" w:type="dxa"/>
            <w:tcBorders>
              <w:top w:val="single" w:sz="4" w:space="0" w:color="0C1838"/>
              <w:left w:val="nil"/>
              <w:bottom w:val="nil"/>
              <w:right w:val="nil"/>
            </w:tcBorders>
          </w:tcPr>
          <w:p>
            <w:pPr>
              <w:pStyle w:val="Tabulkatext"/>
              <w:widowControl/>
              <w:suppressAutoHyphens w:val="true"/>
              <w:rPr>
                <w:kern w:val="0"/>
                <w:lang w:val="cs-CZ" w:bidi="ar-SA"/>
              </w:rPr>
            </w:pPr>
            <w:r>
              <w:rPr>
                <w:kern w:val="0"/>
                <w:lang w:val="cs-CZ" w:bidi="ar-SA"/>
              </w:rPr>
            </w:r>
          </w:p>
        </w:tc>
        <w:tc>
          <w:tcPr>
            <w:tcW w:w="3111" w:type="dxa"/>
            <w:tcBorders>
              <w:top w:val="single" w:sz="4" w:space="0" w:color="0C1838"/>
              <w:left w:val="nil"/>
              <w:bottom w:val="nil"/>
              <w:right w:val="nil"/>
            </w:tcBorders>
          </w:tcPr>
          <w:p>
            <w:pPr>
              <w:pStyle w:val="Tabulkatext"/>
              <w:widowControl/>
              <w:suppressAutoHyphens w:val="true"/>
              <w:rPr>
                <w:kern w:val="0"/>
                <w:lang w:val="cs-CZ" w:bidi="ar-SA"/>
              </w:rPr>
            </w:pPr>
            <w:r>
              <w:rPr>
                <w:kern w:val="0"/>
                <w:lang w:val="cs-CZ" w:bidi="ar-SA"/>
              </w:rPr>
            </w:r>
          </w:p>
        </w:tc>
      </w:tr>
      <w:tr>
        <w:trPr/>
        <w:tc>
          <w:tcPr>
            <w:tcW w:w="560" w:type="dxa"/>
            <w:tcBorders>
              <w:top w:val="nil"/>
              <w:left w:val="nil"/>
              <w:bottom w:val="nil"/>
              <w:right w:val="nil"/>
            </w:tcBorders>
          </w:tcPr>
          <w:p>
            <w:pPr>
              <w:pStyle w:val="Tabulkatext"/>
              <w:widowControl/>
              <w:suppressAutoHyphens w:val="true"/>
              <w:rPr>
                <w:kern w:val="0"/>
                <w:lang w:val="cs-CZ" w:bidi="ar-SA"/>
              </w:rPr>
            </w:pPr>
            <w:r>
              <w:rPr>
                <w:kern w:val="0"/>
                <w:lang w:val="cs-CZ" w:bidi="ar-SA"/>
              </w:rPr>
              <w:t>1.</w:t>
            </w:r>
          </w:p>
        </w:tc>
        <w:tc>
          <w:tcPr>
            <w:tcW w:w="993" w:type="dxa"/>
            <w:tcBorders>
              <w:top w:val="nil"/>
              <w:left w:val="nil"/>
              <w:bottom w:val="nil"/>
              <w:right w:val="nil"/>
            </w:tcBorders>
          </w:tcPr>
          <w:p>
            <w:pPr>
              <w:pStyle w:val="Tabulkatext"/>
              <w:widowControl/>
              <w:suppressAutoHyphens w:val="true"/>
              <w:rPr>
                <w:kern w:val="0"/>
                <w:lang w:val="cs-CZ" w:bidi="ar-SA"/>
              </w:rPr>
            </w:pPr>
            <w:r>
              <w:rPr>
                <w:kern w:val="0"/>
                <w:lang w:val="cs-CZ" w:bidi="ar-SA"/>
              </w:rPr>
              <w:t>2 218 Kč</w:t>
            </w:r>
          </w:p>
        </w:tc>
        <w:tc>
          <w:tcPr>
            <w:tcW w:w="1136" w:type="dxa"/>
            <w:tcBorders>
              <w:top w:val="nil"/>
              <w:left w:val="nil"/>
              <w:bottom w:val="nil"/>
              <w:right w:val="single" w:sz="4" w:space="0" w:color="0C1838"/>
            </w:tcBorders>
          </w:tcPr>
          <w:p>
            <w:pPr>
              <w:pStyle w:val="Tabulkatext"/>
              <w:widowControl/>
              <w:suppressAutoHyphens w:val="true"/>
              <w:rPr>
                <w:kern w:val="0"/>
                <w:lang w:val="cs-CZ" w:bidi="ar-SA"/>
              </w:rPr>
            </w:pPr>
            <w:r>
              <w:rPr>
                <w:kern w:val="0"/>
                <w:lang w:val="cs-CZ" w:bidi="ar-SA"/>
              </w:rPr>
              <w:t>91 EUR</w:t>
            </w:r>
          </w:p>
        </w:tc>
        <w:tc>
          <w:tcPr>
            <w:tcW w:w="707" w:type="dxa"/>
            <w:tcBorders>
              <w:top w:val="nil"/>
              <w:left w:val="single" w:sz="4" w:space="0" w:color="0C1838"/>
              <w:bottom w:val="nil"/>
              <w:right w:val="nil"/>
            </w:tcBorders>
          </w:tcPr>
          <w:p>
            <w:pPr>
              <w:pStyle w:val="Tabulkatext"/>
              <w:widowControl/>
              <w:suppressAutoHyphens w:val="true"/>
              <w:rPr>
                <w:kern w:val="0"/>
                <w:lang w:val="cs-CZ" w:bidi="ar-SA"/>
              </w:rPr>
            </w:pPr>
            <w:r>
              <w:rPr>
                <w:kern w:val="0"/>
                <w:lang w:val="cs-CZ" w:bidi="ar-SA"/>
              </w:rPr>
              <w:t>LU</w:t>
            </w:r>
          </w:p>
        </w:tc>
        <w:tc>
          <w:tcPr>
            <w:tcW w:w="1135" w:type="dxa"/>
            <w:tcBorders>
              <w:top w:val="nil"/>
              <w:left w:val="nil"/>
              <w:bottom w:val="nil"/>
              <w:right w:val="nil"/>
            </w:tcBorders>
          </w:tcPr>
          <w:p>
            <w:pPr>
              <w:pStyle w:val="Tabulkatext"/>
              <w:widowControl/>
              <w:suppressAutoHyphens w:val="true"/>
              <w:rPr>
                <w:kern w:val="0"/>
                <w:lang w:val="cs-CZ" w:bidi="ar-SA"/>
              </w:rPr>
            </w:pPr>
            <w:r>
              <w:rPr>
                <w:kern w:val="0"/>
                <w:lang w:val="cs-CZ" w:bidi="ar-SA"/>
              </w:rPr>
              <w:t>POST</w:t>
            </w:r>
          </w:p>
        </w:tc>
        <w:tc>
          <w:tcPr>
            <w:tcW w:w="1418" w:type="dxa"/>
            <w:tcBorders>
              <w:top w:val="nil"/>
              <w:left w:val="nil"/>
              <w:bottom w:val="nil"/>
              <w:right w:val="nil"/>
            </w:tcBorders>
          </w:tcPr>
          <w:p>
            <w:pPr>
              <w:pStyle w:val="Tabulkatext"/>
              <w:widowControl/>
              <w:suppressAutoHyphens w:val="true"/>
              <w:rPr>
                <w:kern w:val="0"/>
                <w:lang w:val="cs-CZ" w:bidi="ar-SA"/>
              </w:rPr>
            </w:pPr>
            <w:r>
              <w:rPr>
                <w:kern w:val="0"/>
                <w:lang w:val="cs-CZ" w:bidi="ar-SA"/>
              </w:rPr>
              <w:t>MAXI</w:t>
            </w:r>
          </w:p>
        </w:tc>
        <w:tc>
          <w:tcPr>
            <w:tcW w:w="3111" w:type="dxa"/>
            <w:tcBorders>
              <w:top w:val="nil"/>
              <w:left w:val="nil"/>
              <w:bottom w:val="nil"/>
              <w:right w:val="nil"/>
            </w:tcBorders>
          </w:tcPr>
          <w:p>
            <w:pPr>
              <w:pStyle w:val="Tabulkatext"/>
              <w:widowControl/>
              <w:suppressAutoHyphens w:val="true"/>
              <w:rPr>
                <w:kern w:val="0"/>
                <w:lang w:val="cs-CZ" w:bidi="ar-SA"/>
              </w:rPr>
            </w:pPr>
            <w:r>
              <w:rPr>
                <w:kern w:val="0"/>
                <w:lang w:val="cs-CZ" w:bidi="ar-SA"/>
              </w:rPr>
              <w:t>Neomezený + 120 GB EU, USA, Kanada</w:t>
            </w:r>
          </w:p>
        </w:tc>
      </w:tr>
      <w:tr>
        <w:trPr/>
        <w:tc>
          <w:tcPr>
            <w:tcW w:w="560" w:type="dxa"/>
            <w:tcBorders>
              <w:top w:val="nil"/>
              <w:left w:val="nil"/>
              <w:bottom w:val="nil"/>
              <w:right w:val="nil"/>
            </w:tcBorders>
          </w:tcPr>
          <w:p>
            <w:pPr>
              <w:pStyle w:val="Tabulkatext"/>
              <w:widowControl/>
              <w:suppressAutoHyphens w:val="true"/>
              <w:rPr>
                <w:kern w:val="0"/>
                <w:lang w:val="cs-CZ" w:bidi="ar-SA"/>
              </w:rPr>
            </w:pPr>
            <w:r>
              <w:rPr>
                <w:kern w:val="0"/>
                <w:lang w:val="cs-CZ" w:bidi="ar-SA"/>
              </w:rPr>
              <w:t>2.</w:t>
            </w:r>
          </w:p>
        </w:tc>
        <w:tc>
          <w:tcPr>
            <w:tcW w:w="993" w:type="dxa"/>
            <w:tcBorders>
              <w:top w:val="nil"/>
              <w:left w:val="nil"/>
              <w:bottom w:val="nil"/>
              <w:right w:val="nil"/>
            </w:tcBorders>
          </w:tcPr>
          <w:p>
            <w:pPr>
              <w:pStyle w:val="Tabulkatext"/>
              <w:widowControl/>
              <w:suppressAutoHyphens w:val="true"/>
              <w:rPr>
                <w:kern w:val="0"/>
                <w:lang w:val="cs-CZ" w:bidi="ar-SA"/>
              </w:rPr>
            </w:pPr>
            <w:r>
              <w:rPr>
                <w:kern w:val="0"/>
                <w:lang w:val="cs-CZ" w:bidi="ar-SA"/>
              </w:rPr>
              <w:t>2 099 Kč</w:t>
            </w:r>
          </w:p>
        </w:tc>
        <w:tc>
          <w:tcPr>
            <w:tcW w:w="1136" w:type="dxa"/>
            <w:tcBorders>
              <w:top w:val="nil"/>
              <w:left w:val="nil"/>
              <w:bottom w:val="nil"/>
              <w:right w:val="single" w:sz="4" w:space="0" w:color="0C1838"/>
            </w:tcBorders>
          </w:tcPr>
          <w:p>
            <w:pPr>
              <w:pStyle w:val="Tabulkatext"/>
              <w:widowControl/>
              <w:suppressAutoHyphens w:val="true"/>
              <w:rPr>
                <w:kern w:val="0"/>
                <w:lang w:val="cs-CZ" w:bidi="ar-SA"/>
              </w:rPr>
            </w:pPr>
            <w:r>
              <w:rPr>
                <w:kern w:val="0"/>
                <w:lang w:val="cs-CZ" w:bidi="ar-SA"/>
              </w:rPr>
              <w:t>2 099 CZK</w:t>
            </w:r>
          </w:p>
        </w:tc>
        <w:tc>
          <w:tcPr>
            <w:tcW w:w="707" w:type="dxa"/>
            <w:tcBorders>
              <w:top w:val="nil"/>
              <w:left w:val="single" w:sz="4" w:space="0" w:color="0C1838"/>
              <w:bottom w:val="nil"/>
              <w:right w:val="nil"/>
            </w:tcBorders>
          </w:tcPr>
          <w:p>
            <w:pPr>
              <w:pStyle w:val="Tabulkatext"/>
              <w:widowControl/>
              <w:suppressAutoHyphens w:val="true"/>
              <w:rPr>
                <w:kern w:val="0"/>
                <w:lang w:val="cs-CZ" w:bidi="ar-SA"/>
              </w:rPr>
            </w:pPr>
            <w:r>
              <w:rPr>
                <w:kern w:val="0"/>
                <w:lang w:val="cs-CZ" w:bidi="ar-SA"/>
              </w:rPr>
              <w:t>CZ</w:t>
            </w:r>
          </w:p>
        </w:tc>
        <w:tc>
          <w:tcPr>
            <w:tcW w:w="1135" w:type="dxa"/>
            <w:tcBorders>
              <w:top w:val="nil"/>
              <w:left w:val="nil"/>
              <w:bottom w:val="nil"/>
              <w:right w:val="nil"/>
            </w:tcBorders>
          </w:tcPr>
          <w:p>
            <w:pPr>
              <w:pStyle w:val="Tabulkatext"/>
              <w:widowControl/>
              <w:suppressAutoHyphens w:val="true"/>
              <w:rPr>
                <w:kern w:val="0"/>
                <w:lang w:val="cs-CZ" w:bidi="ar-SA"/>
              </w:rPr>
            </w:pPr>
            <w:r>
              <w:rPr>
                <w:kern w:val="0"/>
                <w:lang w:val="cs-CZ" w:bidi="ar-SA"/>
              </w:rPr>
              <w:t>Vodafone</w:t>
            </w:r>
          </w:p>
        </w:tc>
        <w:tc>
          <w:tcPr>
            <w:tcW w:w="1418" w:type="dxa"/>
            <w:tcBorders>
              <w:top w:val="nil"/>
              <w:left w:val="nil"/>
              <w:bottom w:val="nil"/>
              <w:right w:val="nil"/>
            </w:tcBorders>
          </w:tcPr>
          <w:p>
            <w:pPr>
              <w:pStyle w:val="Tabulkatext"/>
              <w:widowControl/>
              <w:suppressAutoHyphens w:val="true"/>
              <w:rPr>
                <w:kern w:val="0"/>
                <w:lang w:val="cs-CZ" w:bidi="ar-SA"/>
              </w:rPr>
            </w:pPr>
            <w:r>
              <w:rPr>
                <w:kern w:val="0"/>
                <w:lang w:val="cs-CZ" w:bidi="ar-SA"/>
              </w:rPr>
              <w:t>BezLimitu Black Extra</w:t>
            </w:r>
          </w:p>
        </w:tc>
        <w:tc>
          <w:tcPr>
            <w:tcW w:w="3111" w:type="dxa"/>
            <w:tcBorders>
              <w:top w:val="nil"/>
              <w:left w:val="nil"/>
              <w:bottom w:val="nil"/>
              <w:right w:val="nil"/>
            </w:tcBorders>
          </w:tcPr>
          <w:p>
            <w:pPr>
              <w:pStyle w:val="Tabulkatext"/>
              <w:widowControl/>
              <w:suppressAutoHyphens w:val="true"/>
              <w:rPr>
                <w:kern w:val="0"/>
                <w:lang w:val="cs-CZ" w:bidi="ar-SA"/>
              </w:rPr>
            </w:pPr>
            <w:r>
              <w:rPr>
                <w:kern w:val="0"/>
                <w:lang w:val="cs-CZ" w:bidi="ar-SA"/>
              </w:rPr>
              <w:t>Neomezený + 1 000 min volání do zahraničí, sleva na nový telefon+ výměna displeje zdarma</w:t>
            </w:r>
          </w:p>
        </w:tc>
      </w:tr>
      <w:tr>
        <w:trPr>
          <w:trHeight w:val="164" w:hRule="atLeast"/>
          <w:cantSplit w:val="true"/>
        </w:trPr>
        <w:tc>
          <w:tcPr>
            <w:tcW w:w="560" w:type="dxa"/>
            <w:tcBorders>
              <w:top w:val="nil"/>
              <w:left w:val="nil"/>
              <w:bottom w:val="nil"/>
              <w:right w:val="nil"/>
            </w:tcBorders>
          </w:tcPr>
          <w:p>
            <w:pPr>
              <w:pStyle w:val="Tabulkatext"/>
              <w:widowControl/>
              <w:suppressAutoHyphens w:val="true"/>
              <w:rPr>
                <w:kern w:val="0"/>
                <w:lang w:val="cs-CZ" w:bidi="ar-SA"/>
              </w:rPr>
            </w:pPr>
            <w:r>
              <w:rPr>
                <w:kern w:val="0"/>
                <w:lang w:val="cs-CZ" w:bidi="ar-SA"/>
              </w:rPr>
              <w:t>3.</w:t>
            </w:r>
          </w:p>
        </w:tc>
        <w:tc>
          <w:tcPr>
            <w:tcW w:w="993" w:type="dxa"/>
            <w:tcBorders>
              <w:top w:val="nil"/>
              <w:left w:val="nil"/>
              <w:bottom w:val="nil"/>
              <w:right w:val="nil"/>
            </w:tcBorders>
            <w:vAlign w:val="center"/>
          </w:tcPr>
          <w:p>
            <w:pPr>
              <w:pStyle w:val="Tabulkatext"/>
              <w:widowControl/>
              <w:suppressAutoHyphens w:val="true"/>
              <w:rPr>
                <w:kern w:val="0"/>
                <w:lang w:val="cs-CZ" w:bidi="ar-SA"/>
              </w:rPr>
            </w:pPr>
            <w:r>
              <w:rPr>
                <w:kern w:val="0"/>
                <w:lang w:val="cs-CZ" w:bidi="ar-SA"/>
              </w:rPr>
              <w:t>2 072 Kč</w:t>
            </w:r>
          </w:p>
        </w:tc>
        <w:tc>
          <w:tcPr>
            <w:tcW w:w="1136" w:type="dxa"/>
            <w:tcBorders>
              <w:top w:val="nil"/>
              <w:left w:val="nil"/>
              <w:bottom w:val="nil"/>
              <w:right w:val="single" w:sz="4" w:space="0" w:color="0C1838"/>
            </w:tcBorders>
            <w:vAlign w:val="center"/>
          </w:tcPr>
          <w:p>
            <w:pPr>
              <w:pStyle w:val="Tabulkatext"/>
              <w:widowControl/>
              <w:suppressAutoHyphens w:val="true"/>
              <w:rPr>
                <w:kern w:val="0"/>
                <w:lang w:val="cs-CZ" w:bidi="ar-SA"/>
              </w:rPr>
            </w:pPr>
            <w:r>
              <w:rPr>
                <w:kern w:val="0"/>
                <w:lang w:val="cs-CZ" w:bidi="ar-SA"/>
              </w:rPr>
              <w:t>84,99 EUR</w:t>
            </w:r>
          </w:p>
        </w:tc>
        <w:tc>
          <w:tcPr>
            <w:tcW w:w="707" w:type="dxa"/>
            <w:tcBorders>
              <w:top w:val="nil"/>
              <w:left w:val="single" w:sz="4" w:space="0" w:color="0C1838"/>
              <w:bottom w:val="nil"/>
              <w:right w:val="nil"/>
            </w:tcBorders>
          </w:tcPr>
          <w:p>
            <w:pPr>
              <w:pStyle w:val="Tabulkatext"/>
              <w:widowControl/>
              <w:suppressAutoHyphens w:val="true"/>
              <w:rPr>
                <w:kern w:val="0"/>
                <w:lang w:val="cs-CZ" w:bidi="ar-SA"/>
              </w:rPr>
            </w:pPr>
            <w:r>
              <w:rPr>
                <w:kern w:val="0"/>
                <w:lang w:val="cs-CZ" w:bidi="ar-SA"/>
              </w:rPr>
              <w:t>FR</w:t>
            </w:r>
          </w:p>
        </w:tc>
        <w:tc>
          <w:tcPr>
            <w:tcW w:w="1135" w:type="dxa"/>
            <w:tcBorders>
              <w:top w:val="nil"/>
              <w:left w:val="nil"/>
              <w:bottom w:val="nil"/>
              <w:right w:val="nil"/>
            </w:tcBorders>
          </w:tcPr>
          <w:p>
            <w:pPr>
              <w:pStyle w:val="Tabulkatext"/>
              <w:widowControl/>
              <w:suppressAutoHyphens w:val="true"/>
              <w:rPr>
                <w:kern w:val="0"/>
                <w:lang w:val="cs-CZ" w:bidi="ar-SA"/>
              </w:rPr>
            </w:pPr>
            <w:r>
              <w:rPr>
                <w:kern w:val="0"/>
                <w:lang w:val="cs-CZ" w:bidi="ar-SA"/>
              </w:rPr>
              <w:t>Orange</w:t>
            </w:r>
          </w:p>
        </w:tc>
        <w:tc>
          <w:tcPr>
            <w:tcW w:w="1418" w:type="dxa"/>
            <w:tcBorders>
              <w:top w:val="nil"/>
              <w:left w:val="nil"/>
              <w:bottom w:val="nil"/>
              <w:right w:val="nil"/>
            </w:tcBorders>
          </w:tcPr>
          <w:p>
            <w:pPr>
              <w:pStyle w:val="Tabulkatext"/>
              <w:widowControl/>
              <w:suppressAutoHyphens w:val="true"/>
              <w:rPr>
                <w:kern w:val="0"/>
                <w:lang w:val="cs-CZ" w:bidi="ar-SA"/>
              </w:rPr>
            </w:pPr>
            <w:r>
              <w:rPr>
                <w:kern w:val="0"/>
                <w:lang w:val="cs-CZ" w:bidi="ar-SA"/>
              </w:rPr>
              <w:t>500Go</w:t>
            </w:r>
          </w:p>
        </w:tc>
        <w:tc>
          <w:tcPr>
            <w:tcW w:w="3111" w:type="dxa"/>
            <w:tcBorders>
              <w:top w:val="nil"/>
              <w:left w:val="nil"/>
              <w:bottom w:val="nil"/>
              <w:right w:val="nil"/>
            </w:tcBorders>
          </w:tcPr>
          <w:p>
            <w:pPr>
              <w:pStyle w:val="Tabulkatext"/>
              <w:widowControl/>
              <w:suppressAutoHyphens w:val="true"/>
              <w:rPr>
                <w:kern w:val="0"/>
                <w:lang w:val="cs-CZ" w:bidi="ar-SA"/>
              </w:rPr>
            </w:pPr>
            <w:r>
              <w:rPr>
                <w:kern w:val="0"/>
                <w:highlight w:val="yellow"/>
                <w:lang w:val="cs-CZ" w:bidi="ar-SA"/>
              </w:rPr>
              <w:t>Neomezený</w:t>
            </w:r>
          </w:p>
        </w:tc>
      </w:tr>
      <w:tr>
        <w:trPr/>
        <w:tc>
          <w:tcPr>
            <w:tcW w:w="560" w:type="dxa"/>
            <w:tcBorders>
              <w:top w:val="nil"/>
              <w:left w:val="nil"/>
              <w:bottom w:val="nil"/>
              <w:right w:val="nil"/>
            </w:tcBorders>
          </w:tcPr>
          <w:p>
            <w:pPr>
              <w:pStyle w:val="Tabulkatext"/>
              <w:widowControl/>
              <w:suppressAutoHyphens w:val="true"/>
              <w:rPr>
                <w:kern w:val="0"/>
                <w:lang w:val="cs-CZ" w:bidi="ar-SA"/>
              </w:rPr>
            </w:pPr>
            <w:r>
              <w:rPr>
                <w:kern w:val="0"/>
                <w:lang w:val="cs-CZ" w:bidi="ar-SA"/>
              </w:rPr>
              <w:t>4.</w:t>
            </w:r>
          </w:p>
        </w:tc>
        <w:tc>
          <w:tcPr>
            <w:tcW w:w="993" w:type="dxa"/>
            <w:tcBorders>
              <w:top w:val="nil"/>
              <w:left w:val="nil"/>
              <w:bottom w:val="nil"/>
              <w:right w:val="nil"/>
            </w:tcBorders>
          </w:tcPr>
          <w:p>
            <w:pPr>
              <w:pStyle w:val="Tabulkatext"/>
              <w:widowControl/>
              <w:suppressAutoHyphens w:val="true"/>
              <w:rPr>
                <w:kern w:val="0"/>
                <w:lang w:val="cs-CZ" w:bidi="ar-SA"/>
              </w:rPr>
            </w:pPr>
            <w:r>
              <w:rPr>
                <w:kern w:val="0"/>
                <w:lang w:val="cs-CZ" w:bidi="ar-SA"/>
              </w:rPr>
              <w:t>2 071 Kč</w:t>
            </w:r>
          </w:p>
        </w:tc>
        <w:tc>
          <w:tcPr>
            <w:tcW w:w="1136" w:type="dxa"/>
            <w:tcBorders>
              <w:top w:val="nil"/>
              <w:left w:val="nil"/>
              <w:bottom w:val="nil"/>
              <w:right w:val="single" w:sz="4" w:space="0" w:color="0C1838"/>
            </w:tcBorders>
          </w:tcPr>
          <w:p>
            <w:pPr>
              <w:pStyle w:val="Tabulkatext"/>
              <w:widowControl/>
              <w:suppressAutoHyphens w:val="true"/>
              <w:rPr>
                <w:kern w:val="0"/>
                <w:lang w:val="cs-CZ" w:bidi="ar-SA"/>
              </w:rPr>
            </w:pPr>
            <w:r>
              <w:rPr>
                <w:kern w:val="0"/>
                <w:lang w:val="cs-CZ" w:bidi="ar-SA"/>
              </w:rPr>
              <w:t>84,95 EUR</w:t>
            </w:r>
          </w:p>
        </w:tc>
        <w:tc>
          <w:tcPr>
            <w:tcW w:w="707" w:type="dxa"/>
            <w:tcBorders>
              <w:top w:val="nil"/>
              <w:left w:val="single" w:sz="4" w:space="0" w:color="0C1838"/>
              <w:bottom w:val="nil"/>
              <w:right w:val="nil"/>
            </w:tcBorders>
          </w:tcPr>
          <w:p>
            <w:pPr>
              <w:pStyle w:val="Tabulkatext"/>
              <w:widowControl/>
              <w:suppressAutoHyphens w:val="true"/>
              <w:rPr>
                <w:kern w:val="0"/>
                <w:lang w:val="cs-CZ" w:bidi="ar-SA"/>
              </w:rPr>
            </w:pPr>
            <w:r>
              <w:rPr>
                <w:kern w:val="0"/>
                <w:lang w:val="cs-CZ" w:bidi="ar-SA"/>
              </w:rPr>
              <w:t>DE</w:t>
            </w:r>
          </w:p>
        </w:tc>
        <w:tc>
          <w:tcPr>
            <w:tcW w:w="1135" w:type="dxa"/>
            <w:tcBorders>
              <w:top w:val="nil"/>
              <w:left w:val="nil"/>
              <w:bottom w:val="nil"/>
              <w:right w:val="nil"/>
            </w:tcBorders>
          </w:tcPr>
          <w:p>
            <w:pPr>
              <w:pStyle w:val="Tabulkatext"/>
              <w:widowControl/>
              <w:suppressAutoHyphens w:val="true"/>
              <w:rPr>
                <w:kern w:val="0"/>
                <w:lang w:val="cs-CZ" w:bidi="ar-SA"/>
              </w:rPr>
            </w:pPr>
            <w:r>
              <w:rPr>
                <w:kern w:val="0"/>
                <w:lang w:val="cs-CZ" w:bidi="ar-SA"/>
              </w:rPr>
              <w:t>Deutsche Telecom</w:t>
            </w:r>
          </w:p>
        </w:tc>
        <w:tc>
          <w:tcPr>
            <w:tcW w:w="1418" w:type="dxa"/>
            <w:tcBorders>
              <w:top w:val="nil"/>
              <w:left w:val="nil"/>
              <w:bottom w:val="nil"/>
              <w:right w:val="nil"/>
            </w:tcBorders>
          </w:tcPr>
          <w:p>
            <w:pPr>
              <w:pStyle w:val="Tabulkatext"/>
              <w:widowControl/>
              <w:suppressAutoHyphens w:val="true"/>
              <w:rPr>
                <w:kern w:val="0"/>
                <w:lang w:val="cs-CZ" w:bidi="ar-SA"/>
              </w:rPr>
            </w:pPr>
            <w:r>
              <w:rPr>
                <w:kern w:val="0"/>
                <w:lang w:val="cs-CZ" w:bidi="ar-SA"/>
              </w:rPr>
              <w:t>MagentaMobil Data XL</w:t>
            </w:r>
          </w:p>
        </w:tc>
        <w:tc>
          <w:tcPr>
            <w:tcW w:w="3111" w:type="dxa"/>
            <w:tcBorders>
              <w:top w:val="nil"/>
              <w:left w:val="nil"/>
              <w:bottom w:val="nil"/>
              <w:right w:val="nil"/>
            </w:tcBorders>
          </w:tcPr>
          <w:p>
            <w:pPr>
              <w:pStyle w:val="Tabulkatext"/>
              <w:widowControl/>
              <w:suppressAutoHyphens w:val="true"/>
              <w:rPr>
                <w:kern w:val="0"/>
                <w:lang w:val="cs-CZ" w:bidi="ar-SA"/>
              </w:rPr>
            </w:pPr>
            <w:r>
              <w:rPr>
                <w:kern w:val="0"/>
                <w:lang w:val="cs-CZ" w:bidi="ar-SA"/>
              </w:rPr>
              <w:t>Neomezený</w:t>
            </w:r>
          </w:p>
        </w:tc>
      </w:tr>
    </w:tbl>
    <w:p>
      <w:pPr>
        <w:pStyle w:val="Zdroj"/>
        <w:rPr>
          <w:lang w:val="en-GB"/>
        </w:rPr>
      </w:pPr>
      <w:r>
        <w:rPr>
          <w:lang w:val="en-GB"/>
        </w:rPr>
        <w:t>Note: The table shows order of the tariff according to the list price expressed in CZK, the list price in national currency, country, supplying operator, tariff name and the content of the tariff in Czech.</w:t>
      </w:r>
    </w:p>
    <w:p>
      <w:pPr>
        <w:pStyle w:val="Textprost"/>
        <w:rPr/>
      </w:pPr>
      <w:r>
        <w:rPr/>
        <w:t xml:space="preserve">Úřad se pozastavuje nad tím, že společnost Vodafone nabízela vůbec druhý nejdražší paušál v prvním sběru ceníkových cen. Z tohoto důvodu nelze posoudit dva dražší mobilní tarify ale pouze jeden, který je dražší než zkoumaná nabídka. Tento tarif společnosti Vodafone obsahuje doplňkových 1 000 minut volání v zahraničí. Úřad k tomu doplňuje, že volání v rámci EU, resp. ceny účtované za roaming v rámci EU, jsou regulované, jak je uvedeno v části </w:t>
      </w:r>
      <w:commentRangeStart w:id="33"/>
      <w:r>
        <w:rPr/>
        <w:t>XXX</w:t>
      </w:r>
      <w:r>
        <w:rPr/>
      </w:r>
      <w:commentRangeEnd w:id="33"/>
      <w:r>
        <w:commentReference w:id="33"/>
      </w:r>
      <w:r>
        <w:rPr/>
        <w:t xml:space="preserve">. Její paušál se tak nachází mezi neomezenými paušály západních operátorů, přičemž paušál lucemburského operátora POST obsahuje navíc 120 GB volných dat v rámci EU, USA a Kanady. Tedy v těchto datech jsou zahrnuty i státy, které nepodléhají regulované ceně v rámci EU. Tento paušál společnosti Vodafone tak dosahuje nominální cenové parity s paušály západních operátorů, přičemž nabízí minuty volání do </w:t>
      </w:r>
      <w:commentRangeStart w:id="34"/>
      <w:r>
        <w:rPr/>
        <w:t>zahraničí</w:t>
      </w:r>
      <w:r>
        <w:rPr/>
      </w:r>
      <w:commentRangeEnd w:id="34"/>
      <w:r>
        <w:commentReference w:id="34"/>
      </w:r>
      <w:r>
        <w:rPr/>
        <w:t>, avšak žádná zahraniční data zahrnutá v ceně paušálu.</w:t>
      </w:r>
    </w:p>
    <w:p>
      <w:pPr>
        <w:pStyle w:val="Zjitnadu"/>
        <w:numPr>
          <w:ilvl w:val="1"/>
          <w:numId w:val="4"/>
        </w:numPr>
        <w:ind w:hanging="1276" w:left="284" w:right="142"/>
        <w:rPr/>
      </w:pPr>
      <w:bookmarkStart w:id="173" w:name="_Toc226560433"/>
      <w:r>
        <w:rPr/>
        <w:t>Úřad na základě provedené předběžné kvalitativní analýzy nejdražších paušálů českých full mobilních operátorů zjistil, že obsah nabízených služeb při srovnatelné nominální cenové úrovni ceníkových cen zaostává za službami nabízenými v západní Evropě. Jinými slovy jsou českým domácnostem a spotřebitelům nabízeny služby o relativně nižší kvalitě.</w:t>
      </w:r>
      <w:r>
        <w:rPr>
          <w:rStyle w:val="FootnoteReference"/>
        </w:rPr>
        <w:footnoteReference w:id="136"/>
      </w:r>
      <w:bookmarkEnd w:id="173"/>
    </w:p>
    <w:p>
      <w:pPr>
        <w:pStyle w:val="ZjitnaduvAJ"/>
        <w:ind w:hanging="0" w:left="284" w:right="142"/>
        <w:rPr/>
      </w:pPr>
      <w:r>
        <w:rPr/>
        <w:t>On the basis of a preliminary qualitative analysis of the most expensive tariffs offered by Czech full mobile network operators, the Office has found that the scope of services provided, at a comparable nominal list</w:t>
        <w:noBreakHyphen/>
        <w:t>price level, lags behind the services offered in Western Europe. In other words, Czech households and consumers are being offered services of relatively lower quality</w:t>
      </w:r>
    </w:p>
    <w:p>
      <w:pPr>
        <w:pStyle w:val="Textprost"/>
        <w:rPr/>
      </w:pPr>
      <w:r>
        <w:rPr/>
        <w:t>K tomu Úřad doplňuje, že s ohledem na toto zjištění dále nezkoumal situaci v rovině reálné cenové úrovně ceníkových cen, neboť zohlednil-li by kupní sílu a její paritu a rozdíly v nich napříč EU, dospěl by nutně ke zjištění o ještě výrazně větším rozdílu v kvalitě nabízených mobilních služeb v ČR při srovnatelné oběti činěné spotřebitelem nebo domácností. Úřad tak učinil v souladu s principem procesní efektivity v rámci tohoto sektorového šetření.</w:t>
      </w:r>
    </w:p>
    <w:p>
      <w:pPr>
        <w:pStyle w:val="Textprost"/>
        <w:rPr/>
      </w:pPr>
      <w:r>
        <w:rPr/>
        <w:t>Obdobně jako data prvního sběru ceníkových cen mobilních služeb podrobil kvalitativní analýze i data ze druhého sběru těchto cen. Nejbližší nominální cenové okolí nejdražších tarifů full mobilních operátorů působících v ČR dokládají Tabulky č. XXX až XXX.</w:t>
      </w:r>
    </w:p>
    <w:p>
      <w:pPr>
        <w:pStyle w:val="Tabulka"/>
        <w:numPr>
          <w:ilvl w:val="0"/>
          <w:numId w:val="3"/>
        </w:numPr>
        <w:ind w:hanging="1560" w:left="1560" w:right="0"/>
        <w:rPr/>
      </w:pPr>
      <w:bookmarkStart w:id="174" w:name="_Toc229057989"/>
      <w:r>
        <w:rPr/>
        <w:t>Nejbližší cenové okolí ceníkově nejdražšího mobilního paušálu společnosti T-Mobile ze sběru ceníkových cen č. 2</w:t>
      </w:r>
      <w:bookmarkEnd w:id="174"/>
    </w:p>
    <w:p>
      <w:pPr>
        <w:pStyle w:val="Textprost"/>
        <w:rPr/>
      </w:pPr>
      <w:r>
        <w:rPr/>
      </w:r>
    </w:p>
    <w:p>
      <w:pPr>
        <w:pStyle w:val="Textprost"/>
        <w:rPr/>
      </w:pPr>
      <w:r>
        <w:rPr/>
      </w:r>
    </w:p>
    <w:p>
      <w:pPr>
        <w:pStyle w:val="Tabulka"/>
        <w:numPr>
          <w:ilvl w:val="0"/>
          <w:numId w:val="3"/>
        </w:numPr>
        <w:ind w:hanging="1560" w:left="1560" w:right="0"/>
        <w:rPr/>
      </w:pPr>
      <w:bookmarkStart w:id="175" w:name="_Toc229057990"/>
      <w:r>
        <w:rPr/>
        <w:t>Nejbližší cenové okolí ceníkově nejdražšího mobilního paušálu společnosti O2 ze sběru ceníkových cen č. 2</w:t>
      </w:r>
      <w:bookmarkEnd w:id="175"/>
    </w:p>
    <w:p>
      <w:pPr>
        <w:pStyle w:val="Textprost"/>
        <w:rPr/>
      </w:pPr>
      <w:r>
        <w:rPr/>
      </w:r>
    </w:p>
    <w:p>
      <w:pPr>
        <w:pStyle w:val="Textprost"/>
        <w:rPr/>
      </w:pPr>
      <w:r>
        <w:rPr/>
      </w:r>
    </w:p>
    <w:p>
      <w:pPr>
        <w:pStyle w:val="Tabulka"/>
        <w:numPr>
          <w:ilvl w:val="0"/>
          <w:numId w:val="3"/>
        </w:numPr>
        <w:ind w:hanging="1560" w:left="1560" w:right="0"/>
        <w:rPr/>
      </w:pPr>
      <w:bookmarkStart w:id="176" w:name="_Toc229057991"/>
      <w:r>
        <w:rPr/>
        <w:t>Nejbližší cenové okolí ceníkově nejdražšího mobilního paušálu společnosti Vodafone ze sběru ceníkových cen č. 2</w:t>
      </w:r>
      <w:bookmarkEnd w:id="176"/>
    </w:p>
    <w:p>
      <w:pPr>
        <w:pStyle w:val="Textprost"/>
        <w:rPr/>
      </w:pPr>
      <w:r>
        <w:rPr/>
      </w:r>
    </w:p>
    <w:p>
      <w:pPr>
        <w:pStyle w:val="Textprost"/>
        <w:rPr/>
      </w:pPr>
      <w:r>
        <w:rPr/>
      </w:r>
    </w:p>
    <w:p>
      <w:pPr>
        <w:pStyle w:val="Zjitnadu"/>
        <w:numPr>
          <w:ilvl w:val="1"/>
          <w:numId w:val="4"/>
        </w:numPr>
        <w:ind w:hanging="1276" w:left="284" w:right="142"/>
        <w:rPr/>
      </w:pPr>
      <w:bookmarkStart w:id="177" w:name="_Toc226560434"/>
      <w:r>
        <w:rPr/>
        <w:t xml:space="preserve">V sektorovém šetření Úřad zjistil, že při nominální cenové paritě ceníkových cen obsah </w:t>
      </w:r>
      <w:commentRangeStart w:id="35"/>
      <w:r>
        <w:rPr/>
        <w:t xml:space="preserve">nejdražších </w:t>
      </w:r>
      <w:r>
        <w:rPr/>
      </w:r>
      <w:commentRangeEnd w:id="35"/>
      <w:r>
        <w:commentReference w:id="35"/>
      </w:r>
      <w:r>
        <w:rPr/>
        <w:t>nabízených mobilních tarifů v ČR významně a napříč celým trhem nebo trhy mobilních služeb zaostává za obsahem nabízeným i v západních zemích E</w:t>
      </w:r>
      <w:bookmarkEnd w:id="177"/>
      <w:r>
        <w:rPr/>
        <w:t>U.</w:t>
      </w:r>
    </w:p>
    <w:p>
      <w:pPr>
        <w:pStyle w:val="Textprost"/>
        <w:rPr/>
      </w:pPr>
      <w:r>
        <w:rPr/>
        <w:t xml:space="preserve">Úřad prověřoval kvalitativní situaci i na druhé straně ceníkového spektra a provedl toto srovnání na nejlevnějších tarifech mobilních služeb nabízených českými full operátory v ČR. Tyto údaje zachycují Tabulky XXX až </w:t>
      </w:r>
      <w:commentRangeStart w:id="36"/>
      <w:r>
        <w:rPr/>
        <w:t>XXX</w:t>
      </w:r>
      <w:r>
        <w:rPr/>
      </w:r>
      <w:commentRangeEnd w:id="36"/>
      <w:r>
        <w:commentReference w:id="36"/>
      </w:r>
      <w:r>
        <w:rPr/>
        <w:t>.</w:t>
      </w:r>
    </w:p>
    <w:p>
      <w:pPr>
        <w:pStyle w:val="Tabulka"/>
        <w:numPr>
          <w:ilvl w:val="0"/>
          <w:numId w:val="3"/>
        </w:numPr>
        <w:ind w:hanging="1560" w:left="1560" w:right="0"/>
        <w:rPr/>
      </w:pPr>
      <w:bookmarkStart w:id="178" w:name="_Toc229057992"/>
      <w:r>
        <w:rPr/>
        <w:t>Nejbližší cenové okolí ceníkově nejlevnějšího mobilního paušálu společnosti T-Mobile ze sběru ceníkových cen č. 1</w:t>
      </w:r>
      <w:bookmarkEnd w:id="178"/>
    </w:p>
    <w:p>
      <w:pPr>
        <w:pStyle w:val="TabulkavAJ"/>
        <w:ind w:hanging="0" w:left="1560" w:right="0"/>
        <w:rPr/>
      </w:pPr>
      <w:bookmarkStart w:id="179" w:name="_Toc229060861"/>
      <w:r>
        <w:rPr/>
        <w:t>The Closest Price Environment of T</w:t>
        <w:noBreakHyphen/>
        <w:t>Mobile’s Most Expensive Listed Mobile Tariff from Price List Collection No. 1</w:t>
      </w:r>
      <w:bookmarkEnd w:id="179"/>
    </w:p>
    <w:tbl>
      <w:tblPr>
        <w:tblStyle w:val="TableGrid"/>
        <w:tblW w:w="907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5"/>
        <w:gridCol w:w="984"/>
        <w:gridCol w:w="1119"/>
        <w:gridCol w:w="705"/>
        <w:gridCol w:w="1046"/>
        <w:gridCol w:w="1551"/>
        <w:gridCol w:w="3050"/>
      </w:tblGrid>
      <w:tr>
        <w:trPr/>
        <w:tc>
          <w:tcPr>
            <w:tcW w:w="615" w:type="dxa"/>
            <w:tcBorders>
              <w:top w:val="nil"/>
              <w:left w:val="nil"/>
              <w:bottom w:val="single" w:sz="4" w:space="0" w:color="0C1838"/>
              <w:right w:val="nil"/>
            </w:tcBorders>
          </w:tcPr>
          <w:p>
            <w:pPr>
              <w:pStyle w:val="Textprost"/>
              <w:widowControl/>
              <w:suppressAutoHyphens w:val="true"/>
              <w:spacing w:before="0" w:after="160"/>
              <w:rPr>
                <w:kern w:val="0"/>
                <w:lang w:val="cs-CZ" w:bidi="ar-SA"/>
              </w:rPr>
            </w:pPr>
            <w:r>
              <w:rPr>
                <w:rFonts w:eastAsia="Calibri" w:eastAsiaTheme="minorHAnsi"/>
                <w:kern w:val="0"/>
                <w:lang w:val="cs-CZ" w:bidi="ar-SA"/>
              </w:rPr>
              <w:t>Poř.</w:t>
            </w:r>
          </w:p>
        </w:tc>
        <w:tc>
          <w:tcPr>
            <w:tcW w:w="984" w:type="dxa"/>
            <w:tcBorders>
              <w:top w:val="nil"/>
              <w:left w:val="nil"/>
              <w:bottom w:val="single" w:sz="4" w:space="0" w:color="0C1838"/>
              <w:right w:val="nil"/>
            </w:tcBorders>
          </w:tcPr>
          <w:p>
            <w:pPr>
              <w:pStyle w:val="Textprost"/>
              <w:widowControl/>
              <w:suppressAutoHyphens w:val="true"/>
              <w:spacing w:before="0" w:after="160"/>
              <w:rPr>
                <w:kern w:val="0"/>
                <w:lang w:val="cs-CZ" w:bidi="ar-SA"/>
              </w:rPr>
            </w:pPr>
            <w:r>
              <w:rPr>
                <w:kern w:val="0"/>
                <w:lang w:val="cs-CZ" w:bidi="ar-SA"/>
              </w:rPr>
              <w:t>P_CZK</w:t>
            </w:r>
          </w:p>
        </w:tc>
        <w:tc>
          <w:tcPr>
            <w:tcW w:w="1119" w:type="dxa"/>
            <w:tcBorders>
              <w:top w:val="nil"/>
              <w:left w:val="nil"/>
              <w:bottom w:val="single" w:sz="4" w:space="0" w:color="0C1838"/>
              <w:right w:val="single" w:sz="4" w:space="0" w:color="0C1838"/>
            </w:tcBorders>
          </w:tcPr>
          <w:p>
            <w:pPr>
              <w:pStyle w:val="Textprost"/>
              <w:widowControl/>
              <w:suppressAutoHyphens w:val="true"/>
              <w:spacing w:before="0" w:after="160"/>
              <w:rPr>
                <w:kern w:val="0"/>
                <w:lang w:val="cs-CZ" w:bidi="ar-SA"/>
              </w:rPr>
            </w:pPr>
            <w:r>
              <w:rPr>
                <w:kern w:val="0"/>
                <w:lang w:val="cs-CZ" w:bidi="ar-SA"/>
              </w:rPr>
              <w:t>P_NC</w:t>
            </w:r>
          </w:p>
        </w:tc>
        <w:tc>
          <w:tcPr>
            <w:tcW w:w="705" w:type="dxa"/>
            <w:tcBorders>
              <w:top w:val="nil"/>
              <w:left w:val="single" w:sz="4" w:space="0" w:color="0C1838"/>
              <w:bottom w:val="single" w:sz="4" w:space="0" w:color="0C1838"/>
              <w:right w:val="nil"/>
            </w:tcBorders>
          </w:tcPr>
          <w:p>
            <w:pPr>
              <w:pStyle w:val="Textprost"/>
              <w:widowControl/>
              <w:suppressAutoHyphens w:val="true"/>
              <w:spacing w:before="0" w:after="160"/>
              <w:rPr>
                <w:kern w:val="0"/>
                <w:lang w:val="cs-CZ" w:bidi="ar-SA"/>
              </w:rPr>
            </w:pPr>
            <w:r>
              <w:rPr>
                <w:kern w:val="0"/>
                <w:lang w:val="cs-CZ" w:bidi="ar-SA"/>
              </w:rPr>
              <w:t>Stát</w:t>
            </w:r>
          </w:p>
        </w:tc>
        <w:tc>
          <w:tcPr>
            <w:tcW w:w="1046" w:type="dxa"/>
            <w:tcBorders>
              <w:top w:val="nil"/>
              <w:left w:val="nil"/>
              <w:bottom w:val="single" w:sz="4" w:space="0" w:color="0C1838"/>
              <w:right w:val="nil"/>
            </w:tcBorders>
          </w:tcPr>
          <w:p>
            <w:pPr>
              <w:pStyle w:val="Textprost"/>
              <w:widowControl/>
              <w:suppressAutoHyphens w:val="true"/>
              <w:spacing w:before="0" w:after="160"/>
              <w:rPr>
                <w:kern w:val="0"/>
                <w:lang w:val="cs-CZ" w:bidi="ar-SA"/>
              </w:rPr>
            </w:pPr>
            <w:r>
              <w:rPr>
                <w:kern w:val="0"/>
                <w:lang w:val="cs-CZ" w:bidi="ar-SA"/>
              </w:rPr>
              <w:t>Operátor</w:t>
            </w:r>
          </w:p>
        </w:tc>
        <w:tc>
          <w:tcPr>
            <w:tcW w:w="1551" w:type="dxa"/>
            <w:tcBorders>
              <w:top w:val="nil"/>
              <w:left w:val="nil"/>
              <w:bottom w:val="single" w:sz="4" w:space="0" w:color="0C1838"/>
              <w:right w:val="nil"/>
            </w:tcBorders>
          </w:tcPr>
          <w:p>
            <w:pPr>
              <w:pStyle w:val="Textprost"/>
              <w:widowControl/>
              <w:suppressAutoHyphens w:val="true"/>
              <w:spacing w:before="0" w:after="160"/>
              <w:rPr>
                <w:kern w:val="0"/>
                <w:lang w:val="cs-CZ" w:bidi="ar-SA"/>
              </w:rPr>
            </w:pPr>
            <w:r>
              <w:rPr>
                <w:kern w:val="0"/>
                <w:lang w:val="cs-CZ" w:bidi="ar-SA"/>
              </w:rPr>
              <w:t>Paušál</w:t>
            </w:r>
          </w:p>
        </w:tc>
        <w:tc>
          <w:tcPr>
            <w:tcW w:w="3050" w:type="dxa"/>
            <w:tcBorders>
              <w:top w:val="nil"/>
              <w:left w:val="nil"/>
              <w:bottom w:val="single" w:sz="4" w:space="0" w:color="0C1838"/>
              <w:right w:val="nil"/>
            </w:tcBorders>
          </w:tcPr>
          <w:p>
            <w:pPr>
              <w:pStyle w:val="Textprost"/>
              <w:widowControl/>
              <w:suppressAutoHyphens w:val="true"/>
              <w:spacing w:before="0" w:after="160"/>
              <w:rPr>
                <w:kern w:val="0"/>
                <w:lang w:val="cs-CZ" w:bidi="ar-SA"/>
              </w:rPr>
            </w:pPr>
            <w:r>
              <w:rPr>
                <w:kern w:val="0"/>
                <w:lang w:val="cs-CZ" w:bidi="ar-SA"/>
              </w:rPr>
              <w:t>Obsah</w:t>
            </w:r>
          </w:p>
        </w:tc>
      </w:tr>
      <w:tr>
        <w:trPr/>
        <w:tc>
          <w:tcPr>
            <w:tcW w:w="615" w:type="dxa"/>
            <w:tcBorders>
              <w:top w:val="single" w:sz="4" w:space="0" w:color="0C1838"/>
              <w:left w:val="nil"/>
              <w:bottom w:val="nil"/>
              <w:right w:val="nil"/>
            </w:tcBorders>
          </w:tcPr>
          <w:p>
            <w:pPr>
              <w:pStyle w:val="Textprost"/>
              <w:widowControl/>
              <w:suppressAutoHyphens w:val="true"/>
              <w:spacing w:before="0" w:after="160"/>
              <w:rPr>
                <w:kern w:val="0"/>
                <w:lang w:val="cs-CZ" w:bidi="ar-SA"/>
              </w:rPr>
            </w:pPr>
            <w:r>
              <w:rPr>
                <w:kern w:val="0"/>
                <w:lang w:val="cs-CZ" w:bidi="ar-SA"/>
              </w:rPr>
              <w:t>347.</w:t>
            </w:r>
          </w:p>
        </w:tc>
        <w:tc>
          <w:tcPr>
            <w:tcW w:w="984" w:type="dxa"/>
            <w:tcBorders>
              <w:top w:val="single" w:sz="4" w:space="0" w:color="0C1838"/>
              <w:left w:val="nil"/>
              <w:bottom w:val="nil"/>
              <w:right w:val="nil"/>
            </w:tcBorders>
          </w:tcPr>
          <w:p>
            <w:pPr>
              <w:pStyle w:val="Textprost"/>
              <w:widowControl/>
              <w:suppressAutoHyphens w:val="true"/>
              <w:spacing w:before="0" w:after="160"/>
              <w:rPr>
                <w:kern w:val="0"/>
                <w:lang w:val="cs-CZ" w:bidi="ar-SA"/>
              </w:rPr>
            </w:pPr>
            <w:r>
              <w:rPr>
                <w:kern w:val="0"/>
                <w:lang w:val="cs-CZ" w:bidi="ar-SA"/>
              </w:rPr>
              <w:t>344 Kč</w:t>
            </w:r>
          </w:p>
        </w:tc>
        <w:tc>
          <w:tcPr>
            <w:tcW w:w="1119" w:type="dxa"/>
            <w:tcBorders>
              <w:top w:val="single" w:sz="4" w:space="0" w:color="0C1838"/>
              <w:left w:val="nil"/>
              <w:bottom w:val="nil"/>
              <w:right w:val="single" w:sz="4" w:space="0" w:color="0C1838"/>
            </w:tcBorders>
          </w:tcPr>
          <w:p>
            <w:pPr>
              <w:pStyle w:val="Textprost"/>
              <w:widowControl/>
              <w:suppressAutoHyphens w:val="true"/>
              <w:spacing w:before="0" w:after="160"/>
              <w:rPr>
                <w:kern w:val="0"/>
                <w:lang w:val="cs-CZ" w:bidi="ar-SA"/>
              </w:rPr>
            </w:pPr>
            <w:r>
              <w:rPr>
                <w:kern w:val="0"/>
                <w:lang w:val="cs-CZ" w:bidi="ar-SA"/>
              </w:rPr>
              <w:t>60 PLN</w:t>
            </w:r>
          </w:p>
        </w:tc>
        <w:tc>
          <w:tcPr>
            <w:tcW w:w="705" w:type="dxa"/>
            <w:tcBorders>
              <w:top w:val="single" w:sz="4" w:space="0" w:color="0C1838"/>
              <w:left w:val="single" w:sz="4" w:space="0" w:color="0C1838"/>
              <w:bottom w:val="nil"/>
              <w:right w:val="nil"/>
            </w:tcBorders>
          </w:tcPr>
          <w:p>
            <w:pPr>
              <w:pStyle w:val="Textprost"/>
              <w:widowControl/>
              <w:suppressAutoHyphens w:val="true"/>
              <w:spacing w:before="0" w:after="160"/>
              <w:rPr>
                <w:kern w:val="0"/>
                <w:lang w:val="cs-CZ" w:bidi="ar-SA"/>
              </w:rPr>
            </w:pPr>
            <w:r>
              <w:rPr>
                <w:kern w:val="0"/>
                <w:lang w:val="cs-CZ" w:bidi="ar-SA"/>
              </w:rPr>
              <w:t>PL</w:t>
            </w:r>
          </w:p>
        </w:tc>
        <w:tc>
          <w:tcPr>
            <w:tcW w:w="1046" w:type="dxa"/>
            <w:tcBorders>
              <w:top w:val="single" w:sz="4" w:space="0" w:color="0C1838"/>
              <w:left w:val="nil"/>
              <w:bottom w:val="nil"/>
              <w:right w:val="nil"/>
            </w:tcBorders>
          </w:tcPr>
          <w:p>
            <w:pPr>
              <w:pStyle w:val="Textprost"/>
              <w:widowControl/>
              <w:suppressAutoHyphens w:val="true"/>
              <w:spacing w:before="0" w:after="160"/>
              <w:rPr>
                <w:kern w:val="0"/>
                <w:lang w:val="cs-CZ" w:bidi="ar-SA"/>
              </w:rPr>
            </w:pPr>
            <w:r>
              <w:rPr>
                <w:kern w:val="0"/>
                <w:lang w:val="cs-CZ" w:bidi="ar-SA"/>
              </w:rPr>
              <w:t>Plus</w:t>
            </w:r>
          </w:p>
        </w:tc>
        <w:tc>
          <w:tcPr>
            <w:tcW w:w="1551" w:type="dxa"/>
            <w:tcBorders>
              <w:top w:val="single" w:sz="4" w:space="0" w:color="0C1838"/>
              <w:left w:val="nil"/>
              <w:bottom w:val="nil"/>
              <w:right w:val="nil"/>
            </w:tcBorders>
          </w:tcPr>
          <w:p>
            <w:pPr>
              <w:pStyle w:val="Textprost"/>
              <w:widowControl/>
              <w:suppressAutoHyphens w:val="true"/>
              <w:spacing w:before="0" w:after="160"/>
              <w:rPr>
                <w:kern w:val="0"/>
                <w:lang w:val="cs-CZ" w:bidi="ar-SA"/>
              </w:rPr>
            </w:pPr>
            <w:r>
              <w:rPr>
                <w:kern w:val="0"/>
                <w:lang w:val="cs-CZ" w:bidi="ar-SA"/>
              </w:rPr>
              <w:t>M</w:t>
            </w:r>
          </w:p>
        </w:tc>
        <w:tc>
          <w:tcPr>
            <w:tcW w:w="3050" w:type="dxa"/>
            <w:tcBorders>
              <w:top w:val="single" w:sz="4" w:space="0" w:color="0C1838"/>
              <w:left w:val="nil"/>
              <w:bottom w:val="nil"/>
              <w:right w:val="nil"/>
            </w:tcBorders>
          </w:tcPr>
          <w:p>
            <w:pPr>
              <w:pStyle w:val="Textprost"/>
              <w:widowControl/>
              <w:suppressAutoHyphens w:val="true"/>
              <w:spacing w:before="0" w:after="160"/>
              <w:rPr>
                <w:kern w:val="0"/>
                <w:lang w:val="cs-CZ" w:bidi="ar-SA"/>
              </w:rPr>
            </w:pPr>
            <w:r>
              <w:rPr>
                <w:kern w:val="0"/>
                <w:lang w:val="cs-CZ" w:bidi="ar-SA"/>
              </w:rPr>
              <w:t>Neomezeno, 60 GB, sleva za marketingový souhlas a e-fakturu</w:t>
            </w:r>
          </w:p>
        </w:tc>
      </w:tr>
      <w:tr>
        <w:trPr/>
        <w:tc>
          <w:tcPr>
            <w:tcW w:w="615" w:type="dxa"/>
            <w:tcBorders>
              <w:top w:val="nil"/>
              <w:left w:val="nil"/>
              <w:bottom w:val="nil"/>
              <w:right w:val="nil"/>
            </w:tcBorders>
          </w:tcPr>
          <w:p>
            <w:pPr>
              <w:pStyle w:val="Textprost"/>
              <w:widowControl/>
              <w:suppressAutoHyphens w:val="true"/>
              <w:spacing w:before="0" w:after="160"/>
              <w:rPr>
                <w:kern w:val="0"/>
                <w:lang w:val="cs-CZ" w:bidi="ar-SA"/>
              </w:rPr>
            </w:pPr>
            <w:r>
              <w:rPr>
                <w:kern w:val="0"/>
                <w:lang w:val="cs-CZ" w:bidi="ar-SA"/>
              </w:rPr>
              <w:t>348.</w:t>
            </w:r>
          </w:p>
        </w:tc>
        <w:tc>
          <w:tcPr>
            <w:tcW w:w="984" w:type="dxa"/>
            <w:tcBorders>
              <w:top w:val="nil"/>
              <w:left w:val="nil"/>
              <w:bottom w:val="nil"/>
              <w:right w:val="nil"/>
            </w:tcBorders>
          </w:tcPr>
          <w:p>
            <w:pPr>
              <w:pStyle w:val="Textprost"/>
              <w:widowControl/>
              <w:suppressAutoHyphens w:val="true"/>
              <w:spacing w:before="0" w:after="160"/>
              <w:rPr>
                <w:kern w:val="0"/>
                <w:lang w:val="cs-CZ" w:bidi="ar-SA"/>
              </w:rPr>
            </w:pPr>
            <w:r>
              <w:rPr>
                <w:kern w:val="0"/>
                <w:lang w:val="cs-CZ" w:bidi="ar-SA"/>
              </w:rPr>
              <w:t>341 Kč</w:t>
            </w:r>
          </w:p>
        </w:tc>
        <w:tc>
          <w:tcPr>
            <w:tcW w:w="1119" w:type="dxa"/>
            <w:tcBorders>
              <w:top w:val="nil"/>
              <w:left w:val="nil"/>
              <w:bottom w:val="nil"/>
              <w:right w:val="single" w:sz="4" w:space="0" w:color="0C1838"/>
            </w:tcBorders>
          </w:tcPr>
          <w:p>
            <w:pPr>
              <w:pStyle w:val="Textprost"/>
              <w:widowControl/>
              <w:suppressAutoHyphens w:val="true"/>
              <w:spacing w:before="0" w:after="160"/>
              <w:rPr>
                <w:kern w:val="0"/>
                <w:lang w:val="cs-CZ" w:bidi="ar-SA"/>
              </w:rPr>
            </w:pPr>
            <w:r>
              <w:rPr>
                <w:kern w:val="0"/>
                <w:lang w:val="cs-CZ" w:bidi="ar-SA"/>
              </w:rPr>
              <w:t>14,01 EUR</w:t>
            </w:r>
          </w:p>
        </w:tc>
        <w:tc>
          <w:tcPr>
            <w:tcW w:w="705" w:type="dxa"/>
            <w:tcBorders>
              <w:top w:val="nil"/>
              <w:left w:val="single" w:sz="4" w:space="0" w:color="0C1838"/>
              <w:bottom w:val="nil"/>
              <w:right w:val="nil"/>
            </w:tcBorders>
          </w:tcPr>
          <w:p>
            <w:pPr>
              <w:pStyle w:val="Textprost"/>
              <w:widowControl/>
              <w:suppressAutoHyphens w:val="true"/>
              <w:spacing w:before="0" w:after="160"/>
              <w:rPr>
                <w:kern w:val="0"/>
                <w:lang w:val="cs-CZ" w:bidi="ar-SA"/>
              </w:rPr>
            </w:pPr>
            <w:r>
              <w:rPr>
                <w:kern w:val="0"/>
                <w:lang w:val="cs-CZ" w:bidi="ar-SA"/>
              </w:rPr>
              <w:t>GR</w:t>
            </w:r>
          </w:p>
        </w:tc>
        <w:tc>
          <w:tcPr>
            <w:tcW w:w="1046" w:type="dxa"/>
            <w:tcBorders>
              <w:top w:val="nil"/>
              <w:left w:val="nil"/>
              <w:bottom w:val="nil"/>
              <w:right w:val="nil"/>
            </w:tcBorders>
          </w:tcPr>
          <w:p>
            <w:pPr>
              <w:pStyle w:val="Textprost"/>
              <w:widowControl/>
              <w:suppressAutoHyphens w:val="true"/>
              <w:spacing w:before="0" w:after="160"/>
              <w:rPr>
                <w:kern w:val="0"/>
                <w:lang w:val="cs-CZ" w:bidi="ar-SA"/>
              </w:rPr>
            </w:pPr>
            <w:r>
              <w:rPr>
                <w:kern w:val="0"/>
                <w:lang w:val="cs-CZ" w:bidi="ar-SA"/>
              </w:rPr>
              <w:t>COSMOTE</w:t>
            </w:r>
          </w:p>
        </w:tc>
        <w:tc>
          <w:tcPr>
            <w:tcW w:w="1551" w:type="dxa"/>
            <w:tcBorders>
              <w:top w:val="nil"/>
              <w:left w:val="nil"/>
              <w:bottom w:val="nil"/>
              <w:right w:val="nil"/>
            </w:tcBorders>
          </w:tcPr>
          <w:p>
            <w:pPr>
              <w:pStyle w:val="Textprost"/>
              <w:widowControl/>
              <w:suppressAutoHyphens w:val="true"/>
              <w:spacing w:before="0" w:after="160"/>
              <w:rPr>
                <w:kern w:val="0"/>
                <w:lang w:val="cs-CZ" w:bidi="ar-SA"/>
              </w:rPr>
            </w:pPr>
            <w:r>
              <w:rPr>
                <w:kern w:val="0"/>
                <w:lang w:val="cs-CZ" w:bidi="ar-SA"/>
              </w:rPr>
              <w:t>Mobile Internet 15GB</w:t>
            </w:r>
          </w:p>
        </w:tc>
        <w:tc>
          <w:tcPr>
            <w:tcW w:w="3050" w:type="dxa"/>
            <w:tcBorders>
              <w:top w:val="nil"/>
              <w:left w:val="nil"/>
              <w:bottom w:val="nil"/>
              <w:right w:val="nil"/>
            </w:tcBorders>
          </w:tcPr>
          <w:p>
            <w:pPr>
              <w:pStyle w:val="Textprost"/>
              <w:widowControl/>
              <w:suppressAutoHyphens w:val="true"/>
              <w:spacing w:before="0" w:after="160"/>
              <w:rPr>
                <w:kern w:val="0"/>
                <w:lang w:val="cs-CZ" w:bidi="ar-SA"/>
              </w:rPr>
            </w:pPr>
            <w:r>
              <w:rPr>
                <w:kern w:val="0"/>
                <w:lang w:val="cs-CZ" w:bidi="ar-SA"/>
              </w:rPr>
              <w:t>Nezjištěno, 15 GB</w:t>
            </w:r>
          </w:p>
        </w:tc>
      </w:tr>
      <w:tr>
        <w:trPr/>
        <w:tc>
          <w:tcPr>
            <w:tcW w:w="615" w:type="dxa"/>
            <w:tcBorders>
              <w:top w:val="nil"/>
              <w:left w:val="nil"/>
              <w:bottom w:val="nil"/>
              <w:right w:val="nil"/>
            </w:tcBorders>
          </w:tcPr>
          <w:p>
            <w:pPr>
              <w:pStyle w:val="Textprost"/>
              <w:widowControl/>
              <w:suppressAutoHyphens w:val="true"/>
              <w:spacing w:before="0" w:after="160"/>
              <w:rPr>
                <w:kern w:val="0"/>
                <w:lang w:val="cs-CZ" w:bidi="ar-SA"/>
              </w:rPr>
            </w:pPr>
            <w:r>
              <w:rPr>
                <w:kern w:val="0"/>
                <w:lang w:val="cs-CZ" w:bidi="ar-SA"/>
              </w:rPr>
              <w:t>349.</w:t>
            </w:r>
          </w:p>
        </w:tc>
        <w:tc>
          <w:tcPr>
            <w:tcW w:w="984" w:type="dxa"/>
            <w:tcBorders>
              <w:top w:val="nil"/>
              <w:left w:val="nil"/>
              <w:bottom w:val="nil"/>
              <w:right w:val="nil"/>
            </w:tcBorders>
          </w:tcPr>
          <w:p>
            <w:pPr>
              <w:pStyle w:val="Textprost"/>
              <w:widowControl/>
              <w:suppressAutoHyphens w:val="true"/>
              <w:spacing w:before="0" w:after="160"/>
              <w:rPr>
                <w:kern w:val="0"/>
                <w:lang w:val="cs-CZ" w:bidi="ar-SA"/>
              </w:rPr>
            </w:pPr>
            <w:r>
              <w:rPr>
                <w:kern w:val="0"/>
                <w:lang w:val="cs-CZ" w:bidi="ar-SA"/>
              </w:rPr>
              <w:t>341 Kč</w:t>
            </w:r>
          </w:p>
        </w:tc>
        <w:tc>
          <w:tcPr>
            <w:tcW w:w="1119" w:type="dxa"/>
            <w:tcBorders>
              <w:top w:val="nil"/>
              <w:left w:val="nil"/>
              <w:bottom w:val="nil"/>
              <w:right w:val="single" w:sz="4" w:space="0" w:color="0C1838"/>
            </w:tcBorders>
          </w:tcPr>
          <w:p>
            <w:pPr>
              <w:pStyle w:val="Textprost"/>
              <w:widowControl/>
              <w:suppressAutoHyphens w:val="true"/>
              <w:spacing w:before="0" w:after="160"/>
              <w:rPr>
                <w:kern w:val="0"/>
                <w:lang w:val="cs-CZ" w:bidi="ar-SA"/>
              </w:rPr>
            </w:pPr>
            <w:r>
              <w:rPr>
                <w:kern w:val="0"/>
                <w:lang w:val="cs-CZ" w:bidi="ar-SA"/>
              </w:rPr>
              <w:t>14 EUR</w:t>
            </w:r>
          </w:p>
        </w:tc>
        <w:tc>
          <w:tcPr>
            <w:tcW w:w="705" w:type="dxa"/>
            <w:tcBorders>
              <w:top w:val="nil"/>
              <w:left w:val="single" w:sz="4" w:space="0" w:color="0C1838"/>
              <w:bottom w:val="nil"/>
              <w:right w:val="nil"/>
            </w:tcBorders>
          </w:tcPr>
          <w:p>
            <w:pPr>
              <w:pStyle w:val="Textprost"/>
              <w:widowControl/>
              <w:suppressAutoHyphens w:val="true"/>
              <w:spacing w:before="0" w:after="160"/>
              <w:rPr>
                <w:kern w:val="0"/>
                <w:lang w:val="cs-CZ" w:bidi="ar-SA"/>
              </w:rPr>
            </w:pPr>
            <w:r>
              <w:rPr>
                <w:kern w:val="0"/>
                <w:lang w:val="cs-CZ" w:bidi="ar-SA"/>
              </w:rPr>
              <w:t>NL</w:t>
            </w:r>
          </w:p>
        </w:tc>
        <w:tc>
          <w:tcPr>
            <w:tcW w:w="1046" w:type="dxa"/>
            <w:tcBorders>
              <w:top w:val="nil"/>
              <w:left w:val="nil"/>
              <w:bottom w:val="nil"/>
              <w:right w:val="nil"/>
            </w:tcBorders>
          </w:tcPr>
          <w:p>
            <w:pPr>
              <w:pStyle w:val="Textprost"/>
              <w:widowControl/>
              <w:suppressAutoHyphens w:val="true"/>
              <w:spacing w:before="0" w:after="160"/>
              <w:rPr>
                <w:kern w:val="0"/>
                <w:lang w:val="cs-CZ" w:bidi="ar-SA"/>
              </w:rPr>
            </w:pPr>
            <w:r>
              <w:rPr>
                <w:kern w:val="0"/>
                <w:lang w:val="cs-CZ" w:bidi="ar-SA"/>
              </w:rPr>
              <w:t>Odido</w:t>
            </w:r>
          </w:p>
        </w:tc>
        <w:tc>
          <w:tcPr>
            <w:tcW w:w="1551" w:type="dxa"/>
            <w:tcBorders>
              <w:top w:val="nil"/>
              <w:left w:val="nil"/>
              <w:bottom w:val="nil"/>
              <w:right w:val="nil"/>
            </w:tcBorders>
          </w:tcPr>
          <w:p>
            <w:pPr>
              <w:pStyle w:val="Textprost"/>
              <w:widowControl/>
              <w:suppressAutoHyphens w:val="true"/>
              <w:spacing w:before="0" w:after="160"/>
              <w:rPr>
                <w:kern w:val="0"/>
                <w:lang w:val="cs-CZ" w:bidi="ar-SA"/>
              </w:rPr>
            </w:pPr>
            <w:r>
              <w:rPr>
                <w:kern w:val="0"/>
                <w:lang w:val="cs-CZ" w:bidi="ar-SA"/>
              </w:rPr>
              <w:t>2 GB</w:t>
            </w:r>
          </w:p>
        </w:tc>
        <w:tc>
          <w:tcPr>
            <w:tcW w:w="3050" w:type="dxa"/>
            <w:tcBorders>
              <w:top w:val="nil"/>
              <w:left w:val="nil"/>
              <w:bottom w:val="nil"/>
              <w:right w:val="nil"/>
            </w:tcBorders>
          </w:tcPr>
          <w:p>
            <w:pPr>
              <w:pStyle w:val="Textprost"/>
              <w:widowControl/>
              <w:suppressAutoHyphens w:val="true"/>
              <w:spacing w:before="0" w:after="160"/>
              <w:rPr>
                <w:kern w:val="0"/>
                <w:lang w:val="cs-CZ" w:bidi="ar-SA"/>
              </w:rPr>
            </w:pPr>
            <w:r>
              <w:rPr>
                <w:kern w:val="0"/>
                <w:lang w:val="cs-CZ" w:bidi="ar-SA"/>
              </w:rPr>
              <w:t>120 minut a SMS, 2 GB + rychlost až 300 Mbit/s</w:t>
            </w:r>
          </w:p>
        </w:tc>
      </w:tr>
      <w:tr>
        <w:trPr/>
        <w:tc>
          <w:tcPr>
            <w:tcW w:w="615" w:type="dxa"/>
            <w:tcBorders>
              <w:top w:val="nil"/>
              <w:left w:val="nil"/>
              <w:bottom w:val="nil"/>
              <w:right w:val="nil"/>
            </w:tcBorders>
          </w:tcPr>
          <w:p>
            <w:pPr>
              <w:pStyle w:val="Textprost"/>
              <w:widowControl/>
              <w:suppressAutoHyphens w:val="true"/>
              <w:spacing w:before="0" w:after="160"/>
              <w:rPr>
                <w:kern w:val="0"/>
                <w:lang w:val="cs-CZ" w:bidi="ar-SA"/>
              </w:rPr>
            </w:pPr>
            <w:r>
              <w:rPr>
                <w:kern w:val="0"/>
                <w:lang w:val="cs-CZ" w:bidi="ar-SA"/>
              </w:rPr>
              <w:t>350.</w:t>
            </w:r>
          </w:p>
        </w:tc>
        <w:tc>
          <w:tcPr>
            <w:tcW w:w="984" w:type="dxa"/>
            <w:tcBorders>
              <w:top w:val="nil"/>
              <w:left w:val="nil"/>
              <w:bottom w:val="nil"/>
              <w:right w:val="nil"/>
            </w:tcBorders>
          </w:tcPr>
          <w:p>
            <w:pPr>
              <w:pStyle w:val="Textprost"/>
              <w:widowControl/>
              <w:suppressAutoHyphens w:val="true"/>
              <w:spacing w:before="0" w:after="160"/>
              <w:rPr>
                <w:kern w:val="0"/>
                <w:lang w:val="cs-CZ" w:bidi="ar-SA"/>
              </w:rPr>
            </w:pPr>
            <w:r>
              <w:rPr>
                <w:kern w:val="0"/>
                <w:lang w:val="cs-CZ" w:bidi="ar-SA"/>
              </w:rPr>
              <w:t>335 Kč</w:t>
            </w:r>
          </w:p>
        </w:tc>
        <w:tc>
          <w:tcPr>
            <w:tcW w:w="1119" w:type="dxa"/>
            <w:tcBorders>
              <w:top w:val="nil"/>
              <w:left w:val="nil"/>
              <w:bottom w:val="nil"/>
              <w:right w:val="single" w:sz="4" w:space="0" w:color="0C1838"/>
            </w:tcBorders>
          </w:tcPr>
          <w:p>
            <w:pPr>
              <w:pStyle w:val="Textprost"/>
              <w:widowControl/>
              <w:suppressAutoHyphens w:val="true"/>
              <w:spacing w:before="0" w:after="160"/>
              <w:rPr>
                <w:kern w:val="0"/>
                <w:lang w:val="cs-CZ" w:bidi="ar-SA"/>
              </w:rPr>
            </w:pPr>
            <w:r>
              <w:rPr>
                <w:kern w:val="0"/>
                <w:lang w:val="cs-CZ" w:bidi="ar-SA"/>
              </w:rPr>
              <w:t>335 CZK</w:t>
            </w:r>
          </w:p>
        </w:tc>
        <w:tc>
          <w:tcPr>
            <w:tcW w:w="705" w:type="dxa"/>
            <w:tcBorders>
              <w:top w:val="nil"/>
              <w:left w:val="single" w:sz="4" w:space="0" w:color="0C1838"/>
              <w:bottom w:val="nil"/>
              <w:right w:val="nil"/>
            </w:tcBorders>
          </w:tcPr>
          <w:p>
            <w:pPr>
              <w:pStyle w:val="Textprost"/>
              <w:widowControl/>
              <w:suppressAutoHyphens w:val="true"/>
              <w:spacing w:before="0" w:after="160"/>
              <w:rPr>
                <w:kern w:val="0"/>
                <w:lang w:val="cs-CZ" w:bidi="ar-SA"/>
              </w:rPr>
            </w:pPr>
            <w:r>
              <w:rPr>
                <w:kern w:val="0"/>
                <w:lang w:val="cs-CZ" w:bidi="ar-SA"/>
              </w:rPr>
              <w:t>CZ</w:t>
            </w:r>
          </w:p>
        </w:tc>
        <w:tc>
          <w:tcPr>
            <w:tcW w:w="1046" w:type="dxa"/>
            <w:tcBorders>
              <w:top w:val="nil"/>
              <w:left w:val="nil"/>
              <w:bottom w:val="nil"/>
              <w:right w:val="nil"/>
            </w:tcBorders>
          </w:tcPr>
          <w:p>
            <w:pPr>
              <w:pStyle w:val="Textprost"/>
              <w:widowControl/>
              <w:suppressAutoHyphens w:val="true"/>
              <w:spacing w:before="0" w:after="160"/>
              <w:rPr>
                <w:kern w:val="0"/>
                <w:lang w:val="cs-CZ" w:bidi="ar-SA"/>
              </w:rPr>
            </w:pPr>
            <w:r>
              <w:rPr>
                <w:kern w:val="0"/>
                <w:lang w:val="cs-CZ" w:bidi="ar-SA"/>
              </w:rPr>
              <w:t>T-Mobile</w:t>
            </w:r>
          </w:p>
        </w:tc>
        <w:tc>
          <w:tcPr>
            <w:tcW w:w="1551" w:type="dxa"/>
            <w:tcBorders>
              <w:top w:val="nil"/>
              <w:left w:val="nil"/>
              <w:bottom w:val="nil"/>
              <w:right w:val="nil"/>
            </w:tcBorders>
          </w:tcPr>
          <w:p>
            <w:pPr>
              <w:pStyle w:val="Tabulkatext"/>
              <w:widowControl/>
              <w:suppressAutoHyphens w:val="true"/>
              <w:rPr>
                <w:kern w:val="0"/>
                <w:lang w:val="cs-CZ" w:bidi="ar-SA"/>
              </w:rPr>
            </w:pPr>
            <w:r>
              <w:rPr>
                <w:kern w:val="0"/>
                <w:lang w:val="cs-CZ" w:bidi="ar-SA"/>
              </w:rPr>
              <w:t>Next Data 5 GB</w:t>
            </w:r>
          </w:p>
        </w:tc>
        <w:tc>
          <w:tcPr>
            <w:tcW w:w="3050" w:type="dxa"/>
            <w:tcBorders>
              <w:top w:val="nil"/>
              <w:left w:val="nil"/>
              <w:bottom w:val="nil"/>
              <w:right w:val="nil"/>
            </w:tcBorders>
          </w:tcPr>
          <w:p>
            <w:pPr>
              <w:pStyle w:val="Textprost"/>
              <w:widowControl/>
              <w:suppressAutoHyphens w:val="true"/>
              <w:spacing w:before="0" w:after="160"/>
              <w:rPr>
                <w:kern w:val="0"/>
                <w:lang w:val="cs-CZ" w:bidi="ar-SA"/>
              </w:rPr>
            </w:pPr>
            <w:r>
              <w:rPr>
                <w:kern w:val="0"/>
                <w:lang w:val="cs-CZ" w:bidi="ar-SA"/>
              </w:rPr>
              <w:t>150 minut a SMS, 5 GB dat lze sjednat jen online</w:t>
            </w:r>
          </w:p>
        </w:tc>
      </w:tr>
      <w:tr>
        <w:trPr/>
        <w:tc>
          <w:tcPr>
            <w:tcW w:w="615" w:type="dxa"/>
            <w:tcBorders>
              <w:top w:val="nil"/>
              <w:left w:val="nil"/>
              <w:bottom w:val="nil"/>
              <w:right w:val="nil"/>
            </w:tcBorders>
          </w:tcPr>
          <w:p>
            <w:pPr>
              <w:pStyle w:val="Textprost"/>
              <w:widowControl/>
              <w:suppressAutoHyphens w:val="true"/>
              <w:spacing w:before="0" w:after="160"/>
              <w:rPr>
                <w:kern w:val="0"/>
                <w:lang w:val="cs-CZ" w:bidi="ar-SA"/>
              </w:rPr>
            </w:pPr>
            <w:r>
              <w:rPr>
                <w:kern w:val="0"/>
                <w:lang w:val="cs-CZ" w:bidi="ar-SA"/>
              </w:rPr>
              <w:t>351.</w:t>
            </w:r>
          </w:p>
        </w:tc>
        <w:tc>
          <w:tcPr>
            <w:tcW w:w="984" w:type="dxa"/>
            <w:tcBorders>
              <w:top w:val="nil"/>
              <w:left w:val="nil"/>
              <w:bottom w:val="nil"/>
              <w:right w:val="nil"/>
            </w:tcBorders>
          </w:tcPr>
          <w:p>
            <w:pPr>
              <w:pStyle w:val="Textprost"/>
              <w:widowControl/>
              <w:suppressAutoHyphens w:val="true"/>
              <w:spacing w:before="0" w:after="160"/>
              <w:rPr>
                <w:kern w:val="0"/>
                <w:lang w:val="cs-CZ" w:bidi="ar-SA"/>
              </w:rPr>
            </w:pPr>
            <w:r>
              <w:rPr>
                <w:kern w:val="0"/>
                <w:lang w:val="cs-CZ" w:bidi="ar-SA"/>
              </w:rPr>
              <w:t>329 Kč</w:t>
            </w:r>
          </w:p>
        </w:tc>
        <w:tc>
          <w:tcPr>
            <w:tcW w:w="1119" w:type="dxa"/>
            <w:tcBorders>
              <w:top w:val="nil"/>
              <w:left w:val="nil"/>
              <w:bottom w:val="nil"/>
              <w:right w:val="single" w:sz="4" w:space="0" w:color="0C1838"/>
            </w:tcBorders>
          </w:tcPr>
          <w:p>
            <w:pPr>
              <w:pStyle w:val="Textprost"/>
              <w:widowControl/>
              <w:suppressAutoHyphens w:val="true"/>
              <w:spacing w:before="0" w:after="160"/>
              <w:rPr>
                <w:kern w:val="0"/>
                <w:lang w:val="cs-CZ" w:bidi="ar-SA"/>
              </w:rPr>
            </w:pPr>
            <w:r>
              <w:rPr>
                <w:kern w:val="0"/>
                <w:lang w:val="cs-CZ" w:bidi="ar-SA"/>
              </w:rPr>
              <w:t>13,50 EUR</w:t>
            </w:r>
          </w:p>
        </w:tc>
        <w:tc>
          <w:tcPr>
            <w:tcW w:w="705" w:type="dxa"/>
            <w:tcBorders>
              <w:top w:val="nil"/>
              <w:left w:val="single" w:sz="4" w:space="0" w:color="0C1838"/>
              <w:bottom w:val="nil"/>
              <w:right w:val="nil"/>
            </w:tcBorders>
          </w:tcPr>
          <w:p>
            <w:pPr>
              <w:pStyle w:val="Textprost"/>
              <w:widowControl/>
              <w:suppressAutoHyphens w:val="true"/>
              <w:spacing w:before="0" w:after="160"/>
              <w:rPr>
                <w:kern w:val="0"/>
                <w:lang w:val="cs-CZ" w:bidi="ar-SA"/>
              </w:rPr>
            </w:pPr>
            <w:r>
              <w:rPr>
                <w:kern w:val="0"/>
                <w:lang w:val="cs-CZ" w:bidi="ar-SA"/>
              </w:rPr>
              <w:t>LV</w:t>
            </w:r>
          </w:p>
        </w:tc>
        <w:tc>
          <w:tcPr>
            <w:tcW w:w="1046" w:type="dxa"/>
            <w:tcBorders>
              <w:top w:val="nil"/>
              <w:left w:val="nil"/>
              <w:bottom w:val="nil"/>
              <w:right w:val="nil"/>
            </w:tcBorders>
          </w:tcPr>
          <w:p>
            <w:pPr>
              <w:pStyle w:val="Textprost"/>
              <w:widowControl/>
              <w:suppressAutoHyphens w:val="true"/>
              <w:spacing w:before="0" w:after="160"/>
              <w:rPr>
                <w:kern w:val="0"/>
                <w:lang w:val="cs-CZ" w:bidi="ar-SA"/>
              </w:rPr>
            </w:pPr>
            <w:r>
              <w:rPr>
                <w:kern w:val="0"/>
                <w:lang w:val="cs-CZ" w:bidi="ar-SA"/>
              </w:rPr>
              <w:t>Bite</w:t>
            </w:r>
          </w:p>
        </w:tc>
        <w:tc>
          <w:tcPr>
            <w:tcW w:w="1551" w:type="dxa"/>
            <w:tcBorders>
              <w:top w:val="nil"/>
              <w:left w:val="nil"/>
              <w:bottom w:val="nil"/>
              <w:right w:val="nil"/>
            </w:tcBorders>
          </w:tcPr>
          <w:p>
            <w:pPr>
              <w:pStyle w:val="Textprost"/>
              <w:widowControl/>
              <w:suppressAutoHyphens w:val="true"/>
              <w:spacing w:before="0" w:after="160"/>
              <w:rPr>
                <w:kern w:val="0"/>
                <w:lang w:val="cs-CZ" w:bidi="ar-SA"/>
              </w:rPr>
            </w:pPr>
            <w:r>
              <w:rPr>
                <w:kern w:val="0"/>
                <w:lang w:val="cs-CZ" w:bidi="ar-SA"/>
              </w:rPr>
              <w:t>Bite Neierobežots Baltija 5G</w:t>
            </w:r>
          </w:p>
        </w:tc>
        <w:tc>
          <w:tcPr>
            <w:tcW w:w="3050" w:type="dxa"/>
            <w:tcBorders>
              <w:top w:val="nil"/>
              <w:left w:val="nil"/>
              <w:bottom w:val="nil"/>
              <w:right w:val="nil"/>
            </w:tcBorders>
          </w:tcPr>
          <w:p>
            <w:pPr>
              <w:pStyle w:val="Textprost"/>
              <w:widowControl/>
              <w:suppressAutoHyphens w:val="true"/>
              <w:spacing w:before="0" w:after="160"/>
              <w:rPr>
                <w:kern w:val="0"/>
                <w:lang w:val="cs-CZ" w:bidi="ar-SA"/>
              </w:rPr>
            </w:pPr>
            <w:r>
              <w:rPr>
                <w:kern w:val="0"/>
                <w:lang w:val="cs-CZ" w:bidi="ar-SA"/>
              </w:rPr>
              <w:t>Neomezený při smlouvě na 2 roky</w:t>
            </w:r>
          </w:p>
        </w:tc>
      </w:tr>
      <w:tr>
        <w:trPr/>
        <w:tc>
          <w:tcPr>
            <w:tcW w:w="615" w:type="dxa"/>
            <w:tcBorders>
              <w:top w:val="nil"/>
              <w:left w:val="nil"/>
              <w:bottom w:val="nil"/>
              <w:right w:val="nil"/>
            </w:tcBorders>
          </w:tcPr>
          <w:p>
            <w:pPr>
              <w:pStyle w:val="Textprost"/>
              <w:widowControl/>
              <w:suppressAutoHyphens w:val="true"/>
              <w:spacing w:before="0" w:after="160"/>
              <w:rPr>
                <w:kern w:val="0"/>
                <w:lang w:val="cs-CZ" w:bidi="ar-SA"/>
              </w:rPr>
            </w:pPr>
            <w:r>
              <w:rPr>
                <w:kern w:val="0"/>
                <w:lang w:val="cs-CZ" w:bidi="ar-SA"/>
              </w:rPr>
              <w:t>352.</w:t>
            </w:r>
          </w:p>
        </w:tc>
        <w:tc>
          <w:tcPr>
            <w:tcW w:w="984" w:type="dxa"/>
            <w:tcBorders>
              <w:top w:val="nil"/>
              <w:left w:val="nil"/>
              <w:bottom w:val="nil"/>
              <w:right w:val="nil"/>
            </w:tcBorders>
          </w:tcPr>
          <w:p>
            <w:pPr>
              <w:pStyle w:val="Textprost"/>
              <w:widowControl/>
              <w:suppressAutoHyphens w:val="true"/>
              <w:spacing w:before="0" w:after="160"/>
              <w:rPr>
                <w:kern w:val="0"/>
                <w:lang w:val="cs-CZ" w:bidi="ar-SA"/>
              </w:rPr>
            </w:pPr>
            <w:r>
              <w:rPr>
                <w:kern w:val="0"/>
                <w:lang w:val="cs-CZ" w:bidi="ar-SA"/>
              </w:rPr>
              <w:t>329 Kč</w:t>
            </w:r>
          </w:p>
        </w:tc>
        <w:tc>
          <w:tcPr>
            <w:tcW w:w="1119" w:type="dxa"/>
            <w:tcBorders>
              <w:top w:val="nil"/>
              <w:left w:val="nil"/>
              <w:bottom w:val="nil"/>
              <w:right w:val="single" w:sz="4" w:space="0" w:color="0C1838"/>
            </w:tcBorders>
          </w:tcPr>
          <w:p>
            <w:pPr>
              <w:pStyle w:val="Textprost"/>
              <w:widowControl/>
              <w:suppressAutoHyphens w:val="true"/>
              <w:spacing w:before="0" w:after="160"/>
              <w:rPr>
                <w:kern w:val="0"/>
                <w:lang w:val="cs-CZ" w:bidi="ar-SA"/>
              </w:rPr>
            </w:pPr>
            <w:r>
              <w:rPr>
                <w:kern w:val="0"/>
                <w:lang w:val="cs-CZ" w:bidi="ar-SA"/>
              </w:rPr>
              <w:t>13,50 EUR</w:t>
            </w:r>
          </w:p>
        </w:tc>
        <w:tc>
          <w:tcPr>
            <w:tcW w:w="705" w:type="dxa"/>
            <w:tcBorders>
              <w:top w:val="nil"/>
              <w:left w:val="single" w:sz="4" w:space="0" w:color="0C1838"/>
              <w:bottom w:val="nil"/>
              <w:right w:val="nil"/>
            </w:tcBorders>
          </w:tcPr>
          <w:p>
            <w:pPr>
              <w:pStyle w:val="Textprost"/>
              <w:widowControl/>
              <w:suppressAutoHyphens w:val="true"/>
              <w:spacing w:before="0" w:after="160"/>
              <w:rPr>
                <w:kern w:val="0"/>
                <w:lang w:val="cs-CZ" w:bidi="ar-SA"/>
              </w:rPr>
            </w:pPr>
            <w:r>
              <w:rPr>
                <w:kern w:val="0"/>
                <w:lang w:val="cs-CZ" w:bidi="ar-SA"/>
              </w:rPr>
              <w:t>NL</w:t>
            </w:r>
          </w:p>
        </w:tc>
        <w:tc>
          <w:tcPr>
            <w:tcW w:w="1046" w:type="dxa"/>
            <w:tcBorders>
              <w:top w:val="nil"/>
              <w:left w:val="nil"/>
              <w:bottom w:val="nil"/>
              <w:right w:val="nil"/>
            </w:tcBorders>
          </w:tcPr>
          <w:p>
            <w:pPr>
              <w:pStyle w:val="Textprost"/>
              <w:widowControl/>
              <w:suppressAutoHyphens w:val="true"/>
              <w:spacing w:before="0" w:after="160"/>
              <w:rPr>
                <w:kern w:val="0"/>
                <w:lang w:val="cs-CZ" w:bidi="ar-SA"/>
              </w:rPr>
            </w:pPr>
            <w:r>
              <w:rPr>
                <w:kern w:val="0"/>
                <w:lang w:val="cs-CZ" w:bidi="ar-SA"/>
              </w:rPr>
              <w:t>Vodafone</w:t>
            </w:r>
          </w:p>
        </w:tc>
        <w:tc>
          <w:tcPr>
            <w:tcW w:w="1551" w:type="dxa"/>
            <w:tcBorders>
              <w:top w:val="nil"/>
              <w:left w:val="nil"/>
              <w:bottom w:val="nil"/>
              <w:right w:val="nil"/>
            </w:tcBorders>
          </w:tcPr>
          <w:p>
            <w:pPr>
              <w:pStyle w:val="Textprost"/>
              <w:widowControl/>
              <w:suppressAutoHyphens w:val="true"/>
              <w:spacing w:before="0" w:after="160"/>
              <w:rPr>
                <w:kern w:val="0"/>
                <w:lang w:val="cs-CZ" w:bidi="ar-SA"/>
              </w:rPr>
            </w:pPr>
            <w:r>
              <w:rPr>
                <w:kern w:val="0"/>
                <w:lang w:val="cs-CZ" w:bidi="ar-SA"/>
              </w:rPr>
              <w:t>3 GB 2 jaar</w:t>
            </w:r>
          </w:p>
        </w:tc>
        <w:tc>
          <w:tcPr>
            <w:tcW w:w="3050" w:type="dxa"/>
            <w:tcBorders>
              <w:top w:val="nil"/>
              <w:left w:val="nil"/>
              <w:bottom w:val="nil"/>
              <w:right w:val="nil"/>
            </w:tcBorders>
          </w:tcPr>
          <w:p>
            <w:pPr>
              <w:pStyle w:val="Textprost"/>
              <w:widowControl/>
              <w:suppressAutoHyphens w:val="true"/>
              <w:spacing w:before="0" w:after="160"/>
              <w:rPr>
                <w:kern w:val="0"/>
                <w:lang w:val="cs-CZ" w:bidi="ar-SA"/>
              </w:rPr>
            </w:pPr>
            <w:r>
              <w:rPr>
                <w:kern w:val="0"/>
                <w:lang w:val="cs-CZ" w:bidi="ar-SA"/>
              </w:rPr>
              <w:t>150 minut, neomezené SMS, 3 GB</w:t>
            </w:r>
          </w:p>
        </w:tc>
      </w:tr>
    </w:tbl>
    <w:p>
      <w:pPr>
        <w:pStyle w:val="Zdroj"/>
        <w:rPr/>
      </w:pPr>
      <w:r>
        <w:rPr/>
        <w:t>Note: The table shows order of the tariff according to the list price expressed in CZK, the list price in national currency, country, supplying operator, tariff name and the content of the tariff in Czech.</w:t>
      </w:r>
    </w:p>
    <w:p>
      <w:pPr>
        <w:pStyle w:val="Textprost"/>
        <w:rPr/>
      </w:pPr>
      <w:r>
        <w:rPr/>
        <w:t>Vzhledem k tomu, že se Úřadu nepodařilo při prvním sběru údajů</w:t>
      </w:r>
      <w:r>
        <w:rPr>
          <w:rStyle w:val="FootnoteReference"/>
        </w:rPr>
        <w:footnoteReference w:id="137"/>
      </w:r>
      <w:r>
        <w:rPr/>
        <w:t xml:space="preserve"> získat dokonale obsah mobilního paušálu „Mobile Internet 15GB“ řeckého operátora COSMOTE, uvádí i jednu dodatečnou pozici na 347. pořadovém místě, a to paušál M polského operátora Plus.</w:t>
      </w:r>
    </w:p>
    <w:p>
      <w:pPr>
        <w:pStyle w:val="Textprost"/>
        <w:rPr/>
      </w:pPr>
      <w:r>
        <w:rPr/>
        <w:t>Z posouzení mobilního tarifu společnosti T-Mobile vyplývá, že jeho obsah lze považovat za srovnatelný s nabídkami nizozemských operátorů Odido a Vodafone, přičemž množství minut volání a SMS je typicky omezené a množství mobilních dat se pohybuje v řádech nižších jednotek GB. Na druhou stranu není zjevně srovnatelný s neomezenými paušály polského operátora Plus a lotyšského operátora Bite.</w:t>
      </w:r>
    </w:p>
    <w:p>
      <w:pPr>
        <w:pStyle w:val="Tabulka"/>
        <w:numPr>
          <w:ilvl w:val="0"/>
          <w:numId w:val="3"/>
        </w:numPr>
        <w:ind w:hanging="1560" w:left="1560" w:right="0"/>
        <w:rPr/>
      </w:pPr>
      <w:bookmarkStart w:id="180" w:name="_Toc229057993"/>
      <w:r>
        <w:rPr/>
        <w:t>Nejbližší cenové okolí ceníkově nejlevnějšího mobilního paušálu společnosti O2 ze sběru ceníkových cen č. 1</w:t>
      </w:r>
      <w:bookmarkEnd w:id="180"/>
    </w:p>
    <w:tbl>
      <w:tblPr>
        <w:tblStyle w:val="TableGrid"/>
        <w:tblW w:w="906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60"/>
        <w:gridCol w:w="993"/>
        <w:gridCol w:w="1136"/>
        <w:gridCol w:w="707"/>
        <w:gridCol w:w="1135"/>
        <w:gridCol w:w="1418"/>
        <w:gridCol w:w="3111"/>
      </w:tblGrid>
      <w:tr>
        <w:trPr/>
        <w:tc>
          <w:tcPr>
            <w:tcW w:w="560" w:type="dxa"/>
            <w:tcBorders>
              <w:top w:val="nil"/>
              <w:left w:val="nil"/>
              <w:bottom w:val="single" w:sz="4" w:space="0" w:color="0C1838"/>
              <w:right w:val="nil"/>
            </w:tcBorders>
          </w:tcPr>
          <w:p>
            <w:pPr>
              <w:pStyle w:val="Tabulkatext"/>
              <w:widowControl/>
              <w:suppressAutoHyphens w:val="true"/>
              <w:rPr>
                <w:kern w:val="0"/>
                <w:lang w:val="cs-CZ" w:bidi="ar-SA"/>
              </w:rPr>
            </w:pPr>
            <w:r>
              <w:rPr>
                <w:kern w:val="0"/>
                <w:lang w:val="cs-CZ" w:bidi="ar-SA"/>
              </w:rPr>
              <w:t>Poř.</w:t>
            </w:r>
          </w:p>
        </w:tc>
        <w:tc>
          <w:tcPr>
            <w:tcW w:w="993" w:type="dxa"/>
            <w:tcBorders>
              <w:top w:val="nil"/>
              <w:left w:val="nil"/>
              <w:bottom w:val="single" w:sz="4" w:space="0" w:color="0C1838"/>
              <w:right w:val="nil"/>
            </w:tcBorders>
          </w:tcPr>
          <w:p>
            <w:pPr>
              <w:pStyle w:val="Tabulkatext"/>
              <w:widowControl/>
              <w:suppressAutoHyphens w:val="true"/>
              <w:rPr>
                <w:kern w:val="0"/>
                <w:lang w:val="cs-CZ" w:bidi="ar-SA"/>
              </w:rPr>
            </w:pPr>
            <w:r>
              <w:rPr>
                <w:kern w:val="0"/>
                <w:lang w:val="cs-CZ" w:bidi="ar-SA"/>
              </w:rPr>
              <w:t>P_CZK</w:t>
            </w:r>
          </w:p>
        </w:tc>
        <w:tc>
          <w:tcPr>
            <w:tcW w:w="1136" w:type="dxa"/>
            <w:tcBorders>
              <w:top w:val="nil"/>
              <w:left w:val="nil"/>
              <w:bottom w:val="single" w:sz="4" w:space="0" w:color="0C1838"/>
              <w:right w:val="single" w:sz="4" w:space="0" w:color="0C1838"/>
            </w:tcBorders>
          </w:tcPr>
          <w:p>
            <w:pPr>
              <w:pStyle w:val="Tabulkatext"/>
              <w:widowControl/>
              <w:suppressAutoHyphens w:val="true"/>
              <w:rPr>
                <w:kern w:val="0"/>
                <w:lang w:val="cs-CZ" w:bidi="ar-SA"/>
              </w:rPr>
            </w:pPr>
            <w:r>
              <w:rPr>
                <w:kern w:val="0"/>
                <w:lang w:val="cs-CZ" w:bidi="ar-SA"/>
              </w:rPr>
              <w:t>P_NC</w:t>
            </w:r>
          </w:p>
        </w:tc>
        <w:tc>
          <w:tcPr>
            <w:tcW w:w="707" w:type="dxa"/>
            <w:tcBorders>
              <w:top w:val="nil"/>
              <w:left w:val="single" w:sz="4" w:space="0" w:color="0C1838"/>
              <w:bottom w:val="single" w:sz="4" w:space="0" w:color="0C1838"/>
              <w:right w:val="nil"/>
            </w:tcBorders>
          </w:tcPr>
          <w:p>
            <w:pPr>
              <w:pStyle w:val="Tabulkatext"/>
              <w:widowControl/>
              <w:suppressAutoHyphens w:val="true"/>
              <w:rPr>
                <w:kern w:val="0"/>
                <w:lang w:val="cs-CZ" w:bidi="ar-SA"/>
              </w:rPr>
            </w:pPr>
            <w:r>
              <w:rPr>
                <w:kern w:val="0"/>
                <w:lang w:val="cs-CZ" w:bidi="ar-SA"/>
              </w:rPr>
              <w:t>Stát</w:t>
            </w:r>
          </w:p>
        </w:tc>
        <w:tc>
          <w:tcPr>
            <w:tcW w:w="1135" w:type="dxa"/>
            <w:tcBorders>
              <w:top w:val="nil"/>
              <w:left w:val="nil"/>
              <w:bottom w:val="single" w:sz="4" w:space="0" w:color="0C1838"/>
              <w:right w:val="nil"/>
            </w:tcBorders>
          </w:tcPr>
          <w:p>
            <w:pPr>
              <w:pStyle w:val="Tabulkatext"/>
              <w:widowControl/>
              <w:suppressAutoHyphens w:val="true"/>
              <w:rPr>
                <w:kern w:val="0"/>
                <w:lang w:val="cs-CZ" w:bidi="ar-SA"/>
              </w:rPr>
            </w:pPr>
            <w:r>
              <w:rPr>
                <w:kern w:val="0"/>
                <w:lang w:val="cs-CZ" w:bidi="ar-SA"/>
              </w:rPr>
              <w:t>Operátor</w:t>
            </w:r>
          </w:p>
        </w:tc>
        <w:tc>
          <w:tcPr>
            <w:tcW w:w="1418" w:type="dxa"/>
            <w:tcBorders>
              <w:top w:val="nil"/>
              <w:left w:val="nil"/>
              <w:bottom w:val="single" w:sz="4" w:space="0" w:color="0C1838"/>
              <w:right w:val="nil"/>
            </w:tcBorders>
          </w:tcPr>
          <w:p>
            <w:pPr>
              <w:pStyle w:val="Tabulkatext"/>
              <w:widowControl/>
              <w:suppressAutoHyphens w:val="true"/>
              <w:rPr>
                <w:kern w:val="0"/>
                <w:lang w:val="cs-CZ" w:bidi="ar-SA"/>
              </w:rPr>
            </w:pPr>
            <w:r>
              <w:rPr>
                <w:kern w:val="0"/>
                <w:lang w:val="cs-CZ" w:bidi="ar-SA"/>
              </w:rPr>
              <w:t>Paušál</w:t>
            </w:r>
          </w:p>
        </w:tc>
        <w:tc>
          <w:tcPr>
            <w:tcW w:w="3111" w:type="dxa"/>
            <w:tcBorders>
              <w:top w:val="nil"/>
              <w:left w:val="nil"/>
              <w:bottom w:val="single" w:sz="4" w:space="0" w:color="0C1838"/>
              <w:right w:val="nil"/>
            </w:tcBorders>
          </w:tcPr>
          <w:p>
            <w:pPr>
              <w:pStyle w:val="Tabulkatext"/>
              <w:widowControl/>
              <w:suppressAutoHyphens w:val="true"/>
              <w:rPr>
                <w:kern w:val="0"/>
                <w:lang w:val="cs-CZ" w:bidi="ar-SA"/>
              </w:rPr>
            </w:pPr>
            <w:r>
              <w:rPr>
                <w:kern w:val="0"/>
                <w:lang w:val="cs-CZ" w:bidi="ar-SA"/>
              </w:rPr>
              <w:t>Obsah</w:t>
            </w:r>
          </w:p>
        </w:tc>
      </w:tr>
      <w:tr>
        <w:trPr/>
        <w:tc>
          <w:tcPr>
            <w:tcW w:w="560" w:type="dxa"/>
            <w:tcBorders>
              <w:top w:val="single" w:sz="4" w:space="0" w:color="0C1838"/>
              <w:left w:val="nil"/>
              <w:bottom w:val="nil"/>
              <w:right w:val="nil"/>
            </w:tcBorders>
          </w:tcPr>
          <w:p>
            <w:pPr>
              <w:pStyle w:val="Tabulkatext"/>
              <w:widowControl/>
              <w:suppressAutoHyphens w:val="true"/>
              <w:rPr>
                <w:kern w:val="0"/>
                <w:lang w:val="cs-CZ" w:bidi="ar-SA"/>
              </w:rPr>
            </w:pPr>
            <w:r>
              <w:rPr>
                <w:kern w:val="0"/>
                <w:lang w:val="cs-CZ" w:bidi="ar-SA"/>
              </w:rPr>
              <w:t>342.</w:t>
            </w:r>
          </w:p>
        </w:tc>
        <w:tc>
          <w:tcPr>
            <w:tcW w:w="993" w:type="dxa"/>
            <w:tcBorders>
              <w:top w:val="single" w:sz="4" w:space="0" w:color="0C1838"/>
              <w:left w:val="nil"/>
              <w:bottom w:val="nil"/>
              <w:right w:val="nil"/>
            </w:tcBorders>
          </w:tcPr>
          <w:p>
            <w:pPr>
              <w:pStyle w:val="Tabulkatext"/>
              <w:widowControl/>
              <w:suppressAutoHyphens w:val="true"/>
              <w:rPr>
                <w:kern w:val="0"/>
                <w:lang w:val="cs-CZ" w:bidi="ar-SA"/>
              </w:rPr>
            </w:pPr>
            <w:r>
              <w:rPr>
                <w:kern w:val="0"/>
                <w:lang w:val="cs-CZ" w:bidi="ar-SA"/>
              </w:rPr>
              <w:t>363 Kč</w:t>
            </w:r>
          </w:p>
        </w:tc>
        <w:tc>
          <w:tcPr>
            <w:tcW w:w="1136" w:type="dxa"/>
            <w:tcBorders>
              <w:top w:val="single" w:sz="4" w:space="0" w:color="0C1838"/>
              <w:left w:val="nil"/>
              <w:bottom w:val="nil"/>
              <w:right w:val="single" w:sz="4" w:space="0" w:color="0C1838"/>
            </w:tcBorders>
          </w:tcPr>
          <w:p>
            <w:pPr>
              <w:pStyle w:val="Tabulkatext"/>
              <w:widowControl/>
              <w:suppressAutoHyphens w:val="true"/>
              <w:rPr>
                <w:kern w:val="0"/>
                <w:lang w:val="cs-CZ" w:bidi="ar-SA"/>
              </w:rPr>
            </w:pPr>
            <w:r>
              <w:rPr>
                <w:kern w:val="0"/>
                <w:lang w:val="cs-CZ" w:bidi="ar-SA"/>
              </w:rPr>
              <w:t>14,90 EUR</w:t>
            </w:r>
          </w:p>
        </w:tc>
        <w:tc>
          <w:tcPr>
            <w:tcW w:w="707" w:type="dxa"/>
            <w:tcBorders>
              <w:top w:val="single" w:sz="4" w:space="0" w:color="0C1838"/>
              <w:left w:val="single" w:sz="4" w:space="0" w:color="0C1838"/>
              <w:bottom w:val="nil"/>
              <w:right w:val="nil"/>
            </w:tcBorders>
          </w:tcPr>
          <w:p>
            <w:pPr>
              <w:pStyle w:val="Tabulkatext"/>
              <w:widowControl/>
              <w:suppressAutoHyphens w:val="true"/>
              <w:rPr>
                <w:kern w:val="0"/>
                <w:lang w:val="cs-CZ" w:bidi="ar-SA"/>
              </w:rPr>
            </w:pPr>
            <w:r>
              <w:rPr>
                <w:kern w:val="0"/>
                <w:lang w:val="cs-CZ" w:bidi="ar-SA"/>
              </w:rPr>
              <w:t>AT</w:t>
            </w:r>
          </w:p>
        </w:tc>
        <w:tc>
          <w:tcPr>
            <w:tcW w:w="1135" w:type="dxa"/>
            <w:tcBorders>
              <w:top w:val="single" w:sz="4" w:space="0" w:color="0C1838"/>
              <w:left w:val="nil"/>
              <w:bottom w:val="nil"/>
              <w:right w:val="nil"/>
            </w:tcBorders>
          </w:tcPr>
          <w:p>
            <w:pPr>
              <w:pStyle w:val="Tabulkatext"/>
              <w:widowControl/>
              <w:suppressAutoHyphens w:val="true"/>
              <w:rPr>
                <w:kern w:val="0"/>
                <w:lang w:val="cs-CZ" w:bidi="ar-SA"/>
              </w:rPr>
            </w:pPr>
            <w:r>
              <w:rPr>
                <w:kern w:val="0"/>
                <w:lang w:val="cs-CZ" w:bidi="ar-SA"/>
              </w:rPr>
              <w:t>Drei</w:t>
            </w:r>
          </w:p>
        </w:tc>
        <w:tc>
          <w:tcPr>
            <w:tcW w:w="1418" w:type="dxa"/>
            <w:tcBorders>
              <w:top w:val="single" w:sz="4" w:space="0" w:color="0C1838"/>
              <w:left w:val="nil"/>
              <w:bottom w:val="nil"/>
              <w:right w:val="nil"/>
            </w:tcBorders>
          </w:tcPr>
          <w:p>
            <w:pPr>
              <w:pStyle w:val="Tabulkatext"/>
              <w:widowControl/>
              <w:suppressAutoHyphens w:val="true"/>
              <w:rPr>
                <w:kern w:val="0"/>
                <w:lang w:val="cs-CZ" w:bidi="ar-SA"/>
              </w:rPr>
            </w:pPr>
            <w:r>
              <w:rPr>
                <w:kern w:val="0"/>
                <w:lang w:val="cs-CZ" w:bidi="ar-SA"/>
              </w:rPr>
              <w:t>MyLife SIM Unlimited</w:t>
            </w:r>
          </w:p>
        </w:tc>
        <w:tc>
          <w:tcPr>
            <w:tcW w:w="3111" w:type="dxa"/>
            <w:tcBorders>
              <w:top w:val="single" w:sz="4" w:space="0" w:color="0C1838"/>
              <w:left w:val="nil"/>
              <w:bottom w:val="nil"/>
              <w:right w:val="nil"/>
            </w:tcBorders>
          </w:tcPr>
          <w:p>
            <w:pPr>
              <w:pStyle w:val="Tabulkatext"/>
              <w:widowControl/>
              <w:suppressAutoHyphens w:val="true"/>
              <w:rPr>
                <w:kern w:val="0"/>
                <w:lang w:val="cs-CZ" w:bidi="ar-SA"/>
              </w:rPr>
            </w:pPr>
            <w:r>
              <w:rPr>
                <w:kern w:val="0"/>
                <w:lang w:val="cs-CZ" w:bidi="ar-SA"/>
              </w:rPr>
              <w:t>Neomezený, (data max 150 Mbps), pouze do 27 let</w:t>
            </w:r>
          </w:p>
        </w:tc>
      </w:tr>
      <w:tr>
        <w:trPr/>
        <w:tc>
          <w:tcPr>
            <w:tcW w:w="560" w:type="dxa"/>
            <w:tcBorders>
              <w:top w:val="nil"/>
              <w:left w:val="nil"/>
              <w:bottom w:val="nil"/>
              <w:right w:val="nil"/>
            </w:tcBorders>
          </w:tcPr>
          <w:p>
            <w:pPr>
              <w:pStyle w:val="Tabulkatext"/>
              <w:widowControl/>
              <w:suppressAutoHyphens w:val="true"/>
              <w:rPr>
                <w:kern w:val="0"/>
                <w:lang w:val="cs-CZ" w:bidi="ar-SA"/>
              </w:rPr>
            </w:pPr>
            <w:r>
              <w:rPr>
                <w:kern w:val="0"/>
                <w:lang w:val="cs-CZ" w:bidi="ar-SA"/>
              </w:rPr>
              <w:t>343.</w:t>
            </w:r>
          </w:p>
        </w:tc>
        <w:tc>
          <w:tcPr>
            <w:tcW w:w="993" w:type="dxa"/>
            <w:tcBorders>
              <w:top w:val="nil"/>
              <w:left w:val="nil"/>
              <w:bottom w:val="nil"/>
              <w:right w:val="nil"/>
            </w:tcBorders>
          </w:tcPr>
          <w:p>
            <w:pPr>
              <w:pStyle w:val="Tabulkatext"/>
              <w:widowControl/>
              <w:suppressAutoHyphens w:val="true"/>
              <w:rPr>
                <w:kern w:val="0"/>
                <w:lang w:val="cs-CZ" w:bidi="ar-SA"/>
              </w:rPr>
            </w:pPr>
            <w:r>
              <w:rPr>
                <w:kern w:val="0"/>
                <w:lang w:val="cs-CZ" w:bidi="ar-SA"/>
              </w:rPr>
              <w:t>363 Kč</w:t>
            </w:r>
          </w:p>
        </w:tc>
        <w:tc>
          <w:tcPr>
            <w:tcW w:w="1136" w:type="dxa"/>
            <w:tcBorders>
              <w:top w:val="nil"/>
              <w:left w:val="nil"/>
              <w:bottom w:val="nil"/>
              <w:right w:val="single" w:sz="4" w:space="0" w:color="0C1838"/>
            </w:tcBorders>
          </w:tcPr>
          <w:p>
            <w:pPr>
              <w:pStyle w:val="Tabulkatext"/>
              <w:widowControl/>
              <w:suppressAutoHyphens w:val="true"/>
              <w:rPr>
                <w:kern w:val="0"/>
                <w:lang w:val="cs-CZ" w:bidi="ar-SA"/>
              </w:rPr>
            </w:pPr>
            <w:r>
              <w:rPr>
                <w:kern w:val="0"/>
                <w:lang w:val="cs-CZ" w:bidi="ar-SA"/>
              </w:rPr>
              <w:t>14,90 EUR</w:t>
            </w:r>
          </w:p>
        </w:tc>
        <w:tc>
          <w:tcPr>
            <w:tcW w:w="707" w:type="dxa"/>
            <w:tcBorders>
              <w:top w:val="nil"/>
              <w:left w:val="single" w:sz="4" w:space="0" w:color="0C1838"/>
              <w:bottom w:val="nil"/>
              <w:right w:val="nil"/>
            </w:tcBorders>
          </w:tcPr>
          <w:p>
            <w:pPr>
              <w:pStyle w:val="Tabulkatext"/>
              <w:widowControl/>
              <w:suppressAutoHyphens w:val="true"/>
              <w:rPr>
                <w:kern w:val="0"/>
                <w:lang w:val="cs-CZ" w:bidi="ar-SA"/>
              </w:rPr>
            </w:pPr>
            <w:r>
              <w:rPr>
                <w:kern w:val="0"/>
                <w:lang w:val="cs-CZ" w:bidi="ar-SA"/>
              </w:rPr>
              <w:t>LT</w:t>
            </w:r>
          </w:p>
        </w:tc>
        <w:tc>
          <w:tcPr>
            <w:tcW w:w="1135" w:type="dxa"/>
            <w:tcBorders>
              <w:top w:val="nil"/>
              <w:left w:val="nil"/>
              <w:bottom w:val="nil"/>
              <w:right w:val="nil"/>
            </w:tcBorders>
          </w:tcPr>
          <w:p>
            <w:pPr>
              <w:pStyle w:val="Tabulkatext"/>
              <w:widowControl/>
              <w:suppressAutoHyphens w:val="true"/>
              <w:rPr>
                <w:kern w:val="0"/>
                <w:lang w:val="cs-CZ" w:bidi="ar-SA"/>
              </w:rPr>
            </w:pPr>
            <w:r>
              <w:rPr>
                <w:kern w:val="0"/>
                <w:lang w:val="cs-CZ" w:bidi="ar-SA"/>
              </w:rPr>
              <w:t>Telia</w:t>
            </w:r>
          </w:p>
        </w:tc>
        <w:tc>
          <w:tcPr>
            <w:tcW w:w="1418" w:type="dxa"/>
            <w:tcBorders>
              <w:top w:val="nil"/>
              <w:left w:val="nil"/>
              <w:bottom w:val="nil"/>
              <w:right w:val="nil"/>
            </w:tcBorders>
          </w:tcPr>
          <w:p>
            <w:pPr>
              <w:pStyle w:val="Tabulkatext"/>
              <w:widowControl/>
              <w:suppressAutoHyphens w:val="true"/>
              <w:rPr>
                <w:kern w:val="0"/>
                <w:lang w:val="cs-CZ" w:bidi="ar-SA"/>
              </w:rPr>
            </w:pPr>
            <w:r>
              <w:rPr>
                <w:kern w:val="0"/>
                <w:lang w:val="cs-CZ" w:bidi="ar-SA"/>
              </w:rPr>
              <w:t>4G Mobilius S</w:t>
            </w:r>
          </w:p>
        </w:tc>
        <w:tc>
          <w:tcPr>
            <w:tcW w:w="3111" w:type="dxa"/>
            <w:tcBorders>
              <w:top w:val="nil"/>
              <w:left w:val="nil"/>
              <w:bottom w:val="nil"/>
              <w:right w:val="nil"/>
            </w:tcBorders>
          </w:tcPr>
          <w:p>
            <w:pPr>
              <w:pStyle w:val="Tabulkatext"/>
              <w:widowControl/>
              <w:suppressAutoHyphens w:val="true"/>
              <w:rPr>
                <w:kern w:val="0"/>
                <w:lang w:val="cs-CZ" w:bidi="ar-SA"/>
              </w:rPr>
            </w:pPr>
            <w:r>
              <w:rPr>
                <w:kern w:val="0"/>
                <w:lang w:val="cs-CZ" w:bidi="ar-SA"/>
              </w:rPr>
              <w:t>Neomezené volání a SMS, 5 GB (4G)</w:t>
            </w:r>
          </w:p>
        </w:tc>
      </w:tr>
      <w:tr>
        <w:trPr/>
        <w:tc>
          <w:tcPr>
            <w:tcW w:w="560" w:type="dxa"/>
            <w:tcBorders>
              <w:top w:val="nil"/>
              <w:left w:val="nil"/>
              <w:bottom w:val="nil"/>
              <w:right w:val="nil"/>
            </w:tcBorders>
          </w:tcPr>
          <w:p>
            <w:pPr>
              <w:pStyle w:val="Tabulkatext"/>
              <w:widowControl/>
              <w:suppressAutoHyphens w:val="true"/>
              <w:rPr>
                <w:kern w:val="0"/>
                <w:lang w:val="cs-CZ" w:bidi="ar-SA"/>
              </w:rPr>
            </w:pPr>
            <w:r>
              <w:rPr>
                <w:kern w:val="0"/>
                <w:lang w:val="cs-CZ" w:bidi="ar-SA"/>
              </w:rPr>
              <w:t>344.</w:t>
            </w:r>
          </w:p>
        </w:tc>
        <w:tc>
          <w:tcPr>
            <w:tcW w:w="993" w:type="dxa"/>
            <w:tcBorders>
              <w:top w:val="nil"/>
              <w:left w:val="nil"/>
              <w:bottom w:val="nil"/>
              <w:right w:val="nil"/>
            </w:tcBorders>
          </w:tcPr>
          <w:p>
            <w:pPr>
              <w:pStyle w:val="Tabulkatext"/>
              <w:widowControl/>
              <w:suppressAutoHyphens w:val="true"/>
              <w:rPr>
                <w:kern w:val="0"/>
                <w:lang w:val="cs-CZ" w:bidi="ar-SA"/>
              </w:rPr>
            </w:pPr>
            <w:r>
              <w:rPr>
                <w:kern w:val="0"/>
                <w:lang w:val="cs-CZ" w:bidi="ar-SA"/>
              </w:rPr>
              <w:t>349 Kč</w:t>
            </w:r>
          </w:p>
        </w:tc>
        <w:tc>
          <w:tcPr>
            <w:tcW w:w="1136" w:type="dxa"/>
            <w:tcBorders>
              <w:top w:val="nil"/>
              <w:left w:val="nil"/>
              <w:bottom w:val="nil"/>
              <w:right w:val="single" w:sz="4" w:space="0" w:color="0C1838"/>
            </w:tcBorders>
          </w:tcPr>
          <w:p>
            <w:pPr>
              <w:pStyle w:val="Tabulkatext"/>
              <w:widowControl/>
              <w:suppressAutoHyphens w:val="true"/>
              <w:rPr>
                <w:kern w:val="0"/>
                <w:lang w:val="cs-CZ" w:bidi="ar-SA"/>
              </w:rPr>
            </w:pPr>
            <w:r>
              <w:rPr>
                <w:kern w:val="0"/>
                <w:lang w:val="cs-CZ" w:bidi="ar-SA"/>
              </w:rPr>
              <w:t>349 CZK</w:t>
            </w:r>
          </w:p>
        </w:tc>
        <w:tc>
          <w:tcPr>
            <w:tcW w:w="707" w:type="dxa"/>
            <w:tcBorders>
              <w:top w:val="nil"/>
              <w:left w:val="single" w:sz="4" w:space="0" w:color="0C1838"/>
              <w:bottom w:val="nil"/>
              <w:right w:val="nil"/>
            </w:tcBorders>
          </w:tcPr>
          <w:p>
            <w:pPr>
              <w:pStyle w:val="Tabulkatext"/>
              <w:widowControl/>
              <w:suppressAutoHyphens w:val="true"/>
              <w:rPr>
                <w:kern w:val="0"/>
                <w:lang w:val="cs-CZ" w:bidi="ar-SA"/>
              </w:rPr>
            </w:pPr>
            <w:r>
              <w:rPr>
                <w:kern w:val="0"/>
                <w:lang w:val="cs-CZ" w:bidi="ar-SA"/>
              </w:rPr>
              <w:t>CZ</w:t>
            </w:r>
          </w:p>
        </w:tc>
        <w:tc>
          <w:tcPr>
            <w:tcW w:w="1135" w:type="dxa"/>
            <w:tcBorders>
              <w:top w:val="nil"/>
              <w:left w:val="nil"/>
              <w:bottom w:val="nil"/>
              <w:right w:val="nil"/>
            </w:tcBorders>
          </w:tcPr>
          <w:p>
            <w:pPr>
              <w:pStyle w:val="Tabulkatext"/>
              <w:widowControl/>
              <w:suppressAutoHyphens w:val="true"/>
              <w:rPr>
                <w:kern w:val="0"/>
                <w:lang w:val="cs-CZ" w:bidi="ar-SA"/>
              </w:rPr>
            </w:pPr>
            <w:r>
              <w:rPr>
                <w:kern w:val="0"/>
                <w:lang w:val="cs-CZ" w:bidi="ar-SA"/>
              </w:rPr>
              <w:t>O2</w:t>
            </w:r>
          </w:p>
        </w:tc>
        <w:tc>
          <w:tcPr>
            <w:tcW w:w="1418" w:type="dxa"/>
            <w:tcBorders>
              <w:top w:val="nil"/>
              <w:left w:val="nil"/>
              <w:bottom w:val="nil"/>
              <w:right w:val="nil"/>
            </w:tcBorders>
          </w:tcPr>
          <w:p>
            <w:pPr>
              <w:pStyle w:val="Tabulkatext"/>
              <w:widowControl/>
              <w:suppressAutoHyphens w:val="true"/>
              <w:rPr>
                <w:kern w:val="0"/>
                <w:lang w:val="cs-CZ" w:bidi="ar-SA"/>
              </w:rPr>
            </w:pPr>
            <w:r>
              <w:rPr>
                <w:kern w:val="0"/>
                <w:lang w:val="cs-CZ" w:bidi="ar-SA"/>
              </w:rPr>
              <w:t>YOU 3 GB dat</w:t>
            </w:r>
          </w:p>
        </w:tc>
        <w:tc>
          <w:tcPr>
            <w:tcW w:w="3111" w:type="dxa"/>
            <w:tcBorders>
              <w:top w:val="nil"/>
              <w:left w:val="nil"/>
              <w:bottom w:val="nil"/>
              <w:right w:val="nil"/>
            </w:tcBorders>
          </w:tcPr>
          <w:p>
            <w:pPr>
              <w:pStyle w:val="Tabulkatext"/>
              <w:widowControl/>
              <w:suppressAutoHyphens w:val="true"/>
              <w:rPr>
                <w:kern w:val="0"/>
                <w:lang w:val="cs-CZ" w:bidi="ar-SA"/>
              </w:rPr>
            </w:pPr>
            <w:r>
              <w:rPr>
                <w:kern w:val="0"/>
                <w:lang w:val="cs-CZ" w:bidi="ar-SA"/>
              </w:rPr>
              <w:t>120 minut, SMS placené mimo síť O2, 3 GB, pro mladé</w:t>
            </w:r>
          </w:p>
        </w:tc>
      </w:tr>
      <w:tr>
        <w:trPr/>
        <w:tc>
          <w:tcPr>
            <w:tcW w:w="560" w:type="dxa"/>
            <w:tcBorders>
              <w:top w:val="nil"/>
              <w:left w:val="nil"/>
              <w:bottom w:val="nil"/>
              <w:right w:val="nil"/>
            </w:tcBorders>
          </w:tcPr>
          <w:p>
            <w:pPr>
              <w:pStyle w:val="Tabulkatext"/>
              <w:widowControl/>
              <w:suppressAutoHyphens w:val="true"/>
              <w:rPr>
                <w:kern w:val="0"/>
                <w:lang w:val="cs-CZ" w:bidi="ar-SA"/>
              </w:rPr>
            </w:pPr>
            <w:r>
              <w:rPr>
                <w:kern w:val="0"/>
                <w:lang w:val="cs-CZ" w:bidi="ar-SA"/>
              </w:rPr>
              <w:t>345.</w:t>
            </w:r>
          </w:p>
        </w:tc>
        <w:tc>
          <w:tcPr>
            <w:tcW w:w="993" w:type="dxa"/>
            <w:tcBorders>
              <w:top w:val="nil"/>
              <w:left w:val="nil"/>
              <w:bottom w:val="nil"/>
              <w:right w:val="nil"/>
            </w:tcBorders>
          </w:tcPr>
          <w:p>
            <w:pPr>
              <w:pStyle w:val="Tabulkatext"/>
              <w:widowControl/>
              <w:suppressAutoHyphens w:val="true"/>
              <w:rPr>
                <w:kern w:val="0"/>
                <w:lang w:val="cs-CZ" w:bidi="ar-SA"/>
              </w:rPr>
            </w:pPr>
            <w:r>
              <w:rPr>
                <w:kern w:val="0"/>
                <w:lang w:val="cs-CZ" w:bidi="ar-SA"/>
              </w:rPr>
              <w:t>344 Kč</w:t>
            </w:r>
          </w:p>
        </w:tc>
        <w:tc>
          <w:tcPr>
            <w:tcW w:w="1136" w:type="dxa"/>
            <w:tcBorders>
              <w:top w:val="nil"/>
              <w:left w:val="nil"/>
              <w:bottom w:val="nil"/>
              <w:right w:val="single" w:sz="4" w:space="0" w:color="0C1838"/>
            </w:tcBorders>
          </w:tcPr>
          <w:p>
            <w:pPr>
              <w:pStyle w:val="Tabulkatext"/>
              <w:widowControl/>
              <w:suppressAutoHyphens w:val="true"/>
              <w:rPr>
                <w:kern w:val="0"/>
                <w:lang w:val="cs-CZ" w:bidi="ar-SA"/>
              </w:rPr>
            </w:pPr>
            <w:r>
              <w:rPr>
                <w:kern w:val="0"/>
                <w:lang w:val="cs-CZ" w:bidi="ar-SA"/>
              </w:rPr>
              <w:t>14,10 EUR</w:t>
            </w:r>
          </w:p>
        </w:tc>
        <w:tc>
          <w:tcPr>
            <w:tcW w:w="707" w:type="dxa"/>
            <w:tcBorders>
              <w:top w:val="nil"/>
              <w:left w:val="single" w:sz="4" w:space="0" w:color="0C1838"/>
              <w:bottom w:val="nil"/>
              <w:right w:val="nil"/>
            </w:tcBorders>
          </w:tcPr>
          <w:p>
            <w:pPr>
              <w:pStyle w:val="Tabulkatext"/>
              <w:widowControl/>
              <w:suppressAutoHyphens w:val="true"/>
              <w:rPr>
                <w:kern w:val="0"/>
                <w:lang w:val="cs-CZ" w:bidi="ar-SA"/>
              </w:rPr>
            </w:pPr>
            <w:r>
              <w:rPr>
                <w:kern w:val="0"/>
                <w:lang w:val="cs-CZ" w:bidi="ar-SA"/>
              </w:rPr>
              <w:t>GR</w:t>
            </w:r>
          </w:p>
        </w:tc>
        <w:tc>
          <w:tcPr>
            <w:tcW w:w="1135" w:type="dxa"/>
            <w:tcBorders>
              <w:top w:val="nil"/>
              <w:left w:val="nil"/>
              <w:bottom w:val="nil"/>
              <w:right w:val="nil"/>
            </w:tcBorders>
          </w:tcPr>
          <w:p>
            <w:pPr>
              <w:pStyle w:val="Tabulkatext"/>
              <w:widowControl/>
              <w:suppressAutoHyphens w:val="true"/>
              <w:rPr>
                <w:kern w:val="0"/>
                <w:lang w:val="cs-CZ" w:bidi="ar-SA"/>
              </w:rPr>
            </w:pPr>
            <w:r>
              <w:rPr>
                <w:kern w:val="0"/>
                <w:lang w:val="cs-CZ" w:bidi="ar-SA"/>
              </w:rPr>
              <w:t>Vodafone</w:t>
            </w:r>
          </w:p>
        </w:tc>
        <w:tc>
          <w:tcPr>
            <w:tcW w:w="1418" w:type="dxa"/>
            <w:tcBorders>
              <w:top w:val="nil"/>
              <w:left w:val="nil"/>
              <w:bottom w:val="nil"/>
              <w:right w:val="nil"/>
            </w:tcBorders>
          </w:tcPr>
          <w:p>
            <w:pPr>
              <w:pStyle w:val="Tabulkatext"/>
              <w:widowControl/>
              <w:suppressAutoHyphens w:val="true"/>
              <w:rPr>
                <w:kern w:val="0"/>
                <w:lang w:val="cs-CZ" w:bidi="ar-SA"/>
              </w:rPr>
            </w:pPr>
            <w:r>
              <w:rPr>
                <w:kern w:val="0"/>
                <w:lang w:val="cs-CZ" w:bidi="ar-SA"/>
              </w:rPr>
              <w:t>RED 5GB</w:t>
            </w:r>
          </w:p>
        </w:tc>
        <w:tc>
          <w:tcPr>
            <w:tcW w:w="3111" w:type="dxa"/>
            <w:tcBorders>
              <w:top w:val="nil"/>
              <w:left w:val="nil"/>
              <w:bottom w:val="nil"/>
              <w:right w:val="nil"/>
            </w:tcBorders>
          </w:tcPr>
          <w:p>
            <w:pPr>
              <w:pStyle w:val="Tabulkatext"/>
              <w:widowControl/>
              <w:suppressAutoHyphens w:val="true"/>
              <w:rPr>
                <w:kern w:val="0"/>
                <w:lang w:val="cs-CZ" w:bidi="ar-SA"/>
              </w:rPr>
            </w:pPr>
            <w:r>
              <w:rPr>
                <w:kern w:val="0"/>
                <w:lang w:val="cs-CZ" w:bidi="ar-SA"/>
              </w:rPr>
              <w:t>Neomezené volání a SMS, 10 GB</w:t>
            </w:r>
          </w:p>
        </w:tc>
      </w:tr>
      <w:tr>
        <w:trPr/>
        <w:tc>
          <w:tcPr>
            <w:tcW w:w="560" w:type="dxa"/>
            <w:tcBorders>
              <w:top w:val="nil"/>
              <w:left w:val="nil"/>
              <w:bottom w:val="nil"/>
              <w:right w:val="nil"/>
            </w:tcBorders>
          </w:tcPr>
          <w:p>
            <w:pPr>
              <w:pStyle w:val="Tabulkatext"/>
              <w:widowControl/>
              <w:suppressAutoHyphens w:val="true"/>
              <w:rPr>
                <w:kern w:val="0"/>
                <w:lang w:val="cs-CZ" w:bidi="ar-SA"/>
              </w:rPr>
            </w:pPr>
            <w:r>
              <w:rPr>
                <w:kern w:val="0"/>
                <w:lang w:val="cs-CZ" w:bidi="ar-SA"/>
              </w:rPr>
              <w:t>346.</w:t>
            </w:r>
          </w:p>
        </w:tc>
        <w:tc>
          <w:tcPr>
            <w:tcW w:w="993" w:type="dxa"/>
            <w:tcBorders>
              <w:top w:val="nil"/>
              <w:left w:val="nil"/>
              <w:bottom w:val="nil"/>
              <w:right w:val="nil"/>
            </w:tcBorders>
          </w:tcPr>
          <w:p>
            <w:pPr>
              <w:pStyle w:val="Tabulkatext"/>
              <w:widowControl/>
              <w:suppressAutoHyphens w:val="true"/>
              <w:rPr>
                <w:kern w:val="0"/>
                <w:lang w:val="cs-CZ" w:bidi="ar-SA"/>
              </w:rPr>
            </w:pPr>
            <w:r>
              <w:rPr>
                <w:kern w:val="0"/>
                <w:lang w:val="cs-CZ" w:bidi="ar-SA"/>
              </w:rPr>
              <w:t>344 Kč</w:t>
            </w:r>
          </w:p>
        </w:tc>
        <w:tc>
          <w:tcPr>
            <w:tcW w:w="1136" w:type="dxa"/>
            <w:tcBorders>
              <w:top w:val="nil"/>
              <w:left w:val="nil"/>
              <w:bottom w:val="nil"/>
              <w:right w:val="single" w:sz="4" w:space="0" w:color="0C1838"/>
            </w:tcBorders>
          </w:tcPr>
          <w:p>
            <w:pPr>
              <w:pStyle w:val="Tabulkatext"/>
              <w:widowControl/>
              <w:suppressAutoHyphens w:val="true"/>
              <w:rPr>
                <w:kern w:val="0"/>
                <w:lang w:val="cs-CZ" w:bidi="ar-SA"/>
              </w:rPr>
            </w:pPr>
            <w:r>
              <w:rPr>
                <w:kern w:val="0"/>
                <w:lang w:val="cs-CZ" w:bidi="ar-SA"/>
              </w:rPr>
              <w:t>60 PLN</w:t>
            </w:r>
          </w:p>
        </w:tc>
        <w:tc>
          <w:tcPr>
            <w:tcW w:w="707" w:type="dxa"/>
            <w:tcBorders>
              <w:top w:val="nil"/>
              <w:left w:val="single" w:sz="4" w:space="0" w:color="0C1838"/>
              <w:bottom w:val="nil"/>
              <w:right w:val="nil"/>
            </w:tcBorders>
          </w:tcPr>
          <w:p>
            <w:pPr>
              <w:pStyle w:val="Tabulkatext"/>
              <w:widowControl/>
              <w:suppressAutoHyphens w:val="true"/>
              <w:rPr>
                <w:kern w:val="0"/>
                <w:lang w:val="cs-CZ" w:bidi="ar-SA"/>
              </w:rPr>
            </w:pPr>
            <w:r>
              <w:rPr>
                <w:kern w:val="0"/>
                <w:lang w:val="cs-CZ" w:bidi="ar-SA"/>
              </w:rPr>
              <w:t>PL</w:t>
            </w:r>
          </w:p>
        </w:tc>
        <w:tc>
          <w:tcPr>
            <w:tcW w:w="1135" w:type="dxa"/>
            <w:tcBorders>
              <w:top w:val="nil"/>
              <w:left w:val="nil"/>
              <w:bottom w:val="nil"/>
              <w:right w:val="nil"/>
            </w:tcBorders>
          </w:tcPr>
          <w:p>
            <w:pPr>
              <w:pStyle w:val="Tabulkatext"/>
              <w:widowControl/>
              <w:suppressAutoHyphens w:val="true"/>
              <w:rPr>
                <w:kern w:val="0"/>
                <w:lang w:val="cs-CZ" w:bidi="ar-SA"/>
              </w:rPr>
            </w:pPr>
            <w:r>
              <w:rPr>
                <w:kern w:val="0"/>
                <w:lang w:val="cs-CZ" w:bidi="ar-SA"/>
              </w:rPr>
              <w:t>Play</w:t>
            </w:r>
          </w:p>
        </w:tc>
        <w:tc>
          <w:tcPr>
            <w:tcW w:w="1418" w:type="dxa"/>
            <w:tcBorders>
              <w:top w:val="nil"/>
              <w:left w:val="nil"/>
              <w:bottom w:val="nil"/>
              <w:right w:val="nil"/>
            </w:tcBorders>
          </w:tcPr>
          <w:p>
            <w:pPr>
              <w:pStyle w:val="Tabulkatext"/>
              <w:widowControl/>
              <w:suppressAutoHyphens w:val="true"/>
              <w:rPr>
                <w:kern w:val="0"/>
                <w:lang w:val="cs-CZ" w:bidi="ar-SA"/>
              </w:rPr>
            </w:pPr>
            <w:r>
              <w:rPr>
                <w:kern w:val="0"/>
                <w:lang w:val="cs-CZ" w:bidi="ar-SA"/>
              </w:rPr>
              <w:t>Oferta S+</w:t>
            </w:r>
          </w:p>
        </w:tc>
        <w:tc>
          <w:tcPr>
            <w:tcW w:w="3111" w:type="dxa"/>
            <w:tcBorders>
              <w:top w:val="nil"/>
              <w:left w:val="nil"/>
              <w:bottom w:val="nil"/>
              <w:right w:val="nil"/>
            </w:tcBorders>
          </w:tcPr>
          <w:p>
            <w:pPr>
              <w:pStyle w:val="Tabulkatext"/>
              <w:widowControl/>
              <w:suppressAutoHyphens w:val="true"/>
              <w:rPr>
                <w:kern w:val="0"/>
                <w:lang w:val="cs-CZ" w:bidi="ar-SA"/>
              </w:rPr>
            </w:pPr>
            <w:r>
              <w:rPr>
                <w:kern w:val="0"/>
                <w:lang w:val="cs-CZ" w:bidi="ar-SA"/>
              </w:rPr>
              <w:t>Neomezené volání a SMS, 50 GB, sleva za marketingový souhlas a e-fakturu</w:t>
            </w:r>
          </w:p>
        </w:tc>
      </w:tr>
    </w:tbl>
    <w:p>
      <w:pPr>
        <w:pStyle w:val="Zdroj"/>
        <w:rPr>
          <w:lang w:val="en-GB"/>
        </w:rPr>
      </w:pPr>
      <w:r>
        <w:rPr>
          <w:lang w:val="en-GB"/>
        </w:rPr>
        <w:t>Note: The table shows order of the tariff according to the list price expressed in CZK, the list price in national currency, country, supplying operator, tariff name and the content of the tariff in Czech.</w:t>
      </w:r>
    </w:p>
    <w:p>
      <w:pPr>
        <w:pStyle w:val="Textprost"/>
        <w:rPr/>
      </w:pPr>
      <w:r>
        <w:rPr/>
        <w:t>Nejlevnějším tarifem společnosti O2 v prvním sběru dat, který Úřad provedl, byl tarif You 3 GB dat, který je určený pro mladé spotřebitele. Není tedy dostupný pro všechny spotřebitele. Z jeho posouzení je zjevné, že není jeho obsah srovnatelný ani s dalším tarifem s věkovým omezením nabízeným rakouským operátorem Drei, neboť jeho tarif je co do rozsahu spotřebovávaných služeb neomezený, byť s omezením rychlosti stahování dat. Společnost O2 nabízí v rámci svého tarifu 3 GB dat.</w:t>
      </w:r>
    </w:p>
    <w:p>
      <w:pPr>
        <w:pStyle w:val="Tabulka"/>
        <w:numPr>
          <w:ilvl w:val="0"/>
          <w:numId w:val="3"/>
        </w:numPr>
        <w:ind w:hanging="1560" w:left="1560" w:right="0"/>
        <w:rPr/>
      </w:pPr>
      <w:bookmarkStart w:id="181" w:name="_Toc229057994"/>
      <w:r>
        <w:rPr/>
        <w:t>Nejbližší cenové okolí ceníkově nejlevnějšího mobilního paušálu společnosti Vodafone ze sběru ceníkových cen č. 1</w:t>
      </w:r>
      <w:bookmarkEnd w:id="181"/>
    </w:p>
    <w:tbl>
      <w:tblPr>
        <w:tblStyle w:val="TableGrid"/>
        <w:tblW w:w="906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60"/>
        <w:gridCol w:w="993"/>
        <w:gridCol w:w="1136"/>
        <w:gridCol w:w="707"/>
        <w:gridCol w:w="1135"/>
        <w:gridCol w:w="1418"/>
        <w:gridCol w:w="3111"/>
      </w:tblGrid>
      <w:tr>
        <w:trPr/>
        <w:tc>
          <w:tcPr>
            <w:tcW w:w="560" w:type="dxa"/>
            <w:tcBorders>
              <w:top w:val="nil"/>
              <w:left w:val="nil"/>
              <w:bottom w:val="single" w:sz="4" w:space="0" w:color="0C1838"/>
              <w:right w:val="nil"/>
            </w:tcBorders>
          </w:tcPr>
          <w:p>
            <w:pPr>
              <w:pStyle w:val="Tabulkatext"/>
              <w:widowControl/>
              <w:suppressAutoHyphens w:val="true"/>
              <w:rPr>
                <w:kern w:val="0"/>
                <w:lang w:val="cs-CZ" w:bidi="ar-SA"/>
              </w:rPr>
            </w:pPr>
            <w:r>
              <w:rPr>
                <w:kern w:val="0"/>
                <w:lang w:val="cs-CZ" w:bidi="ar-SA"/>
              </w:rPr>
              <w:t>Poř.</w:t>
            </w:r>
          </w:p>
        </w:tc>
        <w:tc>
          <w:tcPr>
            <w:tcW w:w="993" w:type="dxa"/>
            <w:tcBorders>
              <w:top w:val="nil"/>
              <w:left w:val="nil"/>
              <w:bottom w:val="single" w:sz="4" w:space="0" w:color="0C1838"/>
              <w:right w:val="nil"/>
            </w:tcBorders>
          </w:tcPr>
          <w:p>
            <w:pPr>
              <w:pStyle w:val="Tabulkatext"/>
              <w:widowControl/>
              <w:suppressAutoHyphens w:val="true"/>
              <w:rPr>
                <w:kern w:val="0"/>
                <w:lang w:val="cs-CZ" w:bidi="ar-SA"/>
              </w:rPr>
            </w:pPr>
            <w:r>
              <w:rPr>
                <w:kern w:val="0"/>
                <w:lang w:val="cs-CZ" w:bidi="ar-SA"/>
              </w:rPr>
              <w:t>P_CZK</w:t>
            </w:r>
          </w:p>
        </w:tc>
        <w:tc>
          <w:tcPr>
            <w:tcW w:w="1136" w:type="dxa"/>
            <w:tcBorders>
              <w:top w:val="nil"/>
              <w:left w:val="nil"/>
              <w:bottom w:val="single" w:sz="4" w:space="0" w:color="0C1838"/>
              <w:right w:val="single" w:sz="4" w:space="0" w:color="0C1838"/>
            </w:tcBorders>
          </w:tcPr>
          <w:p>
            <w:pPr>
              <w:pStyle w:val="Tabulkatext"/>
              <w:widowControl/>
              <w:suppressAutoHyphens w:val="true"/>
              <w:rPr>
                <w:kern w:val="0"/>
                <w:lang w:val="cs-CZ" w:bidi="ar-SA"/>
              </w:rPr>
            </w:pPr>
            <w:r>
              <w:rPr>
                <w:kern w:val="0"/>
                <w:lang w:val="cs-CZ" w:bidi="ar-SA"/>
              </w:rPr>
              <w:t>P_NC</w:t>
            </w:r>
          </w:p>
        </w:tc>
        <w:tc>
          <w:tcPr>
            <w:tcW w:w="707" w:type="dxa"/>
            <w:tcBorders>
              <w:top w:val="nil"/>
              <w:left w:val="single" w:sz="4" w:space="0" w:color="0C1838"/>
              <w:bottom w:val="single" w:sz="4" w:space="0" w:color="0C1838"/>
              <w:right w:val="nil"/>
            </w:tcBorders>
          </w:tcPr>
          <w:p>
            <w:pPr>
              <w:pStyle w:val="Tabulkatext"/>
              <w:widowControl/>
              <w:suppressAutoHyphens w:val="true"/>
              <w:rPr>
                <w:kern w:val="0"/>
                <w:lang w:val="cs-CZ" w:bidi="ar-SA"/>
              </w:rPr>
            </w:pPr>
            <w:r>
              <w:rPr>
                <w:kern w:val="0"/>
                <w:lang w:val="cs-CZ" w:bidi="ar-SA"/>
              </w:rPr>
              <w:t>Stát</w:t>
            </w:r>
          </w:p>
        </w:tc>
        <w:tc>
          <w:tcPr>
            <w:tcW w:w="1135" w:type="dxa"/>
            <w:tcBorders>
              <w:top w:val="nil"/>
              <w:left w:val="nil"/>
              <w:bottom w:val="single" w:sz="4" w:space="0" w:color="0C1838"/>
              <w:right w:val="nil"/>
            </w:tcBorders>
          </w:tcPr>
          <w:p>
            <w:pPr>
              <w:pStyle w:val="Tabulkatext"/>
              <w:widowControl/>
              <w:suppressAutoHyphens w:val="true"/>
              <w:rPr>
                <w:kern w:val="0"/>
                <w:lang w:val="cs-CZ" w:bidi="ar-SA"/>
              </w:rPr>
            </w:pPr>
            <w:r>
              <w:rPr>
                <w:kern w:val="0"/>
                <w:lang w:val="cs-CZ" w:bidi="ar-SA"/>
              </w:rPr>
              <w:t>Operátor</w:t>
            </w:r>
          </w:p>
        </w:tc>
        <w:tc>
          <w:tcPr>
            <w:tcW w:w="1418" w:type="dxa"/>
            <w:tcBorders>
              <w:top w:val="nil"/>
              <w:left w:val="nil"/>
              <w:bottom w:val="single" w:sz="4" w:space="0" w:color="0C1838"/>
              <w:right w:val="nil"/>
            </w:tcBorders>
          </w:tcPr>
          <w:p>
            <w:pPr>
              <w:pStyle w:val="Tabulkatext"/>
              <w:widowControl/>
              <w:suppressAutoHyphens w:val="true"/>
              <w:rPr>
                <w:kern w:val="0"/>
                <w:lang w:val="cs-CZ" w:bidi="ar-SA"/>
              </w:rPr>
            </w:pPr>
            <w:r>
              <w:rPr>
                <w:kern w:val="0"/>
                <w:lang w:val="cs-CZ" w:bidi="ar-SA"/>
              </w:rPr>
              <w:t>Paušál</w:t>
            </w:r>
          </w:p>
        </w:tc>
        <w:tc>
          <w:tcPr>
            <w:tcW w:w="3111" w:type="dxa"/>
            <w:tcBorders>
              <w:top w:val="nil"/>
              <w:left w:val="nil"/>
              <w:bottom w:val="single" w:sz="4" w:space="0" w:color="0C1838"/>
              <w:right w:val="nil"/>
            </w:tcBorders>
          </w:tcPr>
          <w:p>
            <w:pPr>
              <w:pStyle w:val="Tabulkatext"/>
              <w:widowControl/>
              <w:suppressAutoHyphens w:val="true"/>
              <w:rPr>
                <w:kern w:val="0"/>
                <w:lang w:val="cs-CZ" w:bidi="ar-SA"/>
              </w:rPr>
            </w:pPr>
            <w:r>
              <w:rPr>
                <w:kern w:val="0"/>
                <w:lang w:val="cs-CZ" w:bidi="ar-SA"/>
              </w:rPr>
              <w:t>Obsah</w:t>
            </w:r>
          </w:p>
        </w:tc>
      </w:tr>
      <w:tr>
        <w:trPr/>
        <w:tc>
          <w:tcPr>
            <w:tcW w:w="560" w:type="dxa"/>
            <w:tcBorders>
              <w:top w:val="single" w:sz="4" w:space="0" w:color="0C1838"/>
              <w:left w:val="nil"/>
              <w:bottom w:val="nil"/>
              <w:right w:val="nil"/>
            </w:tcBorders>
          </w:tcPr>
          <w:p>
            <w:pPr>
              <w:pStyle w:val="Tabulkatext"/>
              <w:widowControl/>
              <w:suppressAutoHyphens w:val="true"/>
              <w:rPr>
                <w:kern w:val="0"/>
                <w:lang w:val="cs-CZ" w:bidi="ar-SA"/>
              </w:rPr>
            </w:pPr>
            <w:r>
              <w:rPr>
                <w:kern w:val="0"/>
                <w:lang w:val="cs-CZ" w:bidi="ar-SA"/>
              </w:rPr>
              <w:t>264.</w:t>
            </w:r>
          </w:p>
        </w:tc>
        <w:tc>
          <w:tcPr>
            <w:tcW w:w="993" w:type="dxa"/>
            <w:tcBorders>
              <w:top w:val="single" w:sz="4" w:space="0" w:color="0C1838"/>
              <w:left w:val="nil"/>
              <w:bottom w:val="nil"/>
              <w:right w:val="nil"/>
            </w:tcBorders>
          </w:tcPr>
          <w:p>
            <w:pPr>
              <w:pStyle w:val="Tabulkatext"/>
              <w:widowControl/>
              <w:suppressAutoHyphens w:val="true"/>
              <w:rPr>
                <w:kern w:val="0"/>
                <w:lang w:val="cs-CZ" w:bidi="ar-SA"/>
              </w:rPr>
            </w:pPr>
            <w:r>
              <w:rPr>
                <w:kern w:val="0"/>
                <w:lang w:val="cs-CZ" w:bidi="ar-SA"/>
              </w:rPr>
              <w:t>502 Kč</w:t>
            </w:r>
          </w:p>
        </w:tc>
        <w:tc>
          <w:tcPr>
            <w:tcW w:w="1136" w:type="dxa"/>
            <w:tcBorders>
              <w:top w:val="single" w:sz="4" w:space="0" w:color="0C1838"/>
              <w:left w:val="nil"/>
              <w:bottom w:val="nil"/>
              <w:right w:val="single" w:sz="4" w:space="0" w:color="0C1838"/>
            </w:tcBorders>
          </w:tcPr>
          <w:p>
            <w:pPr>
              <w:pStyle w:val="Tabulkatext"/>
              <w:widowControl/>
              <w:suppressAutoHyphens w:val="true"/>
              <w:rPr>
                <w:kern w:val="0"/>
                <w:lang w:val="cs-CZ" w:bidi="ar-SA"/>
              </w:rPr>
            </w:pPr>
            <w:r>
              <w:rPr>
                <w:kern w:val="0"/>
                <w:lang w:val="cs-CZ" w:bidi="ar-SA"/>
              </w:rPr>
              <w:t>20,61 EUR</w:t>
            </w:r>
          </w:p>
        </w:tc>
        <w:tc>
          <w:tcPr>
            <w:tcW w:w="707" w:type="dxa"/>
            <w:tcBorders>
              <w:top w:val="single" w:sz="4" w:space="0" w:color="0C1838"/>
              <w:left w:val="single" w:sz="4" w:space="0" w:color="0C1838"/>
              <w:bottom w:val="nil"/>
              <w:right w:val="nil"/>
            </w:tcBorders>
          </w:tcPr>
          <w:p>
            <w:pPr>
              <w:pStyle w:val="Tabulkatext"/>
              <w:widowControl/>
              <w:suppressAutoHyphens w:val="true"/>
              <w:rPr>
                <w:kern w:val="0"/>
                <w:lang w:val="cs-CZ" w:bidi="ar-SA"/>
              </w:rPr>
            </w:pPr>
            <w:r>
              <w:rPr>
                <w:kern w:val="0"/>
                <w:lang w:val="cs-CZ" w:bidi="ar-SA"/>
              </w:rPr>
              <w:t>HR</w:t>
            </w:r>
          </w:p>
        </w:tc>
        <w:tc>
          <w:tcPr>
            <w:tcW w:w="1135" w:type="dxa"/>
            <w:tcBorders>
              <w:top w:val="single" w:sz="4" w:space="0" w:color="0C1838"/>
              <w:left w:val="nil"/>
              <w:bottom w:val="nil"/>
              <w:right w:val="nil"/>
            </w:tcBorders>
          </w:tcPr>
          <w:p>
            <w:pPr>
              <w:pStyle w:val="Tabulkatext"/>
              <w:widowControl/>
              <w:suppressAutoHyphens w:val="true"/>
              <w:rPr>
                <w:kern w:val="0"/>
                <w:lang w:val="cs-CZ" w:bidi="ar-SA"/>
              </w:rPr>
            </w:pPr>
            <w:r>
              <w:rPr>
                <w:kern w:val="0"/>
                <w:lang w:val="cs-CZ" w:bidi="ar-SA"/>
              </w:rPr>
              <w:t>Hrvatski Telekom</w:t>
            </w:r>
          </w:p>
        </w:tc>
        <w:tc>
          <w:tcPr>
            <w:tcW w:w="1418" w:type="dxa"/>
            <w:tcBorders>
              <w:top w:val="single" w:sz="4" w:space="0" w:color="0C1838"/>
              <w:left w:val="nil"/>
              <w:bottom w:val="nil"/>
              <w:right w:val="nil"/>
            </w:tcBorders>
          </w:tcPr>
          <w:p>
            <w:pPr>
              <w:pStyle w:val="Tabulkatext"/>
              <w:widowControl/>
              <w:suppressAutoHyphens w:val="true"/>
              <w:rPr>
                <w:kern w:val="0"/>
                <w:lang w:val="cs-CZ" w:bidi="ar-SA"/>
              </w:rPr>
            </w:pPr>
            <w:r>
              <w:rPr>
                <w:kern w:val="0"/>
                <w:lang w:val="cs-CZ" w:bidi="ar-SA"/>
              </w:rPr>
              <w:t>S</w:t>
            </w:r>
          </w:p>
        </w:tc>
        <w:tc>
          <w:tcPr>
            <w:tcW w:w="3111" w:type="dxa"/>
            <w:tcBorders>
              <w:top w:val="single" w:sz="4" w:space="0" w:color="0C1838"/>
              <w:left w:val="nil"/>
              <w:bottom w:val="nil"/>
              <w:right w:val="nil"/>
            </w:tcBorders>
          </w:tcPr>
          <w:p>
            <w:pPr>
              <w:pStyle w:val="Tabulkatext"/>
              <w:widowControl/>
              <w:suppressAutoHyphens w:val="true"/>
              <w:rPr>
                <w:kern w:val="0"/>
                <w:lang w:val="cs-CZ" w:bidi="ar-SA"/>
              </w:rPr>
            </w:pPr>
            <w:r>
              <w:rPr>
                <w:kern w:val="0"/>
                <w:lang w:val="cs-CZ" w:bidi="ar-SA"/>
              </w:rPr>
              <w:t>1 000 minut a SMS, 25 GB</w:t>
            </w:r>
          </w:p>
        </w:tc>
      </w:tr>
      <w:tr>
        <w:trPr/>
        <w:tc>
          <w:tcPr>
            <w:tcW w:w="560" w:type="dxa"/>
            <w:tcBorders>
              <w:top w:val="nil"/>
              <w:left w:val="nil"/>
              <w:bottom w:val="nil"/>
              <w:right w:val="nil"/>
            </w:tcBorders>
          </w:tcPr>
          <w:p>
            <w:pPr>
              <w:pStyle w:val="Tabulkatext"/>
              <w:widowControl/>
              <w:suppressAutoHyphens w:val="true"/>
              <w:rPr>
                <w:kern w:val="0"/>
                <w:lang w:val="cs-CZ" w:bidi="ar-SA"/>
              </w:rPr>
            </w:pPr>
            <w:r>
              <w:rPr>
                <w:kern w:val="0"/>
                <w:lang w:val="cs-CZ" w:bidi="ar-SA"/>
              </w:rPr>
              <w:t>265.</w:t>
            </w:r>
          </w:p>
        </w:tc>
        <w:tc>
          <w:tcPr>
            <w:tcW w:w="993" w:type="dxa"/>
            <w:tcBorders>
              <w:top w:val="nil"/>
              <w:left w:val="nil"/>
              <w:bottom w:val="nil"/>
              <w:right w:val="nil"/>
            </w:tcBorders>
          </w:tcPr>
          <w:p>
            <w:pPr>
              <w:pStyle w:val="Tabulkatext"/>
              <w:widowControl/>
              <w:suppressAutoHyphens w:val="true"/>
              <w:rPr>
                <w:kern w:val="0"/>
                <w:lang w:val="cs-CZ" w:bidi="ar-SA"/>
              </w:rPr>
            </w:pPr>
            <w:r>
              <w:rPr>
                <w:kern w:val="0"/>
                <w:lang w:val="cs-CZ" w:bidi="ar-SA"/>
              </w:rPr>
              <w:t>499 Kč</w:t>
            </w:r>
          </w:p>
        </w:tc>
        <w:tc>
          <w:tcPr>
            <w:tcW w:w="1136" w:type="dxa"/>
            <w:tcBorders>
              <w:top w:val="nil"/>
              <w:left w:val="nil"/>
              <w:bottom w:val="nil"/>
              <w:right w:val="single" w:sz="4" w:space="0" w:color="0C1838"/>
            </w:tcBorders>
          </w:tcPr>
          <w:p>
            <w:pPr>
              <w:pStyle w:val="Tabulkatext"/>
              <w:widowControl/>
              <w:suppressAutoHyphens w:val="true"/>
              <w:rPr>
                <w:kern w:val="0"/>
                <w:lang w:val="cs-CZ" w:bidi="ar-SA"/>
              </w:rPr>
            </w:pPr>
            <w:r>
              <w:rPr>
                <w:kern w:val="0"/>
                <w:lang w:val="cs-CZ" w:bidi="ar-SA"/>
              </w:rPr>
              <w:t>499 CZK</w:t>
            </w:r>
          </w:p>
        </w:tc>
        <w:tc>
          <w:tcPr>
            <w:tcW w:w="707" w:type="dxa"/>
            <w:tcBorders>
              <w:top w:val="nil"/>
              <w:left w:val="single" w:sz="4" w:space="0" w:color="0C1838"/>
              <w:bottom w:val="nil"/>
              <w:right w:val="nil"/>
            </w:tcBorders>
          </w:tcPr>
          <w:p>
            <w:pPr>
              <w:pStyle w:val="Tabulkatext"/>
              <w:widowControl/>
              <w:suppressAutoHyphens w:val="true"/>
              <w:rPr>
                <w:kern w:val="0"/>
                <w:lang w:val="cs-CZ" w:bidi="ar-SA"/>
              </w:rPr>
            </w:pPr>
            <w:r>
              <w:rPr>
                <w:kern w:val="0"/>
                <w:lang w:val="cs-CZ" w:bidi="ar-SA"/>
              </w:rPr>
              <w:t>CZ</w:t>
            </w:r>
          </w:p>
        </w:tc>
        <w:tc>
          <w:tcPr>
            <w:tcW w:w="1135" w:type="dxa"/>
            <w:tcBorders>
              <w:top w:val="nil"/>
              <w:left w:val="nil"/>
              <w:bottom w:val="nil"/>
              <w:right w:val="nil"/>
            </w:tcBorders>
          </w:tcPr>
          <w:p>
            <w:pPr>
              <w:pStyle w:val="Tabulkatext"/>
              <w:widowControl/>
              <w:suppressAutoHyphens w:val="true"/>
              <w:rPr>
                <w:kern w:val="0"/>
                <w:lang w:val="cs-CZ" w:bidi="ar-SA"/>
              </w:rPr>
            </w:pPr>
            <w:r>
              <w:rPr>
                <w:kern w:val="0"/>
                <w:lang w:val="cs-CZ" w:bidi="ar-SA"/>
              </w:rPr>
              <w:t>O2</w:t>
            </w:r>
          </w:p>
        </w:tc>
        <w:tc>
          <w:tcPr>
            <w:tcW w:w="1418" w:type="dxa"/>
            <w:tcBorders>
              <w:top w:val="nil"/>
              <w:left w:val="nil"/>
              <w:bottom w:val="nil"/>
              <w:right w:val="nil"/>
            </w:tcBorders>
          </w:tcPr>
          <w:p>
            <w:pPr>
              <w:pStyle w:val="Tabulkatext"/>
              <w:widowControl/>
              <w:suppressAutoHyphens w:val="true"/>
              <w:rPr>
                <w:kern w:val="0"/>
                <w:lang w:val="cs-CZ" w:bidi="ar-SA"/>
              </w:rPr>
            </w:pPr>
            <w:r>
              <w:rPr>
                <w:kern w:val="0"/>
                <w:lang w:val="cs-CZ" w:bidi="ar-SA"/>
              </w:rPr>
              <w:t>YOU 10 GB dat</w:t>
            </w:r>
          </w:p>
        </w:tc>
        <w:tc>
          <w:tcPr>
            <w:tcW w:w="3111" w:type="dxa"/>
            <w:tcBorders>
              <w:top w:val="nil"/>
              <w:left w:val="nil"/>
              <w:bottom w:val="nil"/>
              <w:right w:val="nil"/>
            </w:tcBorders>
          </w:tcPr>
          <w:p>
            <w:pPr>
              <w:pStyle w:val="Tabulkatext"/>
              <w:widowControl/>
              <w:suppressAutoHyphens w:val="true"/>
              <w:rPr>
                <w:kern w:val="0"/>
                <w:lang w:val="cs-CZ" w:bidi="ar-SA"/>
              </w:rPr>
            </w:pPr>
            <w:r>
              <w:rPr>
                <w:kern w:val="0"/>
                <w:lang w:val="cs-CZ" w:bidi="ar-SA"/>
              </w:rPr>
              <w:t>Neomezené volání a SMS, 10 GB</w:t>
            </w:r>
          </w:p>
        </w:tc>
      </w:tr>
      <w:tr>
        <w:trPr/>
        <w:tc>
          <w:tcPr>
            <w:tcW w:w="560" w:type="dxa"/>
            <w:tcBorders>
              <w:top w:val="nil"/>
              <w:left w:val="nil"/>
              <w:bottom w:val="nil"/>
              <w:right w:val="nil"/>
            </w:tcBorders>
          </w:tcPr>
          <w:p>
            <w:pPr>
              <w:pStyle w:val="Tabulkatext"/>
              <w:widowControl/>
              <w:suppressAutoHyphens w:val="true"/>
              <w:rPr>
                <w:kern w:val="0"/>
                <w:lang w:val="cs-CZ" w:bidi="ar-SA"/>
              </w:rPr>
            </w:pPr>
            <w:r>
              <w:rPr>
                <w:kern w:val="0"/>
                <w:lang w:val="cs-CZ" w:bidi="ar-SA"/>
              </w:rPr>
              <w:t>266.</w:t>
            </w:r>
          </w:p>
        </w:tc>
        <w:tc>
          <w:tcPr>
            <w:tcW w:w="993" w:type="dxa"/>
            <w:tcBorders>
              <w:top w:val="nil"/>
              <w:left w:val="nil"/>
              <w:bottom w:val="nil"/>
              <w:right w:val="nil"/>
            </w:tcBorders>
          </w:tcPr>
          <w:p>
            <w:pPr>
              <w:pStyle w:val="Tabulkatext"/>
              <w:widowControl/>
              <w:suppressAutoHyphens w:val="true"/>
              <w:rPr>
                <w:kern w:val="0"/>
                <w:lang w:val="cs-CZ" w:bidi="ar-SA"/>
              </w:rPr>
            </w:pPr>
            <w:r>
              <w:rPr>
                <w:kern w:val="0"/>
                <w:lang w:val="cs-CZ" w:bidi="ar-SA"/>
              </w:rPr>
              <w:t>499 Kč</w:t>
            </w:r>
          </w:p>
        </w:tc>
        <w:tc>
          <w:tcPr>
            <w:tcW w:w="1136" w:type="dxa"/>
            <w:tcBorders>
              <w:top w:val="nil"/>
              <w:left w:val="nil"/>
              <w:bottom w:val="nil"/>
              <w:right w:val="single" w:sz="4" w:space="0" w:color="0C1838"/>
            </w:tcBorders>
          </w:tcPr>
          <w:p>
            <w:pPr>
              <w:pStyle w:val="Tabulkatext"/>
              <w:widowControl/>
              <w:suppressAutoHyphens w:val="true"/>
              <w:rPr>
                <w:kern w:val="0"/>
                <w:lang w:val="cs-CZ" w:bidi="ar-SA"/>
              </w:rPr>
            </w:pPr>
            <w:r>
              <w:rPr>
                <w:kern w:val="0"/>
                <w:lang w:val="cs-CZ" w:bidi="ar-SA"/>
              </w:rPr>
              <w:t>499 CZK</w:t>
            </w:r>
          </w:p>
        </w:tc>
        <w:tc>
          <w:tcPr>
            <w:tcW w:w="707" w:type="dxa"/>
            <w:tcBorders>
              <w:top w:val="nil"/>
              <w:left w:val="single" w:sz="4" w:space="0" w:color="0C1838"/>
              <w:bottom w:val="nil"/>
              <w:right w:val="nil"/>
            </w:tcBorders>
          </w:tcPr>
          <w:p>
            <w:pPr>
              <w:pStyle w:val="Tabulkatext"/>
              <w:widowControl/>
              <w:suppressAutoHyphens w:val="true"/>
              <w:rPr>
                <w:kern w:val="0"/>
                <w:lang w:val="cs-CZ" w:bidi="ar-SA"/>
              </w:rPr>
            </w:pPr>
            <w:r>
              <w:rPr>
                <w:kern w:val="0"/>
                <w:lang w:val="cs-CZ" w:bidi="ar-SA"/>
              </w:rPr>
              <w:t>CZ</w:t>
            </w:r>
          </w:p>
        </w:tc>
        <w:tc>
          <w:tcPr>
            <w:tcW w:w="1135" w:type="dxa"/>
            <w:tcBorders>
              <w:top w:val="nil"/>
              <w:left w:val="nil"/>
              <w:bottom w:val="nil"/>
              <w:right w:val="nil"/>
            </w:tcBorders>
          </w:tcPr>
          <w:p>
            <w:pPr>
              <w:pStyle w:val="Tabulkatext"/>
              <w:widowControl/>
              <w:suppressAutoHyphens w:val="true"/>
              <w:rPr>
                <w:kern w:val="0"/>
                <w:lang w:val="cs-CZ" w:bidi="ar-SA"/>
              </w:rPr>
            </w:pPr>
            <w:r>
              <w:rPr>
                <w:kern w:val="0"/>
                <w:lang w:val="cs-CZ" w:bidi="ar-SA"/>
              </w:rPr>
              <w:t>Vodafone</w:t>
            </w:r>
          </w:p>
        </w:tc>
        <w:tc>
          <w:tcPr>
            <w:tcW w:w="1418" w:type="dxa"/>
            <w:tcBorders>
              <w:top w:val="nil"/>
              <w:left w:val="nil"/>
              <w:bottom w:val="nil"/>
              <w:right w:val="nil"/>
            </w:tcBorders>
          </w:tcPr>
          <w:p>
            <w:pPr>
              <w:pStyle w:val="Tabulkatext"/>
              <w:widowControl/>
              <w:suppressAutoHyphens w:val="true"/>
              <w:rPr>
                <w:kern w:val="0"/>
                <w:lang w:val="cs-CZ" w:bidi="ar-SA"/>
              </w:rPr>
            </w:pPr>
            <w:r>
              <w:rPr>
                <w:kern w:val="0"/>
                <w:lang w:val="cs-CZ" w:bidi="ar-SA"/>
              </w:rPr>
              <w:t>sLimitem S</w:t>
            </w:r>
          </w:p>
        </w:tc>
        <w:tc>
          <w:tcPr>
            <w:tcW w:w="3111" w:type="dxa"/>
            <w:tcBorders>
              <w:top w:val="nil"/>
              <w:left w:val="nil"/>
              <w:bottom w:val="nil"/>
              <w:right w:val="nil"/>
            </w:tcBorders>
          </w:tcPr>
          <w:p>
            <w:pPr>
              <w:pStyle w:val="Tabulkatext"/>
              <w:widowControl/>
              <w:suppressAutoHyphens w:val="true"/>
              <w:rPr>
                <w:kern w:val="0"/>
                <w:lang w:val="cs-CZ" w:bidi="ar-SA"/>
              </w:rPr>
            </w:pPr>
            <w:r>
              <w:rPr>
                <w:kern w:val="0"/>
                <w:lang w:val="cs-CZ" w:bidi="ar-SA"/>
              </w:rPr>
              <w:t>Neomezené volání a SMS, 5 GB</w:t>
            </w:r>
          </w:p>
        </w:tc>
      </w:tr>
      <w:tr>
        <w:trPr/>
        <w:tc>
          <w:tcPr>
            <w:tcW w:w="560" w:type="dxa"/>
            <w:tcBorders>
              <w:top w:val="nil"/>
              <w:left w:val="nil"/>
              <w:bottom w:val="nil"/>
              <w:right w:val="nil"/>
            </w:tcBorders>
          </w:tcPr>
          <w:p>
            <w:pPr>
              <w:pStyle w:val="Tabulkatext"/>
              <w:widowControl/>
              <w:suppressAutoHyphens w:val="true"/>
              <w:rPr>
                <w:kern w:val="0"/>
                <w:lang w:val="cs-CZ" w:bidi="ar-SA"/>
              </w:rPr>
            </w:pPr>
            <w:r>
              <w:rPr>
                <w:kern w:val="0"/>
                <w:lang w:val="cs-CZ" w:bidi="ar-SA"/>
              </w:rPr>
              <w:t>267.</w:t>
            </w:r>
          </w:p>
        </w:tc>
        <w:tc>
          <w:tcPr>
            <w:tcW w:w="993" w:type="dxa"/>
            <w:tcBorders>
              <w:top w:val="nil"/>
              <w:left w:val="nil"/>
              <w:bottom w:val="nil"/>
              <w:right w:val="nil"/>
            </w:tcBorders>
          </w:tcPr>
          <w:p>
            <w:pPr>
              <w:pStyle w:val="Tabulkatext"/>
              <w:widowControl/>
              <w:suppressAutoHyphens w:val="true"/>
              <w:rPr>
                <w:kern w:val="0"/>
                <w:lang w:val="cs-CZ" w:bidi="ar-SA"/>
              </w:rPr>
            </w:pPr>
            <w:r>
              <w:rPr>
                <w:kern w:val="0"/>
                <w:lang w:val="cs-CZ" w:bidi="ar-SA"/>
              </w:rPr>
              <w:t>488 Kč</w:t>
            </w:r>
          </w:p>
        </w:tc>
        <w:tc>
          <w:tcPr>
            <w:tcW w:w="1136" w:type="dxa"/>
            <w:tcBorders>
              <w:top w:val="nil"/>
              <w:left w:val="nil"/>
              <w:bottom w:val="nil"/>
              <w:right w:val="single" w:sz="4" w:space="0" w:color="0C1838"/>
            </w:tcBorders>
          </w:tcPr>
          <w:p>
            <w:pPr>
              <w:pStyle w:val="Tabulkatext"/>
              <w:widowControl/>
              <w:suppressAutoHyphens w:val="true"/>
              <w:rPr>
                <w:kern w:val="0"/>
                <w:lang w:val="cs-CZ" w:bidi="ar-SA"/>
              </w:rPr>
            </w:pPr>
            <w:r>
              <w:rPr>
                <w:kern w:val="0"/>
                <w:lang w:val="cs-CZ" w:bidi="ar-SA"/>
              </w:rPr>
              <w:t>20 EUR</w:t>
            </w:r>
          </w:p>
        </w:tc>
        <w:tc>
          <w:tcPr>
            <w:tcW w:w="707" w:type="dxa"/>
            <w:tcBorders>
              <w:top w:val="nil"/>
              <w:left w:val="single" w:sz="4" w:space="0" w:color="0C1838"/>
              <w:bottom w:val="nil"/>
              <w:right w:val="nil"/>
            </w:tcBorders>
          </w:tcPr>
          <w:p>
            <w:pPr>
              <w:pStyle w:val="Tabulkatext"/>
              <w:widowControl/>
              <w:suppressAutoHyphens w:val="true"/>
              <w:rPr>
                <w:kern w:val="0"/>
                <w:lang w:val="cs-CZ" w:bidi="ar-SA"/>
              </w:rPr>
            </w:pPr>
            <w:r>
              <w:rPr>
                <w:kern w:val="0"/>
                <w:lang w:val="cs-CZ" w:bidi="ar-SA"/>
              </w:rPr>
              <w:t>SK</w:t>
            </w:r>
          </w:p>
        </w:tc>
        <w:tc>
          <w:tcPr>
            <w:tcW w:w="1135" w:type="dxa"/>
            <w:tcBorders>
              <w:top w:val="nil"/>
              <w:left w:val="nil"/>
              <w:bottom w:val="nil"/>
              <w:right w:val="nil"/>
            </w:tcBorders>
          </w:tcPr>
          <w:p>
            <w:pPr>
              <w:pStyle w:val="Tabulkatext"/>
              <w:widowControl/>
              <w:suppressAutoHyphens w:val="true"/>
              <w:rPr>
                <w:kern w:val="0"/>
                <w:lang w:val="cs-CZ" w:bidi="ar-SA"/>
              </w:rPr>
            </w:pPr>
            <w:r>
              <w:rPr>
                <w:kern w:val="0"/>
                <w:lang w:val="cs-CZ" w:bidi="ar-SA"/>
              </w:rPr>
              <w:t>Orange</w:t>
            </w:r>
          </w:p>
        </w:tc>
        <w:tc>
          <w:tcPr>
            <w:tcW w:w="1418" w:type="dxa"/>
            <w:tcBorders>
              <w:top w:val="nil"/>
              <w:left w:val="nil"/>
              <w:bottom w:val="nil"/>
              <w:right w:val="nil"/>
            </w:tcBorders>
          </w:tcPr>
          <w:p>
            <w:pPr>
              <w:pStyle w:val="Tabulkatext"/>
              <w:widowControl/>
              <w:suppressAutoHyphens w:val="true"/>
              <w:rPr>
                <w:kern w:val="0"/>
                <w:lang w:val="cs-CZ" w:bidi="ar-SA"/>
              </w:rPr>
            </w:pPr>
            <w:r>
              <w:rPr>
                <w:kern w:val="0"/>
                <w:lang w:val="cs-CZ" w:bidi="ar-SA"/>
              </w:rPr>
              <w:t>Yoxo</w:t>
            </w:r>
          </w:p>
        </w:tc>
        <w:tc>
          <w:tcPr>
            <w:tcW w:w="3111" w:type="dxa"/>
            <w:tcBorders>
              <w:top w:val="nil"/>
              <w:left w:val="nil"/>
              <w:bottom w:val="nil"/>
              <w:right w:val="nil"/>
            </w:tcBorders>
          </w:tcPr>
          <w:p>
            <w:pPr>
              <w:pStyle w:val="Tabulkatext"/>
              <w:widowControl/>
              <w:suppressAutoHyphens w:val="true"/>
              <w:rPr>
                <w:kern w:val="0"/>
                <w:lang w:val="cs-CZ" w:bidi="ar-SA"/>
              </w:rPr>
            </w:pPr>
            <w:r>
              <w:rPr>
                <w:kern w:val="0"/>
                <w:lang w:val="cs-CZ" w:bidi="ar-SA"/>
              </w:rPr>
              <w:t>Neomezený, snížení rychlosti po 100 GB, ISIC / ITIC / EURO&lt;26 sleva</w:t>
            </w:r>
          </w:p>
        </w:tc>
      </w:tr>
      <w:tr>
        <w:trPr/>
        <w:tc>
          <w:tcPr>
            <w:tcW w:w="560" w:type="dxa"/>
            <w:tcBorders>
              <w:top w:val="nil"/>
              <w:left w:val="nil"/>
              <w:bottom w:val="nil"/>
              <w:right w:val="nil"/>
            </w:tcBorders>
          </w:tcPr>
          <w:p>
            <w:pPr>
              <w:pStyle w:val="Tabulkatext"/>
              <w:widowControl/>
              <w:suppressAutoHyphens w:val="true"/>
              <w:rPr>
                <w:kern w:val="0"/>
                <w:lang w:val="cs-CZ" w:bidi="ar-SA"/>
              </w:rPr>
            </w:pPr>
            <w:r>
              <w:rPr>
                <w:kern w:val="0"/>
                <w:lang w:val="cs-CZ" w:bidi="ar-SA"/>
              </w:rPr>
              <w:t>268.</w:t>
            </w:r>
          </w:p>
        </w:tc>
        <w:tc>
          <w:tcPr>
            <w:tcW w:w="993" w:type="dxa"/>
            <w:tcBorders>
              <w:top w:val="nil"/>
              <w:left w:val="nil"/>
              <w:bottom w:val="nil"/>
              <w:right w:val="nil"/>
            </w:tcBorders>
          </w:tcPr>
          <w:p>
            <w:pPr>
              <w:pStyle w:val="Tabulkatext"/>
              <w:widowControl/>
              <w:suppressAutoHyphens w:val="true"/>
              <w:rPr>
                <w:kern w:val="0"/>
                <w:lang w:val="cs-CZ" w:bidi="ar-SA"/>
              </w:rPr>
            </w:pPr>
            <w:r>
              <w:rPr>
                <w:kern w:val="0"/>
                <w:lang w:val="cs-CZ" w:bidi="ar-SA"/>
              </w:rPr>
              <w:t>488 Kč</w:t>
            </w:r>
          </w:p>
        </w:tc>
        <w:tc>
          <w:tcPr>
            <w:tcW w:w="1136" w:type="dxa"/>
            <w:tcBorders>
              <w:top w:val="nil"/>
              <w:left w:val="nil"/>
              <w:bottom w:val="nil"/>
              <w:right w:val="single" w:sz="4" w:space="0" w:color="0C1838"/>
            </w:tcBorders>
          </w:tcPr>
          <w:p>
            <w:pPr>
              <w:pStyle w:val="Tabulkatext"/>
              <w:widowControl/>
              <w:suppressAutoHyphens w:val="true"/>
              <w:rPr>
                <w:kern w:val="0"/>
                <w:lang w:val="cs-CZ" w:bidi="ar-SA"/>
              </w:rPr>
            </w:pPr>
            <w:r>
              <w:rPr>
                <w:kern w:val="0"/>
                <w:lang w:val="cs-CZ" w:bidi="ar-SA"/>
              </w:rPr>
              <w:t>20 EUR</w:t>
            </w:r>
          </w:p>
        </w:tc>
        <w:tc>
          <w:tcPr>
            <w:tcW w:w="707" w:type="dxa"/>
            <w:tcBorders>
              <w:top w:val="nil"/>
              <w:left w:val="single" w:sz="4" w:space="0" w:color="0C1838"/>
              <w:bottom w:val="nil"/>
              <w:right w:val="nil"/>
            </w:tcBorders>
          </w:tcPr>
          <w:p>
            <w:pPr>
              <w:pStyle w:val="Tabulkatext"/>
              <w:widowControl/>
              <w:suppressAutoHyphens w:val="true"/>
              <w:rPr>
                <w:kern w:val="0"/>
                <w:lang w:val="cs-CZ" w:bidi="ar-SA"/>
              </w:rPr>
            </w:pPr>
            <w:r>
              <w:rPr>
                <w:kern w:val="0"/>
                <w:lang w:val="cs-CZ" w:bidi="ar-SA"/>
              </w:rPr>
              <w:t>BE</w:t>
            </w:r>
          </w:p>
        </w:tc>
        <w:tc>
          <w:tcPr>
            <w:tcW w:w="1135" w:type="dxa"/>
            <w:tcBorders>
              <w:top w:val="nil"/>
              <w:left w:val="nil"/>
              <w:bottom w:val="nil"/>
              <w:right w:val="nil"/>
            </w:tcBorders>
          </w:tcPr>
          <w:p>
            <w:pPr>
              <w:pStyle w:val="Tabulkatext"/>
              <w:widowControl/>
              <w:suppressAutoHyphens w:val="true"/>
              <w:rPr>
                <w:kern w:val="0"/>
                <w:lang w:val="cs-CZ" w:bidi="ar-SA"/>
              </w:rPr>
            </w:pPr>
            <w:r>
              <w:rPr>
                <w:kern w:val="0"/>
                <w:lang w:val="cs-CZ" w:bidi="ar-SA"/>
              </w:rPr>
              <w:t>Base / Telenet</w:t>
            </w:r>
          </w:p>
        </w:tc>
        <w:tc>
          <w:tcPr>
            <w:tcW w:w="1418" w:type="dxa"/>
            <w:tcBorders>
              <w:top w:val="nil"/>
              <w:left w:val="nil"/>
              <w:bottom w:val="nil"/>
              <w:right w:val="nil"/>
            </w:tcBorders>
          </w:tcPr>
          <w:p>
            <w:pPr>
              <w:pStyle w:val="Tabulkatext"/>
              <w:widowControl/>
              <w:suppressAutoHyphens w:val="true"/>
              <w:rPr>
                <w:kern w:val="0"/>
                <w:lang w:val="cs-CZ" w:bidi="ar-SA"/>
              </w:rPr>
            </w:pPr>
            <w:r>
              <w:rPr>
                <w:kern w:val="0"/>
                <w:lang w:val="cs-CZ" w:bidi="ar-SA"/>
              </w:rPr>
              <w:t>Base 20</w:t>
            </w:r>
          </w:p>
        </w:tc>
        <w:tc>
          <w:tcPr>
            <w:tcW w:w="3111" w:type="dxa"/>
            <w:tcBorders>
              <w:top w:val="nil"/>
              <w:left w:val="nil"/>
              <w:bottom w:val="nil"/>
              <w:right w:val="nil"/>
            </w:tcBorders>
          </w:tcPr>
          <w:p>
            <w:pPr>
              <w:pStyle w:val="Tabulkatext"/>
              <w:widowControl/>
              <w:suppressAutoHyphens w:val="true"/>
              <w:rPr>
                <w:kern w:val="0"/>
                <w:lang w:val="cs-CZ" w:bidi="ar-SA"/>
              </w:rPr>
            </w:pPr>
            <w:r>
              <w:rPr>
                <w:kern w:val="0"/>
                <w:lang w:val="cs-CZ" w:bidi="ar-SA"/>
              </w:rPr>
              <w:t>Neomezené volání a SMS, 50 GB</w:t>
            </w:r>
          </w:p>
        </w:tc>
      </w:tr>
    </w:tbl>
    <w:p>
      <w:pPr>
        <w:pStyle w:val="Textprost"/>
        <w:rPr/>
      </w:pPr>
      <w:r>
        <w:rPr/>
        <w:t>Nejlevnější tarif společnosti Vodafone je nabízen všem spotřebitelům a obsahuje 5 GB dat. Úřad poukazuje na to, že zahraniční operátoři v rámci volných dat nabízejí 25 nebo 50 GB a slovenský Orange 100 GB, avšak se snížením rychlosti po vyčerpání daného objemu dat. V přímé domácí konkurenci proti tarifu společnosti Vodafone stojí tarif společnosti O2, který při téže ceně nabízí o 5 GB mobilních dat více. Úřad však oba tarify považuje za nedostatečné při stejné nominální paritě, a to nejen se státy v bývalé východní Evropě (konkrétně Chorvatsko a Slovensko), ale i s tarifem ze západní Evropy (Belgie).</w:t>
      </w:r>
    </w:p>
    <w:p>
      <w:pPr>
        <w:pStyle w:val="Tabulka"/>
        <w:numPr>
          <w:ilvl w:val="0"/>
          <w:numId w:val="3"/>
        </w:numPr>
        <w:ind w:hanging="1560" w:left="1560" w:right="0"/>
        <w:rPr/>
      </w:pPr>
      <w:bookmarkStart w:id="182" w:name="_Toc229057995"/>
      <w:r>
        <w:rPr/>
        <w:t>Nejbližší cenové okolí ceníkově nejlevnějšího mobilního paušálu společnosti T-Mobile ze sběru ceníkových cen č. 2</w:t>
      </w:r>
      <w:bookmarkEnd w:id="182"/>
    </w:p>
    <w:p>
      <w:pPr>
        <w:pStyle w:val="Textprost"/>
        <w:rPr/>
      </w:pPr>
      <w:r>
        <w:rPr/>
      </w:r>
    </w:p>
    <w:p>
      <w:pPr>
        <w:pStyle w:val="Textprost"/>
        <w:rPr/>
      </w:pPr>
      <w:r>
        <w:rPr/>
      </w:r>
    </w:p>
    <w:p>
      <w:pPr>
        <w:pStyle w:val="Tabulka"/>
        <w:numPr>
          <w:ilvl w:val="0"/>
          <w:numId w:val="3"/>
        </w:numPr>
        <w:ind w:hanging="1560" w:left="1560" w:right="0"/>
        <w:rPr/>
      </w:pPr>
      <w:bookmarkStart w:id="183" w:name="_Toc229057996"/>
      <w:r>
        <w:rPr/>
        <w:t>Nejbližší cenové okolí ceníkově nejlevnějšího mobilního paušálu společnosti O2 ze sběru ceníkových cen č. 2</w:t>
      </w:r>
      <w:bookmarkEnd w:id="183"/>
    </w:p>
    <w:p>
      <w:pPr>
        <w:pStyle w:val="Textprost"/>
        <w:rPr/>
      </w:pPr>
      <w:r>
        <w:rPr/>
      </w:r>
    </w:p>
    <w:p>
      <w:pPr>
        <w:pStyle w:val="Textprost"/>
        <w:rPr/>
      </w:pPr>
      <w:r>
        <w:rPr/>
      </w:r>
    </w:p>
    <w:p>
      <w:pPr>
        <w:pStyle w:val="Tabulka"/>
        <w:numPr>
          <w:ilvl w:val="0"/>
          <w:numId w:val="3"/>
        </w:numPr>
        <w:ind w:hanging="1560" w:left="1560" w:right="0"/>
        <w:rPr/>
      </w:pPr>
      <w:bookmarkStart w:id="184" w:name="_Toc229057997"/>
      <w:r>
        <w:rPr/>
        <w:t>Nejbližší cenové okolí ceníkově nejlevnějšího mobilního paušálu společnosti Vodafone ze sběru ceníkových cen č. 2</w:t>
      </w:r>
      <w:bookmarkEnd w:id="184"/>
    </w:p>
    <w:p>
      <w:pPr>
        <w:pStyle w:val="Textprost"/>
        <w:rPr/>
      </w:pPr>
      <w:r>
        <w:rPr/>
      </w:r>
    </w:p>
    <w:p>
      <w:pPr>
        <w:pStyle w:val="Zvradu"/>
        <w:numPr>
          <w:ilvl w:val="0"/>
          <w:numId w:val="11"/>
        </w:numPr>
        <w:ind w:hanging="578" w:left="283" w:right="284"/>
        <w:rPr/>
      </w:pPr>
      <w:bookmarkStart w:id="185" w:name="_Toc226560435"/>
      <w:r>
        <w:rPr/>
        <w:t xml:space="preserve">Na základě posouzení obsahu nabízených mobilních paušálů Úřad dospěl k závěru, že </w:t>
      </w:r>
      <w:r>
        <w:rPr>
          <w:b/>
          <w:bCs/>
        </w:rPr>
        <w:t>české mobilní paušály dosahují nominální cenové parity zejména s mobilními paušály nabízenými v západní Evropě, přičemž i tak jejich obsah často zaostává</w:t>
      </w:r>
      <w:r>
        <w:rPr/>
        <w:t xml:space="preserve"> za obsahem mobilních paušálů nabízených operátory v těchto zemích západní Evropy.</w:t>
      </w:r>
      <w:bookmarkEnd w:id="185"/>
    </w:p>
    <w:p>
      <w:pPr>
        <w:pStyle w:val="ZvraduvAJ"/>
        <w:ind w:hanging="0" w:left="284" w:right="284"/>
        <w:rPr>
          <w:lang w:val="en-GB"/>
        </w:rPr>
      </w:pPr>
      <w:r>
        <w:rPr>
          <w:lang w:val="en-GB" w:eastAsia="cs-CZ"/>
        </w:rPr>
        <w:t>Based on its assessment of the content of the mobile tariff plans offered, the Office has concluded that Czech mobile tariff plans achieve nominal price parity particularly with mobile tariff plans offered in Western Europe, while their content often still lags behind the content of mobile tariff plans provided by operators in those Western European countries.</w:t>
      </w:r>
    </w:p>
    <w:p>
      <w:pPr>
        <w:pStyle w:val="Textprost"/>
        <w:rPr/>
      </w:pPr>
      <w:r>
        <w:rPr/>
        <w:t xml:space="preserve">Toto zjištění Úřadu není nijak překvapivé s ohledem na předchozí kvantitativní posouzení, která Úřad provedl. Nicméně umožnilo zohlednit i detaily a nuance, které v kvantitativních modelech zachyceny nebyly jako např. zkoumání, které státy a s jakým konkrétním obsahem mobilních služeb se nachází v okolí nominální cenové parity. Byť v tomto okolí převažovaly služby nabízené v západní Evropě, tak obsah českých paušálů často zaostával za obsahem nabízeným v západní Evropě. S ohledem na rozdílnou nákladovou úroveň zároveň nelze shledat objektivní důvody pro zjištěný stav na nákladové straně zkoumaného podnikání. Tomuto aspektu se však detailněji věnuje část </w:t>
      </w:r>
      <w:commentRangeStart w:id="37"/>
      <w:r>
        <w:rPr/>
        <w:t>XXX</w:t>
      </w:r>
      <w:r>
        <w:rPr/>
      </w:r>
      <w:commentRangeEnd w:id="37"/>
      <w:r>
        <w:commentReference w:id="37"/>
      </w:r>
      <w:r>
        <w:rPr/>
        <w:t>.</w:t>
      </w:r>
    </w:p>
    <w:p>
      <w:pPr>
        <w:pStyle w:val="Heading3"/>
        <w:ind w:hanging="1134" w:left="142" w:right="284"/>
        <w:rPr/>
      </w:pPr>
      <w:bookmarkStart w:id="186" w:name="_Toc229057855"/>
      <w:r>
        <w:rPr/>
        <w:t xml:space="preserve">Kvantitativní posouzení relativní cenové úrovně ceníkových cen </w:t>
      </w:r>
      <w:commentRangeStart w:id="38"/>
      <w:r>
        <w:rPr>
          <w:i/>
          <w:iCs/>
        </w:rPr>
        <w:t>pre-paid</w:t>
      </w:r>
      <w:r>
        <w:rPr/>
        <w:t xml:space="preserve"> </w:t>
      </w:r>
      <w:r>
        <w:rPr/>
      </w:r>
      <w:commentRangeEnd w:id="38"/>
      <w:r>
        <w:commentReference w:id="38"/>
      </w:r>
      <w:r>
        <w:rPr/>
        <w:t>mobilních služeb v </w:t>
      </w:r>
      <w:bookmarkEnd w:id="186"/>
      <w:r>
        <w:rPr/>
        <w:t>ČR</w:t>
      </w:r>
    </w:p>
    <w:p>
      <w:pPr>
        <w:pStyle w:val="Textprost"/>
        <w:rPr/>
      </w:pPr>
      <w:r>
        <w:rPr/>
      </w:r>
    </w:p>
    <w:p>
      <w:pPr>
        <w:pStyle w:val="Heading3"/>
        <w:ind w:hanging="1134" w:left="142" w:right="284"/>
        <w:rPr/>
      </w:pPr>
      <w:bookmarkStart w:id="187" w:name="_Toc229057856"/>
      <w:r>
        <w:rPr/>
        <w:t>Posouzení relativní cenové variability ceníkových cen</w:t>
      </w:r>
      <w:bookmarkEnd w:id="187"/>
    </w:p>
    <w:p>
      <w:pPr>
        <w:pStyle w:val="Textprost"/>
        <w:rPr/>
      </w:pPr>
      <w:r>
        <w:rPr/>
        <w:t>Vzhledem k tomu, že Úřad disponoval vlastním datasetem zachycujícím ceníkové ceny mobilních telekomunikačních služeb ve státech Evropské unie, rozhodl se s ohledem na náznaky získané z veřejných zdrojů ověřit i variabilitu a rozptyl cen v jednotlivých státech a relativně tak posoudit situaci v ČR.</w:t>
      </w:r>
    </w:p>
    <w:p>
      <w:pPr>
        <w:pStyle w:val="Textkol"/>
        <w:rPr/>
      </w:pPr>
      <w:r>
        <w:rPr/>
        <w:t>Jardo, něco bych v measure nastřelil a nechal bych to pak doklepnout tebe</w:t>
      </w:r>
      <w:r>
        <w:rPr>
          <w:rFonts w:eastAsia="Segoe UI Emoji" w:cs="Segoe UI Emoji" w:ascii="Segoe UI Emoji" w:hAnsi="Segoe UI Emoji"/>
        </w:rPr>
        <w:t>😊</w:t>
      </w:r>
    </w:p>
    <w:p>
      <w:pPr>
        <w:pStyle w:val="Textkol"/>
        <w:rPr/>
      </w:pPr>
      <w:r>
        <w:rPr/>
        <w:t>Jak daleko jsou od sebe paušály (obsahem) a jak je na tom rozdělení cen? Pokud by se ukázalo, že ceníková cenová konkurence je malá (nejbližší ceny konkurentů a jejich rozdíl vyjádřený v procentech – asi bych se nezalamoval ekonometrickým modelem – lze ukázat v grafu), určitě využijeme v následujícím textu</w:t>
      </w:r>
    </w:p>
    <w:p>
      <w:pPr>
        <w:pStyle w:val="Textkol"/>
        <w:rPr/>
      </w:pPr>
      <w:r>
        <w:rPr/>
        <w:t>Jinými slovy zkoumáme tvrzení „rozdíl je 4 koruny mezi srovnatelnými paušály“ a „vždyť mají skoro stejné ceny“</w:t>
      </w:r>
    </w:p>
    <w:p>
      <w:pPr>
        <w:pStyle w:val="Textkol"/>
        <w:rPr/>
      </w:pPr>
      <w:r>
        <w:rPr/>
        <w:t>Bude asi vhodné ceny naklastrovat do 3 skupin – nejnižší, nejvyšší a zbytek; a měřit to po klastrech?</w:t>
      </w:r>
    </w:p>
    <w:p>
      <w:pPr>
        <w:pStyle w:val="Graf"/>
        <w:numPr>
          <w:ilvl w:val="0"/>
          <w:numId w:val="2"/>
        </w:numPr>
        <w:ind w:hanging="1418" w:left="1418" w:right="0"/>
        <w:rPr/>
      </w:pPr>
      <w:bookmarkStart w:id="188" w:name="_Toc229058030"/>
      <w:r>
        <w:rPr/>
        <w:t>Min, max a medián ceníkových cen mobilních tarifů ze sběru č. 1 dle států</w:t>
      </w:r>
      <w:bookmarkEnd w:id="188"/>
    </w:p>
    <w:p>
      <w:pPr>
        <w:pStyle w:val="Graftabulka"/>
        <w:rPr/>
      </w:pPr>
      <w:r>
        <w:rPr/>
        <w:t>[[%img{“filename“:“img/European_comparison/List_prices_variability/min_max.png“}]]</w:t>
      </w:r>
    </w:p>
    <w:p>
      <w:pPr>
        <w:pStyle w:val="Textprost"/>
        <w:rPr/>
      </w:pPr>
      <w:r>
        <w:rPr/>
      </w:r>
    </w:p>
    <w:p>
      <w:pPr>
        <w:pStyle w:val="Textprost"/>
        <w:rPr/>
      </w:pPr>
      <w:r>
        <w:rPr/>
        <w:t>Jak bylo uvedeno výše, byl v ČR zjištěn druhý nejdražší tarif v EU. Z Grafu č. XXX plyne, že v ČR byla zjištěna i třetí nejvyšší mediánová ceníková cena za Švédskem a Dánskem. Nejnižší zjištěna ceníková cena mobilního tarifu pak v ČR patřila spíše k těm vyšším. Na druhou stranu se situace v ČR nijak nevymyká absencí mobilního tarifu za extrémně nízkou cenu (pozorovaného např. ve Francii, na Slovensku nebo v Rumunsku. Tyto extrémně levné tarify chybí i v jiných členských státech EU</w:t>
      </w:r>
    </w:p>
    <w:p>
      <w:pPr>
        <w:pStyle w:val="Graf"/>
        <w:numPr>
          <w:ilvl w:val="0"/>
          <w:numId w:val="2"/>
        </w:numPr>
        <w:ind w:hanging="1418" w:left="1418" w:right="0"/>
        <w:rPr/>
      </w:pPr>
      <w:bookmarkStart w:id="189" w:name="_Toc229058031"/>
      <w:r>
        <w:rPr/>
        <w:t>Min, max a medián ceníkových cen mobilních tarifů ze sběru č. 2 dle států</w:t>
      </w:r>
      <w:bookmarkEnd w:id="189"/>
    </w:p>
    <w:p>
      <w:pPr>
        <w:pStyle w:val="Graftabulka"/>
        <w:rPr/>
      </w:pPr>
      <w:r>
        <w:rPr/>
        <w:t>[[%img{“filename“:“img/European_comparison/List_prices_variability/min_max_02.png“}]]</w:t>
      </w:r>
    </w:p>
    <w:p>
      <w:pPr>
        <w:pStyle w:val="Textprost"/>
        <w:rPr/>
      </w:pPr>
      <w:r>
        <w:rPr/>
        <w:t>Detailnější popisnou statistiku Úřad k prvnímu sběru ceníkových cen neuvádí. Nicméně Graf č. XXX uvádí interkvartilové rozpětí Úřadem zjištěných ceníkových cen.</w:t>
      </w:r>
    </w:p>
    <w:p>
      <w:pPr>
        <w:pStyle w:val="Graf"/>
        <w:numPr>
          <w:ilvl w:val="0"/>
          <w:numId w:val="2"/>
        </w:numPr>
        <w:ind w:hanging="1418" w:left="1418" w:right="0"/>
        <w:rPr/>
      </w:pPr>
      <w:bookmarkStart w:id="190" w:name="_Toc229058032"/>
      <w:r>
        <w:rPr/>
        <w:t>Interkvartilové rozpětí ceníkových cen mobilních služeb ze sběru č. 1</w:t>
      </w:r>
      <w:bookmarkEnd w:id="190"/>
    </w:p>
    <w:p>
      <w:pPr>
        <w:pStyle w:val="Graftabulka"/>
        <w:rPr/>
      </w:pPr>
      <w:r>
        <w:rPr/>
        <w:t>[[%img{“filename“:“img/European_comparison/List_prices_variability/IQR.png“}]]</w:t>
      </w:r>
    </w:p>
    <w:p>
      <w:pPr>
        <w:pStyle w:val="Textprost"/>
        <w:rPr/>
      </w:pPr>
      <w:r>
        <w:rPr/>
        <w:t xml:space="preserve">Na výše od uvedeného srovnání základních statistik, interkvartilové rozpětí statisticky umožňuje zmapovat cenové rozpětí nabízených tarifů určených běžnému zákazníkovi. Pro každou zemi bylo vynecháno 25 % nejlevnějších a 25 % nejdražších cenových tarifů. Ve zbylém souboru odpovídající polovině pozorování pro každou zemi, pak byl vypočten rozdíl mezi nejnižší a nejvyšší cenou, tj, interkvartilové rozpětí. Z grafu vyplývá, že Česko společně se sousedními státy, vyjma Polska, patří mezi evropské státy, kde je heterogenita jednotlivých tarifů více cenově odstupňována.  Naopak s výrazně nejnižším cenové rozpětí v obou provedených sběrech skončila Itálie, kde rozdíl cenového rozpětí je až 10násobně nižší v porovnání se státy s nejvyšší cenovou diferencí.  </w:t>
      </w:r>
    </w:p>
    <w:p>
      <w:pPr>
        <w:pStyle w:val="Graf"/>
        <w:numPr>
          <w:ilvl w:val="0"/>
          <w:numId w:val="2"/>
        </w:numPr>
        <w:ind w:hanging="1418" w:left="1418" w:right="0"/>
        <w:rPr/>
      </w:pPr>
      <w:bookmarkStart w:id="191" w:name="_Toc229058033"/>
      <w:r>
        <w:rPr/>
        <w:t>Interkvartilové rozpětí ceníkových cen mobilních služeb ze sběru č. 2</w:t>
      </w:r>
      <w:bookmarkEnd w:id="191"/>
    </w:p>
    <w:p>
      <w:pPr>
        <w:pStyle w:val="Graftabulka"/>
        <w:rPr/>
      </w:pPr>
      <w:r>
        <w:rPr/>
        <w:t>[[%img{“filename“:“img/European_comparison/List_prices_variability/IQR_02.png“}]]</w:t>
      </w:r>
    </w:p>
    <w:p>
      <w:pPr>
        <w:pStyle w:val="Textprost"/>
        <w:rPr/>
      </w:pPr>
      <w:r>
        <w:rPr/>
        <w:t>Při srovnání obou sběrů lze sledovat tendenci průměrnému cenovému sbližování běžných tarifů. Došlo, až na výjimky</w:t>
      </w:r>
      <w:r>
        <w:rPr>
          <w:rStyle w:val="FootnoteReference"/>
        </w:rPr>
        <w:footnoteReference w:id="138"/>
      </w:r>
      <w:r>
        <w:rPr/>
        <w:t>, i k lehkému přeuspořádání zemí v rámci srovnávaného pořadí od nejvyšší cenové diference po tu nejmenší. Celkově je tak možné evropský trh mobilních pre-paid služeb hodnotit jako dynamický.</w:t>
      </w:r>
    </w:p>
    <w:p>
      <w:pPr>
        <w:pStyle w:val="Textprost"/>
        <w:rPr/>
      </w:pPr>
      <w:r>
        <w:rPr/>
      </w:r>
    </w:p>
    <w:p>
      <w:pPr>
        <w:pStyle w:val="Textprost"/>
        <w:rPr/>
      </w:pPr>
      <w:r>
        <w:rPr/>
      </w:r>
    </w:p>
    <w:p>
      <w:pPr>
        <w:pStyle w:val="Textprost"/>
        <w:rPr/>
      </w:pPr>
      <w:r>
        <w:rPr/>
        <w:t>Při posuzování relativní cenové variability Úřad dále vypočítal pro každý zkoumaný tarif z prvního sběru údajů procentní vzdálenost od nejbližší cenové nabídky konkurenta. Tyto údaje jsou zachyceny v Grafu č. XXX.</w:t>
      </w:r>
    </w:p>
    <w:p>
      <w:pPr>
        <w:pStyle w:val="Graf"/>
        <w:numPr>
          <w:ilvl w:val="0"/>
          <w:numId w:val="2"/>
        </w:numPr>
        <w:ind w:hanging="1418" w:left="1418" w:right="0"/>
        <w:rPr/>
      </w:pPr>
      <w:bookmarkStart w:id="192" w:name="_Toc229058034"/>
      <w:r>
        <w:rPr/>
        <w:t>Rozdíl od cenově nejbližší nabídky národních konkurentů v datech ze sběru č. 1 (v %)</w:t>
      </w:r>
      <w:bookmarkEnd w:id="192"/>
    </w:p>
    <w:p>
      <w:pPr>
        <w:pStyle w:val="Graftabulka"/>
        <w:rPr/>
      </w:pPr>
      <w:r>
        <w:rPr/>
        <w:t>[[%img{“filename“:“img/European_comparison/List_prices_variability/01_konkurencni_tarif_prc.png“}]]</w:t>
      </w:r>
    </w:p>
    <w:p>
      <w:pPr>
        <w:pStyle w:val="Textprost"/>
        <w:rPr/>
      </w:pPr>
      <w:r>
        <w:rPr/>
      </w:r>
    </w:p>
    <w:p>
      <w:pPr>
        <w:pStyle w:val="Textprost"/>
        <w:rPr/>
      </w:pPr>
      <w:r>
        <w:rPr/>
        <w:t>Velké procentní rozdíly jsou dány existencí již výše uvedených extrémně levných tarifů, od kterých je nejbližší cenová nabídka konkurentů výrazně daleko. Situace v ČR je rozprostřena od nulových rozdílů (uprostřed grafu) vyjadřujících identickou cenovou nabídku konkurenta až po rozdíly v řádu zhruba kolem 10 %. Jelikož jsou rozdíly zhruba rovnoměrně rozprostřeny, dospěl Úřad k závěru, že neplatí tvrzení, že všichni operátoři nabízí „za stejné ceny“, které rezonuje ve veřejném prostoru. Z pohledu rozdílů cenových nabídek mezi konkurenty se tedy ve zkoumané oblasti neděje nic, co by se významněji odchylovalo od situace v EU.</w:t>
      </w:r>
    </w:p>
    <w:p>
      <w:pPr>
        <w:pStyle w:val="Textprost"/>
        <w:rPr/>
      </w:pPr>
      <w:r>
        <w:rPr/>
      </w:r>
    </w:p>
    <w:p>
      <w:pPr>
        <w:pStyle w:val="Graf"/>
        <w:numPr>
          <w:ilvl w:val="0"/>
          <w:numId w:val="2"/>
        </w:numPr>
        <w:ind w:hanging="1418" w:left="1418" w:right="0"/>
        <w:rPr/>
      </w:pPr>
      <w:bookmarkStart w:id="193" w:name="_Toc229058035"/>
      <w:r>
        <w:rPr/>
        <w:t>Rozdíl od cenově nejbližší nabídky národních konkurentů v datech ze sběru č. 2 (v %)</w:t>
      </w:r>
      <w:bookmarkEnd w:id="193"/>
    </w:p>
    <w:p>
      <w:pPr>
        <w:pStyle w:val="Graftabulka"/>
        <w:rPr/>
      </w:pPr>
      <w:r>
        <w:rPr/>
        <w:t>[[%img{“filename“:“img/European_comparison/List_prices_variability/02_konkurencni_tarif_prc.png“}]]</w:t>
      </w:r>
    </w:p>
    <w:p>
      <w:pPr>
        <w:pStyle w:val="Textprost"/>
        <w:rPr/>
      </w:pPr>
      <w:r>
        <w:rPr/>
      </w:r>
    </w:p>
    <w:p>
      <w:pPr>
        <w:pStyle w:val="Textkol"/>
        <w:rPr/>
      </w:pPr>
      <w:r>
        <w:rPr/>
        <w:t>Naklastrovat a srovnat prům, min a max v klustrech. Vyřešit i nějaký scatter plot s čr separé</w:t>
      </w:r>
    </w:p>
    <w:p>
      <w:pPr>
        <w:pStyle w:val="Textprost"/>
        <w:rPr/>
      </w:pPr>
      <w:r>
        <w:rPr/>
      </w:r>
    </w:p>
    <w:p>
      <w:pPr>
        <w:pStyle w:val="Graf"/>
        <w:numPr>
          <w:ilvl w:val="0"/>
          <w:numId w:val="2"/>
        </w:numPr>
        <w:ind w:hanging="1418" w:left="1418" w:right="0"/>
        <w:rPr/>
      </w:pPr>
      <w:bookmarkStart w:id="194" w:name="_Toc229058036"/>
      <w:r>
        <w:rPr/>
        <w:t>Cenový průměr identifikovaných shluků ceníkových cen ze sběru č. 1 dle jednotlivých států (v CZK)</w:t>
      </w:r>
      <w:bookmarkEnd w:id="194"/>
    </w:p>
    <w:p>
      <w:pPr>
        <w:pStyle w:val="Graftabulka"/>
        <w:rPr/>
      </w:pPr>
      <w:r>
        <w:rPr/>
        <w:t>[[%img{“filename“:“img/European_comparison/List_prices_variability/clusters.png“}]]</w:t>
      </w:r>
    </w:p>
    <w:p>
      <w:pPr>
        <w:pStyle w:val="Textprost"/>
        <w:rPr/>
      </w:pPr>
      <w:r>
        <w:rPr/>
      </w:r>
    </w:p>
    <w:p>
      <w:pPr>
        <w:pStyle w:val="Textprost"/>
        <w:rPr/>
      </w:pPr>
      <w:r>
        <w:rPr/>
      </w:r>
    </w:p>
    <w:p>
      <w:pPr>
        <w:pStyle w:val="Graf"/>
        <w:numPr>
          <w:ilvl w:val="0"/>
          <w:numId w:val="2"/>
        </w:numPr>
        <w:ind w:hanging="1418" w:left="1418" w:right="0"/>
        <w:rPr/>
      </w:pPr>
      <w:bookmarkStart w:id="195" w:name="_Toc229058037"/>
      <w:r>
        <w:rPr/>
        <w:t>Cenový průměr identifikovaných shluků ceníkových cen ze sběru č. 2 dle jednotlivých států (v CZK)</w:t>
      </w:r>
      <w:bookmarkEnd w:id="195"/>
    </w:p>
    <w:p>
      <w:pPr>
        <w:pStyle w:val="Graftabulka"/>
        <w:rPr/>
      </w:pPr>
      <w:r>
        <w:rPr/>
        <w:t>[[%img{“filename“:“img/European_comparison/List_prices_variability/clusters_02.png“}]]</w:t>
      </w:r>
    </w:p>
    <w:p>
      <w:pPr>
        <w:pStyle w:val="Textprost"/>
        <w:rPr/>
      </w:pPr>
      <w:r>
        <w:rPr/>
      </w:r>
    </w:p>
    <w:p>
      <w:pPr>
        <w:pStyle w:val="Textprost"/>
        <w:rPr/>
      </w:pPr>
      <w:r>
        <w:rPr/>
      </w:r>
    </w:p>
    <w:p>
      <w:pPr>
        <w:pStyle w:val="Textprost"/>
        <w:rPr/>
      </w:pPr>
      <w:r>
        <w:rPr/>
      </w:r>
    </w:p>
    <w:p>
      <w:pPr>
        <w:pStyle w:val="Heading3"/>
        <w:ind w:hanging="1134" w:left="142" w:right="284"/>
        <w:rPr/>
      </w:pPr>
      <w:bookmarkStart w:id="196" w:name="_Toc229057857"/>
      <w:r>
        <w:rPr/>
        <w:t>Relativní cenová mezera a informační funkce cen</w:t>
      </w:r>
      <w:bookmarkEnd w:id="196"/>
    </w:p>
    <w:p>
      <w:pPr>
        <w:pStyle w:val="Textkol"/>
        <w:rPr/>
      </w:pPr>
      <w:r>
        <w:rPr/>
        <w:t>P_CZK a ARPU(EU); stigler 1961, Hayek 1945, Tirole 1988; akerlof 1977; Armstrong 2006 (retence nejsou tržní ceny); Grossman a Stiglitz 1980 narušení informační funkce</w:t>
      </w:r>
    </w:p>
    <w:p>
      <w:pPr>
        <w:pStyle w:val="Textprost"/>
        <w:rPr/>
      </w:pPr>
      <w:r>
        <w:rPr/>
      </w:r>
    </w:p>
    <w:p>
      <w:pPr>
        <w:pStyle w:val="Textprost"/>
        <w:rPr/>
      </w:pPr>
      <w:r>
        <w:rPr/>
        <w:t>Úřad v prvním kroku přistoupil ke zkoumání rozdílu mezi průměrnou ceníkovou cenou mobilních tarifů ze sběru č. 02 a údaje ARPU zveřejněného organizací BEREC. Takto zjištěný rozdíl ve státech EU ilustruje Graf č. XXX.</w:t>
      </w:r>
    </w:p>
    <w:p>
      <w:pPr>
        <w:pStyle w:val="Graf"/>
        <w:numPr>
          <w:ilvl w:val="0"/>
          <w:numId w:val="2"/>
        </w:numPr>
        <w:ind w:hanging="1418" w:left="1418" w:right="0"/>
        <w:rPr/>
      </w:pPr>
      <w:bookmarkStart w:id="197" w:name="_Toc229058038"/>
      <w:r>
        <w:rPr/>
        <w:t>Rozdíl průměrné ceníkové ceny a ARPU v EU</w:t>
      </w:r>
      <w:bookmarkEnd w:id="197"/>
    </w:p>
    <w:p>
      <w:pPr>
        <w:pStyle w:val="Graftabulka"/>
        <w:rPr/>
      </w:pPr>
      <w:r>
        <w:rPr/>
        <w:t>[[%img{“filename“:“img/European_comparison/ARPU_price_gap/bar_P_gap_avg.png“}]]</w:t>
      </w:r>
    </w:p>
    <w:p>
      <w:pPr>
        <w:pStyle w:val="Textprost"/>
        <w:rPr/>
      </w:pPr>
      <w:r>
        <w:rPr/>
        <w:t>Byť je takto zjištěný rozdíl největší právě v ČR, nepřikládá tomuto výsledku Úřad významnou váhu, neboť výsledek může být zkreslen několika faktory, jako např. počtem a druhem Úřadem zjištěných ceníkových cen mobilních tarifů napříč Evropou, lokální koupěschopností atp. Toto lze částečně ošetřit srovnáním ARPU s nejvyšší a nejnižší ceníkovou cenou zjištěnou v daném státě, což zachycují grafy č. XXX a XXX.</w:t>
      </w:r>
    </w:p>
    <w:p>
      <w:pPr>
        <w:pStyle w:val="Graf"/>
        <w:numPr>
          <w:ilvl w:val="0"/>
          <w:numId w:val="2"/>
        </w:numPr>
        <w:ind w:hanging="1418" w:left="1418" w:right="0"/>
        <w:rPr/>
      </w:pPr>
      <w:bookmarkStart w:id="198" w:name="_Toc229058039"/>
      <w:r>
        <w:rPr/>
        <w:t>Rozdíl nejvyšší zjištěné ceníkové ceny a ARPU v EU</w:t>
      </w:r>
      <w:bookmarkEnd w:id="198"/>
    </w:p>
    <w:p>
      <w:pPr>
        <w:pStyle w:val="Graftabulka"/>
        <w:rPr/>
      </w:pPr>
      <w:r>
        <w:rPr/>
        <w:t>[[%img{“filename“:“img/European_comparison/ARPU_price_gap/bar_P_gap_max.png“}]]</w:t>
      </w:r>
    </w:p>
    <w:p>
      <w:pPr>
        <w:pStyle w:val="Textprost"/>
        <w:rPr/>
      </w:pPr>
      <w:r>
        <w:rPr/>
        <w:t xml:space="preserve">Česká republika společně se Slovenskem patří ke dvěma státům s největší vzdáleností nejdražšího mobilního tarifu od průměrného maloobchodního příjmu operátorů za poskytování mobilních služeb. Tento rozdíl společně s Německem, Irskem a Maltou přesahuje 1 250,- Kč. K tomu však Úřad podotýká, v této cenové vzdálenosti od ARPU však obsah nabízených služeb není srovnatelný, jak dokazuje část </w:t>
      </w:r>
      <w:commentRangeStart w:id="39"/>
      <w:r>
        <w:rPr/>
        <w:t>XXX</w:t>
      </w:r>
      <w:r>
        <w:rPr/>
      </w:r>
      <w:commentRangeEnd w:id="39"/>
      <w:r>
        <w:commentReference w:id="39"/>
      </w:r>
      <w:r>
        <w:rPr/>
        <w:t>.</w:t>
      </w:r>
    </w:p>
    <w:p>
      <w:pPr>
        <w:pStyle w:val="Graf"/>
        <w:numPr>
          <w:ilvl w:val="0"/>
          <w:numId w:val="2"/>
        </w:numPr>
        <w:ind w:hanging="1418" w:left="1418" w:right="0"/>
        <w:rPr/>
      </w:pPr>
      <w:bookmarkStart w:id="199" w:name="_Toc229058040"/>
      <w:r>
        <w:rPr/>
        <w:t>Rozdíl mezi nejnižší zjištěné ceníkové ceny a ARPU v EU</w:t>
      </w:r>
      <w:bookmarkEnd w:id="199"/>
    </w:p>
    <w:p>
      <w:pPr>
        <w:pStyle w:val="Graftabulka"/>
        <w:rPr/>
      </w:pPr>
      <w:r>
        <w:rPr/>
        <w:t>[[%img{“filename“:“img/European_comparison/ARPU_price_gap/bar_P_gap_min.png“}]]</w:t>
      </w:r>
    </w:p>
    <w:p>
      <w:pPr>
        <w:pStyle w:val="Textprost"/>
        <w:rPr/>
      </w:pPr>
      <w:r>
        <w:rPr/>
        <w:t>Česká republika zároveň patří k 7 státům EU, ve kterých není možné získat mobilní tarif za ceníkovou cenu nižší než je ARPU (společně s Bulharskem, Maltou, Irskem, Německem, Polskem a Chorvatskem). Pokud je průměrná veličina pod nejnižší ceníkovou cenou, nelze situaci interpretovat jinak než, že významná část tržních transakcí je před trhem skryta, a tedy že informační funkce tržních cen erodovala za únosnou míru, neboť současně platí, že většina služeb je poskytována tarifním zákazníkům ve formě post-paid služeb.</w:t>
      </w:r>
      <w:r>
        <w:rPr>
          <w:rStyle w:val="FootnoteReference"/>
        </w:rPr>
        <w:footnoteReference w:id="139"/>
      </w:r>
    </w:p>
    <w:p>
      <w:pPr>
        <w:pStyle w:val="Textprost"/>
        <w:rPr/>
      </w:pPr>
      <w:r>
        <w:rPr/>
      </w:r>
    </w:p>
    <w:p>
      <w:pPr>
        <w:pStyle w:val="Heading3"/>
        <w:ind w:hanging="1134" w:left="142" w:right="284"/>
        <w:rPr/>
      </w:pPr>
      <w:bookmarkStart w:id="200" w:name="_Toc229057858"/>
      <w:commentRangeStart w:id="40"/>
      <w:r>
        <w:rPr/>
        <w:t>Vnímání kvality nabízených mobilních služeb a jeho odraz ve veřejném prostoru</w:t>
      </w:r>
      <w:bookmarkEnd w:id="200"/>
      <w:commentRangeEnd w:id="40"/>
      <w:r>
        <w:commentReference w:id="40"/>
      </w:r>
      <w:r>
        <w:rPr/>
      </w:r>
    </w:p>
    <w:p>
      <w:pPr>
        <w:pStyle w:val="Textkol"/>
        <w:rPr/>
      </w:pPr>
      <w:r>
        <w:rPr/>
        <w:t>Asi bychom mohli objektivně sestavit rešerši vnímání kvality služeb z veřejného prostoru, abychom nemuseli zjiťovat výpadky atp.</w:t>
      </w:r>
    </w:p>
    <w:p>
      <w:pPr>
        <w:pStyle w:val="Textprost"/>
        <w:rPr/>
      </w:pPr>
      <w:r>
        <w:rPr/>
      </w:r>
    </w:p>
    <w:p>
      <w:pPr>
        <w:pStyle w:val="Textprost"/>
        <w:rPr/>
      </w:pPr>
      <w:r>
        <w:rPr/>
      </w:r>
    </w:p>
    <w:p>
      <w:pPr>
        <w:pStyle w:val="Textprost"/>
        <w:rPr/>
      </w:pPr>
      <w:r>
        <w:rPr/>
      </w:r>
    </w:p>
    <w:p>
      <w:pPr>
        <w:pStyle w:val="Heading3"/>
        <w:ind w:hanging="1134" w:left="142" w:right="284"/>
        <w:rPr/>
      </w:pPr>
      <w:bookmarkStart w:id="201" w:name="_Toc229057859"/>
      <w:r>
        <w:rPr/>
        <w:t>Shrnutí k relativní cenové úrovni ceníkových cen mobilních služeb</w:t>
      </w:r>
      <w:bookmarkEnd w:id="201"/>
    </w:p>
    <w:p>
      <w:pPr>
        <w:pStyle w:val="Textprost"/>
        <w:rPr/>
      </w:pPr>
      <w:r>
        <w:rPr/>
      </w:r>
    </w:p>
    <w:p>
      <w:pPr>
        <w:pStyle w:val="Textprost"/>
        <w:rPr/>
      </w:pPr>
      <w:r>
        <w:rPr/>
      </w:r>
    </w:p>
    <w:p>
      <w:pPr>
        <w:pStyle w:val="Zvradu"/>
        <w:numPr>
          <w:ilvl w:val="0"/>
          <w:numId w:val="11"/>
        </w:numPr>
        <w:ind w:hanging="578" w:left="283" w:right="284"/>
        <w:rPr/>
      </w:pPr>
      <w:bookmarkStart w:id="202" w:name="_Toc226560436"/>
      <w:r>
        <w:rPr/>
        <w:t xml:space="preserve">Na základě provedeného šetření dospěl Úřad k závěru, že </w:t>
      </w:r>
      <w:r>
        <w:rPr>
          <w:b/>
          <w:bCs/>
        </w:rPr>
        <w:t>ceníkové ceny mobilních služeb v České republice jsou excesivní</w:t>
      </w:r>
      <w:r>
        <w:rPr/>
        <w:t xml:space="preserve"> co do své relativní výše a zároveň není možné tento cenový exces </w:t>
      </w:r>
      <w:commentRangeStart w:id="41"/>
      <w:r>
        <w:rPr/>
        <w:t>objektivně</w:t>
      </w:r>
      <w:r>
        <w:rPr/>
      </w:r>
      <w:commentRangeEnd w:id="41"/>
      <w:r>
        <w:commentReference w:id="41"/>
      </w:r>
      <w:r>
        <w:rPr/>
        <w:t xml:space="preserve"> odůvodnit nabízeným obsahem těchto služe</w:t>
      </w:r>
      <w:bookmarkEnd w:id="202"/>
      <w:r>
        <w:rPr/>
        <w:t>b.</w:t>
      </w:r>
    </w:p>
    <w:p>
      <w:pPr>
        <w:pStyle w:val="ZvraduvAJ"/>
        <w:ind w:hanging="0" w:left="284" w:right="284"/>
        <w:rPr>
          <w:lang w:val="en-GB"/>
        </w:rPr>
      </w:pPr>
      <w:r>
        <w:rPr>
          <w:lang w:val="en-GB" w:eastAsia="cs-CZ"/>
        </w:rPr>
        <w:t xml:space="preserve">Based on the investigation carried out, the Office concluded that </w:t>
      </w:r>
      <w:r>
        <w:rPr>
          <w:b/>
          <w:bCs/>
          <w:lang w:val="en-GB" w:eastAsia="cs-CZ"/>
        </w:rPr>
        <w:t xml:space="preserve">the list prices of mobile services in the Czech Republic are excessive </w:t>
      </w:r>
      <w:r>
        <w:rPr>
          <w:lang w:val="en-GB" w:eastAsia="cs-CZ"/>
        </w:rPr>
        <w:t>in terms of their relative level, and it is not possible to objectively justify this price excess by the content of the services offered.</w:t>
      </w:r>
    </w:p>
    <w:p>
      <w:pPr>
        <w:pStyle w:val="Textprost"/>
        <w:rPr/>
      </w:pPr>
      <w:r>
        <w:rPr/>
      </w:r>
    </w:p>
    <w:p>
      <w:pPr>
        <w:pStyle w:val="Heading2"/>
        <w:ind w:hanging="1135" w:left="142" w:right="284"/>
        <w:rPr/>
      </w:pPr>
      <w:bookmarkStart w:id="203" w:name="_Toc229057860"/>
      <w:r>
        <w:rPr/>
        <w:t>Ceníkové ceny služeb pevného připojení k internetu</w:t>
      </w:r>
      <w:bookmarkEnd w:id="203"/>
    </w:p>
    <w:p>
      <w:pPr>
        <w:pStyle w:val="Textprost"/>
        <w:rPr/>
      </w:pPr>
      <w:r>
        <w:rPr/>
        <w:t>S ohledem na informace zjištěné v průběhu sektorového šetření,</w:t>
      </w:r>
      <w:r>
        <w:rPr>
          <w:rStyle w:val="FootnoteReference"/>
        </w:rPr>
        <w:footnoteReference w:id="140"/>
      </w:r>
      <w:r>
        <w:rPr/>
        <w:t xml:space="preserve"> přistoupil Úřad k ověření teze, že cenová proporce mezi ceníkovými cenami mobilních služeb a ceníkovými cenami služeb pevného připojení k internetu je v ČR inverzní. Úřad tedy hledal odpověď na otázku: „</w:t>
      </w:r>
      <w:r>
        <w:rPr>
          <w:i/>
          <w:color w:val="D70C0C"/>
        </w:rPr>
        <w:t>zda a jaký existuje rozdíl v ceníkových cenách služeb pevného připojení k internetu nabízených v České republice ve srovnání s cenami služeb pevného připojení k internetu poskytovaných v ostatních členských státech Evropské unie</w:t>
      </w:r>
      <w:r>
        <w:rPr/>
        <w:t>“.</w:t>
      </w:r>
    </w:p>
    <w:p>
      <w:pPr>
        <w:pStyle w:val="Textprost"/>
        <w:rPr/>
      </w:pPr>
      <w:r>
        <w:rPr/>
        <w:t>Tržní subjekty považují tuto tezi za důsledek nefungující hospodářské soutěže.</w:t>
      </w:r>
    </w:p>
    <w:p>
      <w:pPr>
        <w:pStyle w:val="Heading3"/>
        <w:ind w:hanging="1134" w:left="142" w:right="284"/>
        <w:rPr/>
      </w:pPr>
      <w:bookmarkStart w:id="204" w:name="_Toc229057861"/>
      <w:r>
        <w:rPr/>
        <w:t>Relativní posouzení ceníkových cen služeb pevného připojení k internetu v ČR</w:t>
      </w:r>
      <w:bookmarkEnd w:id="204"/>
    </w:p>
    <w:p>
      <w:pPr>
        <w:pStyle w:val="Textprost"/>
        <w:rPr/>
      </w:pPr>
      <w:r>
        <w:rPr/>
      </w:r>
    </w:p>
    <w:p>
      <w:pPr>
        <w:pStyle w:val="Textprost"/>
        <w:rPr/>
      </w:pPr>
      <w:r>
        <w:rPr/>
      </w:r>
    </w:p>
    <w:p>
      <w:pPr>
        <w:pStyle w:val="Textprost"/>
        <w:rPr/>
      </w:pPr>
      <w:r>
        <w:rPr/>
      </w:r>
    </w:p>
    <w:p>
      <w:pPr>
        <w:pStyle w:val="Heading2"/>
        <w:ind w:hanging="1135" w:left="142" w:right="284"/>
        <w:rPr/>
      </w:pPr>
      <w:bookmarkStart w:id="205" w:name="_Toc229057862"/>
      <w:r>
        <w:rPr/>
        <w:t>Organizace a efektivnost výroby</w:t>
      </w:r>
      <w:bookmarkEnd w:id="205"/>
    </w:p>
    <w:p>
      <w:pPr>
        <w:pStyle w:val="Textkol"/>
        <w:rPr/>
      </w:pPr>
      <w:r>
        <w:rPr/>
        <w:t>Vyjet z výroček ziskovost našich i ziskovost matek a skupin = relativní srovnání a kdo ve skupině jak vydělává</w:t>
      </w:r>
    </w:p>
    <w:p>
      <w:pPr>
        <w:pStyle w:val="Textkol"/>
        <w:rPr/>
      </w:pPr>
      <w:r>
        <w:rPr/>
        <w:t>Miša prověří Orbis, co tam je za data:D</w:t>
      </w:r>
    </w:p>
    <w:p>
      <w:pPr>
        <w:pStyle w:val="Textkol"/>
        <w:rPr/>
      </w:pPr>
      <w:r>
        <w:rPr/>
        <w:t>Přepočíst na měrnou jednotku (sim karty? Sečíst a na populaci?)</w:t>
      </w:r>
    </w:p>
    <w:p>
      <w:pPr>
        <w:pStyle w:val="Textkol"/>
        <w:rPr/>
      </w:pPr>
      <w:r>
        <w:rPr/>
        <w:t>V únoru vyšlo srovnání přepočtené na zákazníka k TM… asi by šlo (jak očistíme firmy?) nutně procházet všechny závěrečky by propálilo hromadu času</w:t>
      </w:r>
    </w:p>
    <w:p>
      <w:pPr>
        <w:pStyle w:val="Textprost"/>
        <w:rPr/>
      </w:pPr>
      <w:r>
        <w:rPr/>
      </w:r>
    </w:p>
    <w:p>
      <w:pPr>
        <w:pStyle w:val="Heading3"/>
        <w:ind w:hanging="1134" w:left="142" w:right="284"/>
        <w:rPr/>
      </w:pPr>
      <w:bookmarkStart w:id="206" w:name="_Toc229057863"/>
      <w:r>
        <w:rPr/>
        <w:t>Posouzení relativní výrobní efektivnosti</w:t>
      </w:r>
      <w:bookmarkEnd w:id="206"/>
    </w:p>
    <w:p>
      <w:pPr>
        <w:pStyle w:val="Textprost"/>
        <w:rPr/>
      </w:pPr>
      <w:r>
        <w:rPr/>
      </w:r>
    </w:p>
    <w:p>
      <w:pPr>
        <w:pStyle w:val="Textkol"/>
        <w:rPr/>
      </w:pPr>
      <w:r>
        <w:rPr/>
        <w:t>DEA na datech operátorů</w:t>
      </w:r>
    </w:p>
    <w:p>
      <w:pPr>
        <w:pStyle w:val="Textprost"/>
        <w:rPr/>
      </w:pPr>
      <w:r>
        <w:rPr/>
        <w:t>Torres a Bachiller 2013 (</w:t>
      </w:r>
      <w:hyperlink r:id="rId15">
        <w:r>
          <w:rPr>
            <w:rStyle w:val="Hyperlink"/>
          </w:rPr>
          <w:t>https://link.springer.com/article/10.1007/s10997-011-9203-4</w:t>
        </w:r>
      </w:hyperlink>
      <w:r>
        <w:rPr/>
        <w:t>)</w:t>
      </w:r>
    </w:p>
    <w:p>
      <w:pPr>
        <w:pStyle w:val="Textprost"/>
        <w:rPr/>
      </w:pPr>
      <w:r>
        <w:rPr/>
        <w:t>Za celé státy: Yalcin 2021 (</w:t>
      </w:r>
      <w:hyperlink r:id="rId16">
        <w:r>
          <w:rPr>
            <w:rStyle w:val="Hyperlink"/>
          </w:rPr>
          <w:t>https://www.ceeol.com/search/article-detail?id=1014700</w:t>
        </w:r>
      </w:hyperlink>
      <w:r>
        <w:rPr/>
        <w:t>).</w:t>
      </w:r>
    </w:p>
    <w:p>
      <w:pPr>
        <w:pStyle w:val="Textprost"/>
        <w:rPr/>
      </w:pPr>
      <w:r>
        <w:rPr/>
        <w:t>Aplikace na operátory v Indii 2008 (</w:t>
      </w:r>
      <w:hyperlink r:id="rId17">
        <w:r>
          <w:rPr>
            <w:rStyle w:val="Hyperlink"/>
          </w:rPr>
          <w:t>https://www.emerald.com/bij/article-abstract/15/5/584/43010/Benchmarking-telecommunication-service-in-IndiaAn?redirectedFrom=fulltext</w:t>
        </w:r>
      </w:hyperlink>
      <w:r>
        <w:rPr/>
        <w:t>).</w:t>
      </w:r>
    </w:p>
    <w:p>
      <w:pPr>
        <w:pStyle w:val="Textprost"/>
        <w:rPr/>
      </w:pPr>
      <w:r>
        <w:rPr/>
        <w:t>V Íráno 2010 (</w:t>
      </w:r>
      <w:hyperlink r:id="rId18">
        <w:r>
          <w:rPr>
            <w:rStyle w:val="Hyperlink"/>
          </w:rPr>
          <w:t>https://www.sciencedirect.com/science/article/abs/pii/S0308596109001001</w:t>
        </w:r>
      </w:hyperlink>
      <w:r>
        <w:rPr/>
        <w:t>).</w:t>
      </w:r>
    </w:p>
    <w:p>
      <w:pPr>
        <w:pStyle w:val="Textprost"/>
        <w:rPr/>
      </w:pPr>
      <w:r>
        <w:rPr/>
        <w:t>Relativní srovnání zemí OECD co do efektivnosti telekomunikací 2008 (</w:t>
      </w:r>
      <w:hyperlink r:id="rId19">
        <w:r>
          <w:rPr>
            <w:rStyle w:val="Hyperlink"/>
          </w:rPr>
          <w:t>https://www.sciencedirect.com/science/article/abs/pii/S0308596108000748</w:t>
        </w:r>
      </w:hyperlink>
      <w:r>
        <w:rPr/>
        <w:t>).</w:t>
      </w:r>
    </w:p>
    <w:p>
      <w:pPr>
        <w:pStyle w:val="Textprost"/>
        <w:rPr/>
      </w:pPr>
      <w:r>
        <w:rPr/>
        <w:t>Použití na ICT 2022 (</w:t>
      </w:r>
      <w:hyperlink r:id="rId20">
        <w:r>
          <w:rPr>
            <w:rStyle w:val="Hyperlink"/>
          </w:rPr>
          <w:t>https://hrcak.srce.hr/271943</w:t>
        </w:r>
      </w:hyperlink>
      <w:r>
        <w:rPr/>
        <w:t>).</w:t>
      </w:r>
    </w:p>
    <w:p>
      <w:pPr>
        <w:pStyle w:val="Textprost"/>
        <w:rPr/>
      </w:pPr>
      <w:r>
        <w:rPr/>
        <w:t>Dea v telekomunikacích v Evropě 2002 (</w:t>
      </w:r>
      <w:hyperlink r:id="rId21">
        <w:r>
          <w:rPr>
            <w:rStyle w:val="Hyperlink"/>
          </w:rPr>
          <w:t>https://www.sciencedirect.com/science/article/abs/pii/S0308596102000599</w:t>
        </w:r>
      </w:hyperlink>
      <w:r>
        <w:rPr/>
        <w:t>).</w:t>
      </w:r>
    </w:p>
    <w:p>
      <w:pPr>
        <w:pStyle w:val="Textprost"/>
        <w:rPr/>
      </w:pPr>
      <w:r>
        <w:rPr/>
        <w:t>Dea a efektivnost; výsledky = největší vliv na efektivnost nemá velikost ekonomiky ale kvalita regulace 2011 (</w:t>
      </w:r>
      <w:hyperlink r:id="rId22">
        <w:r>
          <w:rPr>
            <w:rStyle w:val="Hyperlink"/>
          </w:rPr>
          <w:t>https://www.sciencedirect.com/science/article/abs/pii/S0308596111000371</w:t>
        </w:r>
      </w:hyperlink>
      <w:r>
        <w:rPr/>
        <w:t>).</w:t>
      </w:r>
    </w:p>
    <w:p>
      <w:pPr>
        <w:pStyle w:val="Textprost"/>
        <w:rPr/>
      </w:pPr>
      <w:r>
        <w:rPr/>
        <w:t>DEA, evropa, telekomunikace, regulace a hospodářská soutěž (!) 2000 (</w:t>
      </w:r>
      <w:hyperlink r:id="rId23">
        <w:r>
          <w:rPr>
            <w:rStyle w:val="Hyperlink"/>
          </w:rPr>
          <w:t>https://www.sciencedirect.com/science/article/abs/pii/S0167624599000232</w:t>
        </w:r>
      </w:hyperlink>
      <w:r>
        <w:rPr/>
        <w:t>).</w:t>
      </w:r>
    </w:p>
    <w:p>
      <w:pPr>
        <w:pStyle w:val="Textprost"/>
        <w:rPr/>
      </w:pPr>
      <w:r>
        <w:rPr/>
        <w:t>DEA a pricing efficiency 2012 (</w:t>
      </w:r>
      <w:hyperlink r:id="rId24">
        <w:r>
          <w:rPr>
            <w:rStyle w:val="Hyperlink"/>
          </w:rPr>
          <w:t>https://d1wqtxts1xzle7.cloudfront.net/48979170/18462-61368-1-PB-libre.pdf?1474355015=&amp;response-content-disposition=inline%3B+filename%3DA_Model_for_Evaluating_Financial_Perform.pdf&amp;Expires=1773047828&amp;Signature=O3aCMl6fdFTefVWMZED-9zeuyu1R0P2TfrnXBe8EA~zkD6b7Qw4weRgcDygQpi5~CNLEhgUN31D7YBNJYbA1e54uGtVeB7r2fIzekqAmPP1qJTyjZSlxPgBkxWu2CibKqQ4yGiF-ErQ6DmyoaCjI4de1sdAuM2z0tKC59jJ7y1hm8Wwq-KLV~TReirth-kq3aF-CczcW2CUMVQiOtLXqWEIUop44S2SaKh1t9OMWmwakwy5PO~aupjFH7~ommJiYmmVHS7JHTLDtsWktzzf8Ok-9osXfMAq-bYqhebBpTM-HRj6KuZSqhUdbozOBqDKkabD-~3bpnm9KDK3VLw76xQ__&amp;Key-Pair-Id=APKAJLOHF5GGSLRBV4ZA</w:t>
        </w:r>
      </w:hyperlink>
      <w:r>
        <w:rPr/>
        <w:t>).</w:t>
      </w:r>
    </w:p>
    <w:p>
      <w:pPr>
        <w:pStyle w:val="Textprost"/>
        <w:rPr/>
      </w:pPr>
      <w:r>
        <w:rPr/>
        <w:t>DEA a ranking EU countries 2023 (</w:t>
      </w:r>
      <w:hyperlink r:id="rId25">
        <w:r>
          <w:rPr>
            <w:rStyle w:val="Hyperlink"/>
          </w:rPr>
          <w:t>https://www.sciencedirect.com/science/article/pii/S2772662223000073</w:t>
        </w:r>
      </w:hyperlink>
      <w:r>
        <w:rPr/>
        <w:t>).</w:t>
      </w:r>
    </w:p>
    <w:p>
      <w:pPr>
        <w:pStyle w:val="Textprost"/>
        <w:rPr/>
      </w:pPr>
      <w:r>
        <w:rPr/>
        <w:t>Efektivnost EU telekomunikačního sektoru 2014 (</w:t>
      </w:r>
      <w:hyperlink r:id="rId26">
        <w:r>
          <w:rPr>
            <w:rStyle w:val="Hyperlink"/>
          </w:rPr>
          <w:t>https://ideas.repec.org/a/isp/journl/v8y2014i1p141-158.html</w:t>
        </w:r>
      </w:hyperlink>
      <w:r>
        <w:rPr/>
        <w:t>).</w:t>
      </w:r>
    </w:p>
    <w:p>
      <w:pPr>
        <w:pStyle w:val="Textprost"/>
        <w:rPr/>
      </w:pPr>
      <w:r>
        <w:rPr/>
      </w:r>
    </w:p>
    <w:p>
      <w:pPr>
        <w:pStyle w:val="Textprost"/>
        <w:rPr/>
      </w:pPr>
      <w:r>
        <w:rPr/>
      </w:r>
    </w:p>
    <w:p>
      <w:pPr>
        <w:pStyle w:val="Textkol"/>
        <w:rPr/>
      </w:pPr>
      <w:r>
        <w:rPr/>
        <w:t>Závěr ohledně toho, zda dosahují výrobní efektivnost</w:t>
      </w:r>
    </w:p>
    <w:p>
      <w:pPr>
        <w:pStyle w:val="Textprost"/>
        <w:rPr/>
      </w:pPr>
      <w:r>
        <w:rPr/>
      </w:r>
    </w:p>
    <w:p>
      <w:pPr>
        <w:pStyle w:val="Heading3"/>
        <w:ind w:hanging="1134" w:left="142" w:right="284"/>
        <w:rPr/>
      </w:pPr>
      <w:bookmarkStart w:id="207" w:name="_Toc229057864"/>
      <w:r>
        <w:rPr/>
        <w:t>Posouzení relativních výsledků hospodaření</w:t>
      </w:r>
      <w:bookmarkEnd w:id="207"/>
    </w:p>
    <w:p>
      <w:pPr>
        <w:pStyle w:val="Textprost"/>
        <w:rPr/>
      </w:pPr>
      <w:r>
        <w:rPr/>
      </w:r>
    </w:p>
    <w:p>
      <w:pPr>
        <w:pStyle w:val="Textkol"/>
        <w:rPr/>
      </w:pPr>
      <w:r>
        <w:rPr/>
        <w:t>Závěr ohledně toho, zda dosahují excesivních zisků</w:t>
      </w:r>
    </w:p>
    <w:p>
      <w:pPr>
        <w:pStyle w:val="Textprost"/>
        <w:rPr/>
      </w:pPr>
      <w:r>
        <w:rPr/>
      </w:r>
    </w:p>
    <w:p>
      <w:pPr>
        <w:pStyle w:val="Textprost"/>
        <w:rPr/>
      </w:pPr>
      <w:r>
        <w:rPr/>
      </w:r>
    </w:p>
    <w:p>
      <w:pPr>
        <w:pStyle w:val="Heading3"/>
        <w:ind w:hanging="1134" w:left="142" w:right="284"/>
        <w:rPr/>
      </w:pPr>
      <w:bookmarkStart w:id="208" w:name="_Toc229057865"/>
      <w:r>
        <w:rPr/>
        <w:t>Shrnutí k relativnímu srovnání stavu hospodářské aktivity</w:t>
      </w:r>
      <w:bookmarkEnd w:id="208"/>
    </w:p>
    <w:p>
      <w:pPr>
        <w:pStyle w:val="Textprost"/>
        <w:rPr/>
      </w:pPr>
      <w:r>
        <w:rPr/>
      </w:r>
    </w:p>
    <w:p>
      <w:pPr>
        <w:pStyle w:val="Textkol"/>
        <w:rPr/>
      </w:pPr>
      <w:r>
        <w:rPr/>
        <w:t>Jednoznačný závěr o tom, že ne/jsou efektivní a ne/dosahují vyšších zisků</w:t>
      </w:r>
    </w:p>
    <w:p>
      <w:pPr>
        <w:pStyle w:val="Textprost"/>
        <w:rPr/>
      </w:pPr>
      <w:r>
        <w:rPr/>
      </w:r>
    </w:p>
    <w:p>
      <w:pPr>
        <w:pStyle w:val="Heading2"/>
        <w:ind w:hanging="1135" w:left="142" w:right="284"/>
        <w:rPr/>
      </w:pPr>
      <w:bookmarkStart w:id="209" w:name="_Toc229057866"/>
      <w:r>
        <w:rPr/>
        <w:t>Hospodářská situace šetřené oblasti</w:t>
      </w:r>
      <w:bookmarkEnd w:id="209"/>
    </w:p>
    <w:p>
      <w:pPr>
        <w:pStyle w:val="Textkol"/>
        <w:rPr/>
      </w:pPr>
      <w:r>
        <w:rPr/>
        <w:t>Shrne se; situace, výsledky hospodářské aktivity atp., ať při čtení následujících částí čtenář zná kontext</w:t>
      </w:r>
    </w:p>
    <w:p>
      <w:pPr>
        <w:pStyle w:val="Textprost"/>
        <w:rPr/>
      </w:pPr>
      <w:r>
        <w:rPr/>
        <w:t>Úřad v sektorovém šetření zjistil, že tržní ceny</w:t>
      </w:r>
      <w:r>
        <w:rPr>
          <w:rStyle w:val="FootnoteReference"/>
        </w:rPr>
        <w:footnoteReference w:id="141"/>
      </w:r>
      <w:r>
        <w:rPr/>
        <w:t xml:space="preserve"> mobilních tarifů jsou v České republice vyšší, jak dokládají části XXX. Zároveň tento stav nemá objektivní příčinu na nabídkové straně, neboť v České republice jsou zároveň vyšší míry ziskovosti, jak dokládá část XXX.</w:t>
      </w:r>
    </w:p>
    <w:p>
      <w:pPr>
        <w:pStyle w:val="Textprost"/>
        <w:rPr/>
      </w:pPr>
      <w:r>
        <w:rPr/>
        <w:t>Situace v České republice se tak zcela vymyká standardní situaci pozorované v rámci EU, a to i přes opakovaná ujištění českých operátorů, že se situace v ČR nijak neodlišuje.</w:t>
      </w:r>
    </w:p>
    <w:p>
      <w:pPr>
        <w:pStyle w:val="Textprost"/>
        <w:rPr/>
      </w:pPr>
      <w:r>
        <w:rPr/>
      </w:r>
    </w:p>
    <w:p>
      <w:pPr>
        <w:pStyle w:val="Normal"/>
        <w:spacing w:lineRule="auto" w:line="259" w:before="0" w:after="160"/>
        <w:ind w:left="0" w:right="0"/>
        <w:jc w:val="left"/>
        <w:rPr/>
      </w:pPr>
      <w:r>
        <w:rPr/>
      </w:r>
      <w:r>
        <w:br w:type="page"/>
      </w:r>
    </w:p>
    <w:p>
      <w:pPr>
        <w:pStyle w:val="Textprost"/>
        <w:spacing w:before="0" w:after="160"/>
        <w:rPr/>
      </w:pPr>
      <w:r>
        <w:rPr/>
      </w:r>
    </w:p>
    <w:p>
      <w:pPr>
        <w:pStyle w:val="Heading1"/>
        <w:ind w:hanging="1135" w:left="142" w:right="284"/>
        <w:rPr/>
      </w:pPr>
      <w:bookmarkStart w:id="210" w:name="_Toc229057867"/>
      <w:r>
        <w:rPr/>
        <w:t>Chování zákazníků a spotřebitelů</w:t>
      </w:r>
      <w:bookmarkEnd w:id="210"/>
    </w:p>
    <w:p>
      <w:pPr>
        <w:pStyle w:val="Textkol"/>
        <w:rPr/>
      </w:pPr>
      <w:r>
        <w:rPr/>
        <w:t>Tady celou šílenost od popisu cen, služeb, využívání, přehledy celkové, po operátorech atp; noví a staří zákazníci, přechody</w:t>
      </w:r>
    </w:p>
    <w:p>
      <w:pPr>
        <w:pStyle w:val="Textkol"/>
        <w:rPr/>
      </w:pPr>
      <w:r>
        <w:rPr/>
        <w:t>A pak standardně elasticity, odhad poptávek, v několika úrovních, asi zvážit nějaké klastrování… výsledkem by mělo být jasné rozdělení dle toho, kde spotřebitelé nevidí substituty a jaké jsou skupiny spotřebitelů; ověřit i balíčky (možná balíčky samy o sobě tvoří separátní trhy (jaké?)</w:t>
      </w:r>
    </w:p>
    <w:p>
      <w:pPr>
        <w:pStyle w:val="Textprost"/>
        <w:rPr/>
      </w:pPr>
      <w:r>
        <w:rPr/>
      </w:r>
    </w:p>
    <w:p>
      <w:pPr>
        <w:pStyle w:val="Heading2"/>
        <w:ind w:hanging="1135" w:left="142" w:right="284"/>
        <w:rPr/>
      </w:pPr>
      <w:bookmarkStart w:id="211" w:name="_Toc229057868"/>
      <w:r>
        <w:rPr/>
        <w:t>Rozdíly mezi segmenty v ČR</w:t>
      </w:r>
      <w:bookmarkEnd w:id="211"/>
    </w:p>
    <w:p>
      <w:pPr>
        <w:pStyle w:val="Textprost"/>
        <w:rPr/>
      </w:pPr>
      <w:r>
        <w:rPr/>
      </w:r>
    </w:p>
    <w:p>
      <w:pPr>
        <w:pStyle w:val="Textprost"/>
        <w:rPr/>
      </w:pPr>
      <w:r>
        <w:rPr/>
        <w:t>Tuto souvislost zachycují Grafy č. XXX až XXX.</w:t>
      </w:r>
    </w:p>
    <w:p>
      <w:pPr>
        <w:pStyle w:val="Graf"/>
        <w:numPr>
          <w:ilvl w:val="0"/>
          <w:numId w:val="2"/>
        </w:numPr>
        <w:ind w:hanging="1418" w:left="1418" w:right="0"/>
        <w:rPr/>
      </w:pPr>
      <w:bookmarkStart w:id="212" w:name="_Toc229058041"/>
      <w:r>
        <w:rPr/>
        <w:t>Vztah rozdílu ARPU a rozdílu ve spotřebovaných minutách volání na aktivní SIM kartu mezi segmenty domácností a firem.</w:t>
      </w:r>
      <w:bookmarkEnd w:id="212"/>
    </w:p>
    <w:p>
      <w:pPr>
        <w:pStyle w:val="Textkol"/>
        <w:rPr/>
      </w:pPr>
      <w:r>
        <w:rPr/>
        <w:t>Scatter plot; x = rozdíl v minutách/aktivní SIM a y = rozdíl ARPU mezi segmenty; dle operátorů a majetkově ne/propojených MVNO pro každý subjekt proložit lineární regresi</w:t>
      </w:r>
    </w:p>
    <w:p>
      <w:pPr>
        <w:pStyle w:val="Graf"/>
        <w:numPr>
          <w:ilvl w:val="0"/>
          <w:numId w:val="2"/>
        </w:numPr>
        <w:ind w:hanging="1418" w:left="1418" w:right="0"/>
        <w:rPr/>
      </w:pPr>
      <w:bookmarkStart w:id="213" w:name="_Toc229058042"/>
      <w:r>
        <w:rPr/>
        <w:t>Vztah rozdílu ARPU a rozdílu ve spotřebovaných SMS na aktivní SIM kartu mezi segmenty domácností a firem.</w:t>
      </w:r>
      <w:bookmarkEnd w:id="213"/>
    </w:p>
    <w:p>
      <w:pPr>
        <w:pStyle w:val="Textkol"/>
        <w:rPr/>
      </w:pPr>
      <w:r>
        <w:rPr/>
        <w:t>Scatter plot; x = rozdíl v minutách/aktivní SIM a y = rozdíl ARPU mezi segmenty; dle operátorů a majetkově ne/propojených MVNO pro každý subjekt proložit lineární regresi</w:t>
      </w:r>
    </w:p>
    <w:p>
      <w:pPr>
        <w:pStyle w:val="Textprost"/>
        <w:rPr/>
      </w:pPr>
      <w:r>
        <w:rPr/>
      </w:r>
    </w:p>
    <w:p>
      <w:pPr>
        <w:pStyle w:val="Graf"/>
        <w:numPr>
          <w:ilvl w:val="0"/>
          <w:numId w:val="2"/>
        </w:numPr>
        <w:ind w:hanging="1418" w:left="1418" w:right="0"/>
        <w:rPr/>
      </w:pPr>
      <w:bookmarkStart w:id="214" w:name="_Toc229058043"/>
      <w:r>
        <w:rPr/>
        <w:t>Vztah rozdílu ARPU a rozdílu ve spotřebovaných GB dat na aktivní SIM kartu mezi segmenty domácností a firem.</w:t>
      </w:r>
      <w:bookmarkEnd w:id="214"/>
    </w:p>
    <w:p>
      <w:pPr>
        <w:pStyle w:val="Textkol"/>
        <w:rPr/>
      </w:pPr>
      <w:r>
        <w:rPr/>
        <w:t>Scatter plot; x = rozdíl v minutách/aktivní SIM a y = rozdíl ARPU mezi segmenty; dle operátorů a majetkově ne/propojených MVNO pro každý subjekt proložit lineární regresi</w:t>
      </w:r>
    </w:p>
    <w:p>
      <w:pPr>
        <w:pStyle w:val="Textprost"/>
        <w:rPr/>
      </w:pPr>
      <w:r>
        <w:rPr/>
        <w:t>Z těchto vztahů vyplývá, že rozdíl XXX</w:t>
      </w:r>
    </w:p>
    <w:p>
      <w:pPr>
        <w:pStyle w:val="Textprost"/>
        <w:rPr/>
      </w:pPr>
      <w:r>
        <w:rPr/>
      </w:r>
    </w:p>
    <w:p>
      <w:pPr>
        <w:pStyle w:val="Textprost"/>
        <w:rPr/>
      </w:pPr>
      <w:r>
        <w:rPr/>
      </w:r>
    </w:p>
    <w:p>
      <w:pPr>
        <w:pStyle w:val="Textprost"/>
        <w:rPr/>
      </w:pPr>
      <w:r>
        <w:rPr/>
      </w:r>
    </w:p>
    <w:p>
      <w:pPr>
        <w:pStyle w:val="Heading2"/>
        <w:ind w:hanging="1135" w:left="142" w:right="284"/>
        <w:rPr/>
      </w:pPr>
      <w:bookmarkStart w:id="215" w:name="_Toc229057869"/>
      <w:r>
        <w:rPr/>
        <w:t>Cenové rozdělení spotřebovávaných mobilních služeb</w:t>
      </w:r>
      <w:bookmarkEnd w:id="215"/>
    </w:p>
    <w:p>
      <w:pPr>
        <w:pStyle w:val="Textkol"/>
        <w:rPr/>
      </w:pPr>
      <w:r>
        <w:rPr/>
        <w:t>Ty prosté grafy se seřazenou cenou od nejvyšší po nejnižší</w:t>
      </w:r>
    </w:p>
    <w:p>
      <w:pPr>
        <w:pStyle w:val="Textprost"/>
        <w:rPr/>
      </w:pPr>
      <w:r>
        <w:rPr/>
      </w:r>
    </w:p>
    <w:p>
      <w:pPr>
        <w:pStyle w:val="Graf"/>
        <w:numPr>
          <w:ilvl w:val="0"/>
          <w:numId w:val="2"/>
        </w:numPr>
        <w:ind w:hanging="1418" w:left="1418" w:right="0"/>
        <w:rPr/>
      </w:pPr>
      <w:bookmarkStart w:id="216" w:name="_Toc229058044"/>
      <w:r>
        <w:rPr/>
        <w:t>Rozložení skutečných cen všech mobilních služeb za celé zkoumané období</w:t>
      </w:r>
      <w:bookmarkEnd w:id="216"/>
    </w:p>
    <w:p>
      <w:pPr>
        <w:pStyle w:val="GrafvAJ"/>
        <w:ind w:hanging="0" w:left="1418" w:right="0"/>
        <w:rPr/>
      </w:pPr>
      <w:bookmarkStart w:id="217" w:name="_Toc226560472"/>
      <w:r>
        <w:rPr/>
        <w:t>XXX</w:t>
      </w:r>
      <w:bookmarkEnd w:id="217"/>
    </w:p>
    <w:p>
      <w:pPr>
        <w:pStyle w:val="Textkol"/>
        <w:rPr/>
      </w:pPr>
      <w:r>
        <w:rPr/>
        <w:t>Doplnit</w:t>
      </w:r>
    </w:p>
    <w:p>
      <w:pPr>
        <w:pStyle w:val="Zdroj"/>
        <w:rPr/>
      </w:pPr>
      <w:r>
        <w:rPr/>
        <w:t>Zdroj / Source: Vlastní zpracování Úřadu / XXX.</w:t>
      </w:r>
    </w:p>
    <w:p>
      <w:pPr>
        <w:pStyle w:val="Textprost"/>
        <w:rPr/>
      </w:pPr>
      <w:r>
        <w:rPr/>
      </w:r>
    </w:p>
    <w:p>
      <w:pPr>
        <w:pStyle w:val="Graf"/>
        <w:numPr>
          <w:ilvl w:val="0"/>
          <w:numId w:val="2"/>
        </w:numPr>
        <w:ind w:hanging="1418" w:left="1418" w:right="0"/>
        <w:rPr/>
      </w:pPr>
      <w:bookmarkStart w:id="218" w:name="_Toc229058045"/>
      <w:r>
        <w:rPr/>
        <w:t>Rozložení skutečných cen všech mobilních služeb za celé zkoumané období dle jednotlivých mobilních operátorů</w:t>
      </w:r>
      <w:bookmarkEnd w:id="218"/>
    </w:p>
    <w:p>
      <w:pPr>
        <w:pStyle w:val="Textprost"/>
        <w:rPr/>
      </w:pPr>
      <w:r>
        <w:rPr/>
      </w:r>
    </w:p>
    <w:p>
      <w:pPr>
        <w:pStyle w:val="Graf"/>
        <w:numPr>
          <w:ilvl w:val="0"/>
          <w:numId w:val="2"/>
        </w:numPr>
        <w:ind w:hanging="1418" w:left="1418" w:right="0"/>
        <w:rPr/>
      </w:pPr>
      <w:bookmarkStart w:id="219" w:name="_Toc229058046"/>
      <w:r>
        <w:rPr/>
        <w:t>Podíl nejnižší skutečné ceny na nejvyšší skutečné ceně všech mobilních služeb za celé zkoumané období</w:t>
      </w:r>
      <w:bookmarkEnd w:id="219"/>
    </w:p>
    <w:p>
      <w:pPr>
        <w:pStyle w:val="Textprost"/>
        <w:rPr/>
      </w:pPr>
      <w:r>
        <w:rPr/>
      </w:r>
    </w:p>
    <w:p>
      <w:pPr>
        <w:pStyle w:val="Textprost"/>
        <w:rPr/>
      </w:pPr>
      <w:r>
        <w:rPr/>
      </w:r>
    </w:p>
    <w:p>
      <w:pPr>
        <w:pStyle w:val="Textprost"/>
        <w:rPr/>
      </w:pPr>
      <w:r>
        <w:rPr/>
      </w:r>
    </w:p>
    <w:p>
      <w:pPr>
        <w:pStyle w:val="Heading2"/>
        <w:ind w:hanging="1135" w:left="142" w:right="284"/>
        <w:rPr/>
      </w:pPr>
      <w:bookmarkStart w:id="220" w:name="_Toc229057870"/>
      <w:r>
        <w:rPr/>
        <w:t>Shrnutí kapitoly</w:t>
      </w:r>
      <w:bookmarkEnd w:id="220"/>
    </w:p>
    <w:p>
      <w:pPr>
        <w:pStyle w:val="Textprost"/>
        <w:rPr/>
      </w:pPr>
      <w:r>
        <w:rPr/>
        <w:t>kztdkg</w:t>
      </w:r>
    </w:p>
    <w:p>
      <w:pPr>
        <w:pStyle w:val="Normal"/>
        <w:spacing w:lineRule="auto" w:line="259" w:before="0" w:after="160"/>
        <w:ind w:left="0" w:right="0"/>
        <w:jc w:val="left"/>
        <w:rPr/>
      </w:pPr>
      <w:r>
        <w:rPr/>
      </w:r>
      <w:r>
        <w:br w:type="page"/>
      </w:r>
    </w:p>
    <w:p>
      <w:pPr>
        <w:pStyle w:val="Normal"/>
        <w:spacing w:before="0" w:after="120"/>
        <w:rPr/>
      </w:pPr>
      <w:r>
        <w:rPr/>
      </w:r>
    </w:p>
    <w:p>
      <w:pPr>
        <w:pStyle w:val="Heading1"/>
        <w:ind w:hanging="1135" w:left="142" w:right="284"/>
        <w:rPr/>
      </w:pPr>
      <w:bookmarkStart w:id="221" w:name="_Toc229057871"/>
      <w:r>
        <w:rPr/>
        <w:t>Mobilní služby a mobilní operátoři</w:t>
      </w:r>
      <w:bookmarkEnd w:id="221"/>
    </w:p>
    <w:p>
      <w:pPr>
        <w:pStyle w:val="Textprost"/>
        <w:rPr/>
      </w:pPr>
      <w:r>
        <w:rPr/>
        <w:t>Kztcdz</w:t>
      </w:r>
    </w:p>
    <w:p>
      <w:pPr>
        <w:pStyle w:val="Heading2"/>
        <w:ind w:hanging="1135" w:left="142" w:right="284"/>
        <w:rPr/>
      </w:pPr>
      <w:bookmarkStart w:id="222" w:name="_Toc229057872"/>
      <w:r>
        <w:rPr/>
        <w:t>Mobilní operátoři</w:t>
      </w:r>
      <w:bookmarkEnd w:id="222"/>
    </w:p>
    <w:p>
      <w:pPr>
        <w:pStyle w:val="Textprost"/>
        <w:rPr/>
      </w:pPr>
      <w:r>
        <w:rPr/>
      </w:r>
    </w:p>
    <w:p>
      <w:pPr>
        <w:pStyle w:val="Heading2"/>
        <w:ind w:hanging="1135" w:left="142" w:right="284"/>
        <w:rPr/>
      </w:pPr>
      <w:bookmarkStart w:id="223" w:name="_Toc229057873"/>
      <w:r>
        <w:rPr/>
        <w:t>Virtuální mobilní operátoři</w:t>
      </w:r>
      <w:bookmarkEnd w:id="223"/>
    </w:p>
    <w:p>
      <w:pPr>
        <w:pStyle w:val="Textprost"/>
        <w:rPr/>
      </w:pPr>
      <w:r>
        <w:rPr/>
      </w:r>
    </w:p>
    <w:p>
      <w:pPr>
        <w:pStyle w:val="Heading2"/>
        <w:ind w:hanging="1135" w:left="142" w:right="284"/>
        <w:rPr/>
      </w:pPr>
      <w:bookmarkStart w:id="224" w:name="_Toc229057874"/>
      <w:r>
        <w:rPr/>
        <w:t>Nabízené mobilní služby a jejich využívání</w:t>
      </w:r>
      <w:bookmarkEnd w:id="224"/>
    </w:p>
    <w:p>
      <w:pPr>
        <w:pStyle w:val="Textprost"/>
        <w:rPr/>
      </w:pPr>
      <w:r>
        <w:rPr/>
      </w:r>
    </w:p>
    <w:p>
      <w:pPr>
        <w:pStyle w:val="Heading2"/>
        <w:ind w:hanging="1135" w:left="142" w:right="284"/>
        <w:rPr/>
      </w:pPr>
      <w:bookmarkStart w:id="225" w:name="_Toc229057875"/>
      <w:r>
        <w:rPr/>
        <w:t>Projevené cenové strategie</w:t>
      </w:r>
      <w:bookmarkEnd w:id="225"/>
    </w:p>
    <w:p>
      <w:pPr>
        <w:pStyle w:val="Textkol"/>
        <w:rPr/>
      </w:pPr>
      <w:r>
        <w:rPr/>
        <w:t>Otestovat responzi mezi tržní cenou a cenovou mezerou konkurentů</w:t>
      </w:r>
    </w:p>
    <w:p>
      <w:pPr>
        <w:pStyle w:val="Textprost"/>
        <w:rPr/>
      </w:pPr>
      <w:r>
        <w:rPr/>
      </w:r>
    </w:p>
    <w:p>
      <w:pPr>
        <w:pStyle w:val="Heading3"/>
        <w:ind w:hanging="1134" w:left="142" w:right="284"/>
        <w:rPr/>
      </w:pPr>
      <w:bookmarkStart w:id="226" w:name="_Toc229057876"/>
      <w:r>
        <w:rPr/>
        <w:t>Jednotná cenotvorba</w:t>
      </w:r>
      <w:bookmarkEnd w:id="226"/>
    </w:p>
    <w:p>
      <w:pPr>
        <w:pStyle w:val="Textprost"/>
        <w:rPr/>
      </w:pPr>
      <w:r>
        <w:rPr/>
      </w:r>
    </w:p>
    <w:p>
      <w:pPr>
        <w:pStyle w:val="Heading3"/>
        <w:ind w:hanging="1134" w:left="142" w:right="284"/>
        <w:rPr/>
      </w:pPr>
      <w:bookmarkStart w:id="227" w:name="_Toc229057877"/>
      <w:r>
        <w:rPr/>
        <w:t>Cenová diskriminace</w:t>
      </w:r>
      <w:bookmarkEnd w:id="227"/>
    </w:p>
    <w:p>
      <w:pPr>
        <w:pStyle w:val="Textprost"/>
        <w:rPr/>
      </w:pPr>
      <w:r>
        <w:rPr/>
      </w:r>
    </w:p>
    <w:p>
      <w:pPr>
        <w:pStyle w:val="Heading3"/>
        <w:ind w:hanging="1134" w:left="142" w:right="284"/>
        <w:rPr/>
      </w:pPr>
      <w:bookmarkStart w:id="228" w:name="_Toc229057878"/>
      <w:r>
        <w:rPr/>
        <w:t>Hedonický rozklad cen</w:t>
      </w:r>
      <w:bookmarkEnd w:id="228"/>
    </w:p>
    <w:p>
      <w:pPr>
        <w:pStyle w:val="Textprost"/>
        <w:rPr/>
      </w:pPr>
      <w:r>
        <w:rPr/>
      </w:r>
    </w:p>
    <w:p>
      <w:pPr>
        <w:pStyle w:val="Textprost"/>
        <w:rPr/>
      </w:pPr>
      <w:r>
        <w:rPr/>
      </w:r>
    </w:p>
    <w:p>
      <w:pPr>
        <w:pStyle w:val="Heading3"/>
        <w:ind w:hanging="1134" w:left="142" w:right="284"/>
        <w:rPr/>
      </w:pPr>
      <w:bookmarkStart w:id="229" w:name="_Toc229057879"/>
      <w:r>
        <w:rPr/>
        <w:t>Nákladově orientovaná cenotvorba</w:t>
      </w:r>
      <w:bookmarkEnd w:id="229"/>
    </w:p>
    <w:p>
      <w:pPr>
        <w:pStyle w:val="Textkol"/>
        <w:rPr/>
      </w:pPr>
      <w:r>
        <w:rPr/>
        <w:t>Otestovat na mark-up pricing = korelaci vývoje cen s cenou elektřiny, mzdy, cenou frekvencí atp.</w:t>
      </w:r>
    </w:p>
    <w:p>
      <w:pPr>
        <w:pStyle w:val="Heading3"/>
        <w:ind w:hanging="1134" w:left="142" w:right="284"/>
        <w:rPr/>
      </w:pPr>
      <w:bookmarkStart w:id="230" w:name="_Toc229057880"/>
      <w:r>
        <w:rPr/>
        <w:t>Sticky pricing</w:t>
      </w:r>
      <w:bookmarkEnd w:id="230"/>
    </w:p>
    <w:p>
      <w:pPr>
        <w:pStyle w:val="Textkol"/>
        <w:rPr/>
      </w:pPr>
      <w:r>
        <w:rPr/>
        <w:t>Otestovat na sticky pricing (projev tlumené cenové konkurence)</w:t>
      </w:r>
    </w:p>
    <w:p>
      <w:pPr>
        <w:pStyle w:val="Heading3"/>
        <w:ind w:hanging="1134" w:left="142" w:right="284"/>
        <w:rPr/>
      </w:pPr>
      <w:bookmarkStart w:id="231" w:name="_Toc229057881"/>
      <w:r>
        <w:rPr/>
        <w:t>Alternativní cenové strategie</w:t>
      </w:r>
      <w:bookmarkEnd w:id="231"/>
    </w:p>
    <w:p>
      <w:pPr>
        <w:pStyle w:val="Textkol"/>
        <w:rPr/>
      </w:pPr>
      <w:r>
        <w:rPr/>
        <w:t>Otestovat na price leadra, vzájemnou korelaci cen, otestovat responzivní změny cen (jak dlouho k reakci konkurentů a jakým způsobem – ceníkovým nebo neceníkovým?) kdyby reakce neceníková – lock-in</w:t>
      </w:r>
    </w:p>
    <w:p>
      <w:pPr>
        <w:pStyle w:val="Textkol"/>
        <w:rPr/>
      </w:pPr>
      <w:r>
        <w:rPr/>
        <w:t>Otestovat Edgeworth price cycle</w:t>
      </w:r>
    </w:p>
    <w:p>
      <w:pPr>
        <w:pStyle w:val="Textprost"/>
        <w:rPr/>
      </w:pPr>
      <w:r>
        <w:rPr/>
      </w:r>
    </w:p>
    <w:p>
      <w:pPr>
        <w:pStyle w:val="Heading2"/>
        <w:ind w:hanging="1135" w:left="142" w:right="284"/>
        <w:rPr/>
      </w:pPr>
      <w:bookmarkStart w:id="232" w:name="_Toc229057882"/>
      <w:r>
        <w:rPr/>
        <w:t>Shrnutí kapitoly</w:t>
      </w:r>
      <w:bookmarkEnd w:id="232"/>
    </w:p>
    <w:p>
      <w:pPr>
        <w:pStyle w:val="Textprost"/>
        <w:rPr/>
      </w:pPr>
      <w:r>
        <w:rPr/>
        <w:t>kztdkg</w:t>
      </w:r>
    </w:p>
    <w:p>
      <w:pPr>
        <w:pStyle w:val="Normal"/>
        <w:spacing w:lineRule="auto" w:line="259" w:before="0" w:after="160"/>
        <w:ind w:left="0" w:right="0"/>
        <w:jc w:val="left"/>
        <w:rPr/>
      </w:pPr>
      <w:r>
        <w:rPr/>
      </w:r>
      <w:r>
        <w:br w:type="page"/>
      </w:r>
    </w:p>
    <w:p>
      <w:pPr>
        <w:pStyle w:val="Normal"/>
        <w:spacing w:before="0" w:after="120"/>
        <w:rPr/>
      </w:pPr>
      <w:r>
        <w:rPr/>
      </w:r>
    </w:p>
    <w:p>
      <w:pPr>
        <w:pStyle w:val="Heading1"/>
        <w:ind w:hanging="1135" w:left="142" w:right="284"/>
        <w:rPr/>
      </w:pPr>
      <w:bookmarkStart w:id="233" w:name="_Toc229057883"/>
      <w:r>
        <w:rPr/>
        <w:t>Vymezení šetřené oblasti</w:t>
      </w:r>
      <w:bookmarkEnd w:id="233"/>
    </w:p>
    <w:p>
      <w:pPr>
        <w:pStyle w:val="Textkol"/>
        <w:rPr/>
      </w:pPr>
      <w:r>
        <w:rPr/>
        <w:t>Tady se spojí a tím přesně vymezí jednotlivé relevantní trhy</w:t>
      </w:r>
    </w:p>
    <w:p>
      <w:pPr>
        <w:pStyle w:val="Heading2"/>
        <w:ind w:hanging="1135" w:left="142" w:right="284"/>
        <w:rPr/>
      </w:pPr>
      <w:bookmarkStart w:id="234" w:name="_Toc229057884"/>
      <w:r>
        <w:rPr/>
        <w:t>Vymezení jednotlivých mobilních služeb</w:t>
      </w:r>
      <w:bookmarkEnd w:id="234"/>
    </w:p>
    <w:p>
      <w:pPr>
        <w:pStyle w:val="Textprost"/>
        <w:rPr/>
      </w:pPr>
      <w:r>
        <w:rPr/>
        <w:t>Khzgcflhg</w:t>
      </w:r>
    </w:p>
    <w:p>
      <w:pPr>
        <w:pStyle w:val="Textprost"/>
        <w:rPr/>
      </w:pPr>
      <w:r>
        <w:rPr/>
        <w:t>khgclgh</w:t>
      </w:r>
    </w:p>
    <w:p>
      <w:pPr>
        <w:pStyle w:val="Heading2"/>
        <w:ind w:hanging="1135" w:left="142" w:right="284"/>
        <w:rPr/>
      </w:pPr>
      <w:bookmarkStart w:id="235" w:name="_Toc229057885"/>
      <w:r>
        <w:rPr/>
        <w:t>Vymezení relevantního trhu</w:t>
      </w:r>
      <w:bookmarkEnd w:id="235"/>
    </w:p>
    <w:p>
      <w:pPr>
        <w:pStyle w:val="Heading3"/>
        <w:ind w:hanging="1134" w:left="142" w:right="284"/>
        <w:rPr/>
      </w:pPr>
      <w:bookmarkStart w:id="236" w:name="_Toc229057886"/>
      <w:r>
        <w:rPr/>
        <w:t xml:space="preserve">Relevantní trh </w:t>
      </w:r>
      <w:commentRangeStart w:id="42"/>
      <w:commentRangeStart w:id="43"/>
      <w:r>
        <w:rPr/>
        <w:t>02A</w:t>
      </w:r>
      <w:r>
        <w:rPr/>
      </w:r>
      <w:commentRangeEnd w:id="43"/>
      <w:r>
        <w:commentReference w:id="43"/>
      </w:r>
      <w:r>
        <w:rPr/>
      </w:r>
      <w:commentRangeEnd w:id="42"/>
      <w:r>
        <w:commentReference w:id="42"/>
      </w:r>
      <w:r>
        <w:rPr/>
        <w:t>: X</w:t>
      </w:r>
      <w:bookmarkEnd w:id="236"/>
      <w:r>
        <w:rPr/>
        <w:t>XX</w:t>
      </w:r>
    </w:p>
    <w:p>
      <w:pPr>
        <w:pStyle w:val="Textprost"/>
        <w:rPr/>
      </w:pPr>
      <w:r>
        <w:rPr/>
        <w:t>Věcné a geografické</w:t>
      </w:r>
    </w:p>
    <w:p>
      <w:pPr>
        <w:pStyle w:val="Textprost"/>
        <w:rPr/>
      </w:pPr>
      <w:r>
        <w:rPr/>
        <w:t>Klzcg</w:t>
      </w:r>
    </w:p>
    <w:p>
      <w:pPr>
        <w:pStyle w:val="Textprost"/>
        <w:rPr/>
      </w:pPr>
      <w:r>
        <w:rPr/>
      </w:r>
    </w:p>
    <w:p>
      <w:pPr>
        <w:pStyle w:val="Heading3"/>
        <w:ind w:hanging="1134" w:left="142" w:right="284"/>
        <w:rPr/>
      </w:pPr>
      <w:bookmarkStart w:id="237" w:name="_Toc229057887"/>
      <w:r>
        <w:rPr/>
        <w:t>Trh 02B</w:t>
      </w:r>
      <w:bookmarkEnd w:id="237"/>
    </w:p>
    <w:p>
      <w:pPr>
        <w:pStyle w:val="Textprost"/>
        <w:rPr/>
      </w:pPr>
      <w:r>
        <w:rPr/>
        <w:t>Lckhgc</w:t>
      </w:r>
    </w:p>
    <w:p>
      <w:pPr>
        <w:pStyle w:val="Heading3"/>
        <w:ind w:hanging="1134" w:left="142" w:right="284"/>
        <w:rPr/>
      </w:pPr>
      <w:bookmarkStart w:id="238" w:name="_Toc229057888"/>
      <w:r>
        <w:rPr/>
        <w:t>Trh 02C</w:t>
      </w:r>
      <w:bookmarkEnd w:id="238"/>
    </w:p>
    <w:p>
      <w:pPr>
        <w:pStyle w:val="Textprost"/>
        <w:rPr/>
      </w:pPr>
      <w:r>
        <w:rPr/>
        <w:t>kzdc</w:t>
      </w:r>
    </w:p>
    <w:p>
      <w:pPr>
        <w:pStyle w:val="Heading2"/>
        <w:ind w:hanging="1135" w:left="142" w:right="284"/>
        <w:rPr/>
      </w:pPr>
      <w:bookmarkStart w:id="239" w:name="_Toc229057889"/>
      <w:r>
        <w:rPr/>
        <w:t>Vymezení souvisejících trhů</w:t>
      </w:r>
      <w:bookmarkEnd w:id="239"/>
    </w:p>
    <w:p>
      <w:pPr>
        <w:pStyle w:val="Textprost"/>
        <w:rPr/>
      </w:pPr>
      <w:r>
        <w:rPr/>
        <w:t>ougc</w:t>
      </w:r>
    </w:p>
    <w:p>
      <w:pPr>
        <w:pStyle w:val="Heading3"/>
        <w:ind w:hanging="1134" w:left="142" w:right="284"/>
        <w:rPr/>
      </w:pPr>
      <w:bookmarkStart w:id="240" w:name="_Toc229057890"/>
      <w:r>
        <w:rPr/>
        <w:t>Související šetřené statky</w:t>
      </w:r>
      <w:bookmarkEnd w:id="240"/>
    </w:p>
    <w:p>
      <w:pPr>
        <w:pStyle w:val="Textprost"/>
        <w:rPr/>
      </w:pPr>
      <w:r>
        <w:rPr/>
        <w:t>Kfghxck</w:t>
      </w:r>
    </w:p>
    <w:p>
      <w:pPr>
        <w:pStyle w:val="Heading2"/>
        <w:ind w:hanging="1135" w:left="142" w:right="284"/>
        <w:rPr/>
      </w:pPr>
      <w:bookmarkStart w:id="241" w:name="_Toc229057891"/>
      <w:r>
        <w:rPr/>
        <w:t>Tržní subjekty</w:t>
      </w:r>
      <w:bookmarkEnd w:id="241"/>
    </w:p>
    <w:p>
      <w:pPr>
        <w:pStyle w:val="Textprost"/>
        <w:rPr/>
      </w:pPr>
      <w:r>
        <w:rPr/>
        <w:t>Kzgtchg</w:t>
      </w:r>
    </w:p>
    <w:p>
      <w:pPr>
        <w:pStyle w:val="Heading2"/>
        <w:ind w:hanging="1135" w:left="142" w:right="284"/>
        <w:rPr/>
      </w:pPr>
      <w:bookmarkStart w:id="242" w:name="_Toc229057892"/>
      <w:r>
        <w:rPr/>
        <w:t>Návaznost šetřených trhů</w:t>
      </w:r>
      <w:bookmarkEnd w:id="242"/>
    </w:p>
    <w:p>
      <w:pPr>
        <w:pStyle w:val="Textkol"/>
        <w:rPr/>
      </w:pPr>
      <w:r>
        <w:rPr/>
        <w:t>Nějaký pěkný diagram?</w:t>
      </w:r>
    </w:p>
    <w:p>
      <w:pPr>
        <w:pStyle w:val="Textprost"/>
        <w:rPr/>
      </w:pPr>
      <w:r>
        <w:rPr/>
        <w:t>XXXdiagram</w:t>
      </w:r>
      <w:r>
        <w:br w:type="page"/>
      </w:r>
    </w:p>
    <w:p>
      <w:pPr>
        <w:pStyle w:val="Normal"/>
        <w:spacing w:before="0" w:after="120"/>
        <w:rPr/>
      </w:pPr>
      <w:r>
        <w:rPr/>
      </w:r>
    </w:p>
    <w:p>
      <w:pPr>
        <w:pStyle w:val="Heading1"/>
        <w:ind w:hanging="1135" w:left="142" w:right="284"/>
        <w:rPr/>
      </w:pPr>
      <w:bookmarkStart w:id="243" w:name="_Toc229057893"/>
      <w:r>
        <w:rPr/>
        <w:t>Trh A</w:t>
      </w:r>
      <w:bookmarkEnd w:id="243"/>
    </w:p>
    <w:p>
      <w:pPr>
        <w:pStyle w:val="Textprost"/>
        <w:rPr/>
      </w:pPr>
      <w:r>
        <w:rPr/>
        <w:t>ayůseiurgb</w:t>
      </w:r>
    </w:p>
    <w:p>
      <w:pPr>
        <w:pStyle w:val="Textprost"/>
        <w:rPr/>
      </w:pPr>
      <w:r>
        <w:rPr/>
        <w:t>A“!SIOr</w:t>
      </w:r>
    </w:p>
    <w:p>
      <w:pPr>
        <w:pStyle w:val="Heading2"/>
        <w:ind w:hanging="1135" w:left="142" w:right="284"/>
        <w:rPr/>
      </w:pPr>
      <w:bookmarkStart w:id="244" w:name="_Toc229057894"/>
      <w:r>
        <w:rPr/>
        <w:t xml:space="preserve">Naplnění předpokladů fungování tržního </w:t>
      </w:r>
      <w:commentRangeStart w:id="44"/>
      <w:r>
        <w:rPr/>
        <w:t>mechanismu</w:t>
      </w:r>
      <w:bookmarkEnd w:id="244"/>
      <w:commentRangeEnd w:id="44"/>
      <w:r>
        <w:commentReference w:id="44"/>
      </w:r>
      <w:r>
        <w:rPr/>
      </w:r>
    </w:p>
    <w:p>
      <w:pPr>
        <w:pStyle w:val="Heading3"/>
        <w:ind w:hanging="1134" w:left="142" w:right="284"/>
        <w:rPr/>
      </w:pPr>
      <w:bookmarkStart w:id="245" w:name="_Toc229057895"/>
      <w:r>
        <w:rPr/>
        <w:t>Cenová liberalizace</w:t>
      </w:r>
      <w:bookmarkEnd w:id="245"/>
    </w:p>
    <w:p>
      <w:pPr>
        <w:pStyle w:val="Textkol"/>
        <w:rPr/>
      </w:pPr>
      <w:r>
        <w:rPr/>
        <w:t>U každé dobíjecí stanice průměrný interval změny ceny za kWh ve dnech a pak histogram průměrů – cena fluktuuje = liberalizovaná (relativně)</w:t>
      </w:r>
    </w:p>
    <w:p>
      <w:pPr>
        <w:pStyle w:val="Textkol"/>
        <w:rPr/>
      </w:pPr>
      <w:r>
        <w:rPr/>
      </w:r>
    </w:p>
    <w:p>
      <w:pPr>
        <w:pStyle w:val="Textkol"/>
        <w:rPr/>
      </w:pPr>
      <w:r>
        <w:rPr/>
        <w:t>Časový graf – interval ceny dobíjení (min max medián) a graf vývoje velkoobchodní ceny; dopočítat vzájemnou korelaci(?)/závislost… jak moc je oddělená od dominantního nákladu (?)</w:t>
      </w:r>
    </w:p>
    <w:p>
      <w:pPr>
        <w:pStyle w:val="Heading3"/>
        <w:ind w:hanging="1134" w:left="142" w:right="284"/>
        <w:rPr/>
      </w:pPr>
      <w:bookmarkStart w:id="246" w:name="_Toc229057896"/>
      <w:r>
        <w:rPr/>
        <w:t>Vlastnická suverenita</w:t>
      </w:r>
      <w:bookmarkEnd w:id="246"/>
    </w:p>
    <w:p>
      <w:pPr>
        <w:pStyle w:val="Textkol"/>
        <w:rPr/>
      </w:pPr>
      <w:r>
        <w:rPr/>
        <w:t>Kvalitativní dotaz (podle jejich názoru největší limity při snaze uskutečnit nový záměr na dobíjecí stanici) / ev. zjistit parcely dobíjecích stanic a poměry soukromé/veřejné – datum posledního převodu X datum otevření dobíjecí stanice (rozdělení souboru před a po otevření) – relativní častost v nakládání s výrobními faktory</w:t>
      </w:r>
    </w:p>
    <w:p>
      <w:pPr>
        <w:pStyle w:val="Heading3"/>
        <w:ind w:hanging="1134" w:left="142" w:right="284"/>
        <w:rPr/>
      </w:pPr>
      <w:bookmarkStart w:id="247" w:name="_Toc229057897"/>
      <w:r>
        <w:rPr/>
        <w:t>Existence trhu výrobních faktorů</w:t>
      </w:r>
      <w:bookmarkEnd w:id="247"/>
      <w:r>
        <w:rPr/>
        <w:t xml:space="preserve"> </w:t>
      </w:r>
    </w:p>
    <w:p>
      <w:pPr>
        <w:pStyle w:val="Textkol"/>
        <w:rPr/>
      </w:pPr>
      <w:r>
        <w:rPr/>
        <w:t>Jen konstatovat + koláčový graf za celou republiku dodávek elektřiny</w:t>
      </w:r>
    </w:p>
    <w:p>
      <w:pPr>
        <w:pStyle w:val="Textkol"/>
        <w:rPr/>
      </w:pPr>
      <w:r>
        <w:rPr/>
        <w:t>Zjistit, z vyžádaných smluv, jak často se měnili dodavatelé elektřiny + jaké jsou podmínky výpovědi smlouvy</w:t>
      </w:r>
    </w:p>
    <w:p>
      <w:pPr>
        <w:pStyle w:val="Textkol"/>
        <w:rPr/>
      </w:pPr>
      <w:r>
        <w:rPr/>
        <w:t>? otevřít problematiku pozemků u dálnic? Omezení atp.?</w:t>
      </w:r>
    </w:p>
    <w:p>
      <w:pPr>
        <w:pStyle w:val="Textkol"/>
        <w:rPr/>
      </w:pPr>
      <w:r>
        <w:rPr/>
        <w:t>Kvalitativní otázka ve vyžadovačce „Neuskutečnili jste v minulosti jeden a více projektů na dobíjecí stanici? ANO – z důvodu „elektřina, parcela, stavební úřad, jiné: uveďte““</w:t>
      </w:r>
    </w:p>
    <w:p>
      <w:pPr>
        <w:pStyle w:val="Heading2"/>
        <w:ind w:hanging="1135" w:left="142" w:right="284"/>
        <w:rPr/>
      </w:pPr>
      <w:bookmarkStart w:id="248" w:name="_Toc229057898"/>
      <w:r>
        <w:rPr/>
        <w:t>Přítomnost tržních selhání</w:t>
      </w:r>
      <w:bookmarkEnd w:id="248"/>
    </w:p>
    <w:p>
      <w:pPr>
        <w:pStyle w:val="Heading3"/>
        <w:ind w:hanging="1134" w:left="142" w:right="284"/>
        <w:rPr/>
      </w:pPr>
      <w:bookmarkStart w:id="249" w:name="_Toc229057899"/>
      <w:r>
        <w:rPr/>
        <w:t>Externality</w:t>
      </w:r>
      <w:bookmarkEnd w:id="249"/>
    </w:p>
    <w:p>
      <w:pPr>
        <w:pStyle w:val="Textkol"/>
        <w:rPr/>
      </w:pPr>
      <w:r>
        <w:rPr/>
        <w:t>Monitoring tisku na negativní ohlasy dobíjecích stanic (neužitek)</w:t>
      </w:r>
    </w:p>
    <w:p>
      <w:pPr>
        <w:pStyle w:val="Textkol"/>
        <w:rPr/>
      </w:pPr>
      <w:r>
        <w:rPr/>
        <w:t>Kontrastovat se změnou stavební legislativy… zjistit/odhadnout změnu v ploše atp. (netržní společenský náklad)</w:t>
      </w:r>
    </w:p>
    <w:p>
      <w:pPr>
        <w:pStyle w:val="Textkol"/>
        <w:rPr/>
      </w:pPr>
      <w:r>
        <w:rPr/>
        <w:t>Odkázat na studie eco friendly</w:t>
      </w:r>
    </w:p>
    <w:p>
      <w:pPr>
        <w:pStyle w:val="Textkol"/>
        <w:rPr/>
      </w:pPr>
      <w:r>
        <w:rPr/>
        <w:t>= nejsou signifikantní negativní externality</w:t>
      </w:r>
    </w:p>
    <w:p>
      <w:pPr>
        <w:pStyle w:val="Heading3"/>
        <w:ind w:hanging="1134" w:left="142" w:right="284"/>
        <w:rPr/>
      </w:pPr>
      <w:bookmarkStart w:id="250" w:name="_Toc229057900"/>
      <w:r>
        <w:rPr/>
        <w:t>Veřejné statky</w:t>
      </w:r>
      <w:bookmarkEnd w:id="250"/>
    </w:p>
    <w:p>
      <w:pPr>
        <w:pStyle w:val="Textkol"/>
        <w:rPr/>
      </w:pPr>
      <w:r>
        <w:rPr/>
        <w:t>% parcel ve veřejném vlastnictví, když málo = nemá významný vliv</w:t>
      </w:r>
    </w:p>
    <w:p>
      <w:pPr>
        <w:pStyle w:val="Heading3"/>
        <w:ind w:hanging="1134" w:left="142" w:right="284"/>
        <w:rPr/>
      </w:pPr>
      <w:bookmarkStart w:id="251" w:name="_Toc229057901"/>
      <w:r>
        <w:rPr/>
        <w:t>Asymetrie informací</w:t>
      </w:r>
      <w:bookmarkEnd w:id="251"/>
    </w:p>
    <w:p>
      <w:pPr>
        <w:pStyle w:val="Textkol"/>
        <w:rPr/>
      </w:pPr>
      <w:r>
        <w:rPr/>
        <w:t>Přehled spotřebitelů o cenách X přehled majitelů dobíjecích stanic o chování spotřebitelů – vytáhnout z transakčních dat prům dobíjecí vzdálenost – otevírá prostor k odčerpání přebytku spotřebitele v případě, že je nižší hustota sítě</w:t>
      </w:r>
    </w:p>
    <w:p>
      <w:pPr>
        <w:pStyle w:val="Heading3"/>
        <w:ind w:hanging="1134" w:left="142" w:right="284"/>
        <w:rPr/>
      </w:pPr>
      <w:bookmarkStart w:id="252" w:name="_Toc229057902"/>
      <w:r>
        <w:rPr/>
        <w:t>Vládní selhání</w:t>
      </w:r>
      <w:bookmarkEnd w:id="252"/>
    </w:p>
    <w:p>
      <w:pPr>
        <w:pStyle w:val="Textkol"/>
        <w:rPr/>
      </w:pPr>
      <w:r>
        <w:rPr/>
        <w:t>Viz části k právní regulaci + Budeme chtít řešit i podmínky dotací/podpor</w:t>
      </w:r>
    </w:p>
    <w:p>
      <w:pPr>
        <w:pStyle w:val="Heading3"/>
        <w:ind w:hanging="1134" w:left="142" w:right="284"/>
        <w:rPr/>
      </w:pPr>
      <w:bookmarkStart w:id="253" w:name="_Toc229057903"/>
      <w:r>
        <w:rPr/>
        <w:t>Nedokonalá konkurence</w:t>
      </w:r>
      <w:bookmarkEnd w:id="253"/>
    </w:p>
    <w:p>
      <w:pPr>
        <w:pStyle w:val="Textkol"/>
        <w:rPr/>
      </w:pPr>
      <w:r>
        <w:rPr/>
        <w:t>Koncentrace z veřejných dat – viz následující část</w:t>
      </w:r>
    </w:p>
    <w:p>
      <w:pPr>
        <w:pStyle w:val="Heading2"/>
        <w:ind w:hanging="1135" w:left="142" w:right="284"/>
        <w:rPr/>
      </w:pPr>
      <w:bookmarkStart w:id="254" w:name="_Toc229057904"/>
      <w:r>
        <w:rPr/>
        <w:t>Nedokonale konkurenční tržní struktura</w:t>
      </w:r>
      <w:bookmarkEnd w:id="254"/>
    </w:p>
    <w:p>
      <w:pPr>
        <w:pStyle w:val="Heading3"/>
        <w:ind w:hanging="1134" w:left="142" w:right="284"/>
        <w:rPr/>
      </w:pPr>
      <w:bookmarkStart w:id="255" w:name="_Toc229057905"/>
      <w:r>
        <w:rPr/>
        <w:t>Tržní síla</w:t>
      </w:r>
      <w:bookmarkEnd w:id="255"/>
    </w:p>
    <w:p>
      <w:pPr>
        <w:pStyle w:val="Textkol"/>
        <w:rPr/>
      </w:pPr>
      <w:r>
        <w:rPr/>
        <w:t>Podíly (MPO + transakční data), nezávislost (kvalitativní otázka – otevřená na limity a omezení při provozování dobíjecí stanice), relativní cenoví outlieři (transakční data – popisná statistika na okresy bez dobíječek na dálnicích a pak jednotlivé dálnice)</w:t>
      </w:r>
    </w:p>
    <w:p>
      <w:pPr>
        <w:pStyle w:val="Heading3"/>
        <w:ind w:hanging="1134" w:left="142" w:right="284"/>
        <w:rPr/>
      </w:pPr>
      <w:bookmarkStart w:id="256" w:name="_Toc229057906"/>
      <w:r>
        <w:rPr/>
        <w:t>Tržní struktura a její stabilita</w:t>
      </w:r>
      <w:bookmarkEnd w:id="256"/>
    </w:p>
    <w:p>
      <w:pPr>
        <w:pStyle w:val="Textkol"/>
        <w:rPr/>
      </w:pPr>
      <w:r>
        <w:rPr/>
        <w:t xml:space="preserve">Dynamika tržních podílů (MPO + transakční data), </w:t>
      </w:r>
    </w:p>
    <w:p>
      <w:pPr>
        <w:pStyle w:val="Textkol"/>
        <w:rPr/>
      </w:pPr>
      <w:r>
        <w:rPr/>
        <w:t xml:space="preserve">stabilita podílů (MPO + transakční data) a </w:t>
      </w:r>
    </w:p>
    <w:p>
      <w:pPr>
        <w:pStyle w:val="Textkol"/>
        <w:rPr/>
      </w:pPr>
      <w:r>
        <w:rPr/>
        <w:t>cen (nějaký regresní model cen třeba se strukturálními zlomy v čase změny regulace? Uděláme i nějaký regresní model na cenách + socioekonomické faktory okresů? Obcí? Jednotlivých trhů = statisticky ukážeme, že jde o jiný geograficky oddělený trh)</w:t>
      </w:r>
    </w:p>
    <w:p>
      <w:pPr>
        <w:pStyle w:val="Textkol"/>
        <w:rPr/>
      </w:pPr>
      <w:r>
        <w:rPr/>
        <w:t>Budeme chtít nějak řešit i dopočet TR (transakce) – Cenergie (spotřebovaná elektřina * cena ze smlouvy) = úhrada na zisk a ostatní VF? Mapa republiky se sloupečky? Budeme chtít FC/dobíjecí stanici (assumption) a tedy ziskovou marži? Rozdíly v maržích a pak regresní model? (region, socio-ekonomické, počet registrovaných elektromobilů)</w:t>
      </w:r>
    </w:p>
    <w:p>
      <w:pPr>
        <w:pStyle w:val="Heading3"/>
        <w:ind w:hanging="1134" w:left="142" w:right="284"/>
        <w:rPr/>
      </w:pPr>
      <w:bookmarkStart w:id="257" w:name="_Toc229057907"/>
      <w:r>
        <w:rPr/>
        <w:t>Bariéry vstupu</w:t>
      </w:r>
      <w:bookmarkEnd w:id="257"/>
    </w:p>
    <w:p>
      <w:pPr>
        <w:pStyle w:val="Textkol"/>
        <w:rPr/>
      </w:pPr>
      <w:r>
        <w:rPr/>
        <w:t xml:space="preserve">expanze konkurentů (MPO – srovnání x historických tabulek a měnící se vlastnictví), možnost vstupu na trh (počet nových subjektů za rok… z justice, kdo to je, co dělá a kdy byl založen + z výkazů velikost/zisk?), </w:t>
      </w:r>
    </w:p>
    <w:p>
      <w:pPr>
        <w:pStyle w:val="Textkol"/>
        <w:rPr/>
      </w:pPr>
      <w:r>
        <w:rPr/>
        <w:t xml:space="preserve">výnosy z rozsahu, </w:t>
      </w:r>
    </w:p>
    <w:p>
      <w:pPr>
        <w:pStyle w:val="Textkol"/>
        <w:rPr/>
      </w:pPr>
      <w:r>
        <w:rPr/>
        <w:t xml:space="preserve">výnosy z přidružené činnosti, </w:t>
      </w:r>
    </w:p>
    <w:p>
      <w:pPr>
        <w:pStyle w:val="Textkol"/>
        <w:rPr/>
      </w:pPr>
      <w:r>
        <w:rPr/>
        <w:t xml:space="preserve">síťové efekty (transakční data… kdy vyskočí stejná platební karta u jiného provozovatele? XY scatter plot X počet stanic v síti, Y % dobíjení u jiných), </w:t>
      </w:r>
    </w:p>
    <w:p>
      <w:pPr>
        <w:pStyle w:val="Textkol"/>
        <w:rPr/>
      </w:pPr>
      <w:r>
        <w:rPr/>
        <w:t xml:space="preserve">data driven advantage, </w:t>
      </w:r>
    </w:p>
    <w:p>
      <w:pPr>
        <w:pStyle w:val="Textkol"/>
        <w:rPr/>
      </w:pPr>
      <w:r>
        <w:rPr/>
        <w:t xml:space="preserve">switching costs (balíčky dodavatelů el. délka trvání smlouvy/četnost změn atp? jak budeme srovnávat? Podle čísla odběrného místa? Budeme se ptát i distributorů el?), </w:t>
      </w:r>
    </w:p>
    <w:p>
      <w:pPr>
        <w:pStyle w:val="Textkol"/>
        <w:rPr/>
      </w:pPr>
      <w:r>
        <w:rPr/>
        <w:t xml:space="preserve">dispozice s nezbytným vstupem (transakční data - % transakcí obsloužených mimo výrobce a distributory – po měsících a vývoj?), </w:t>
      </w:r>
    </w:p>
    <w:p>
      <w:pPr>
        <w:pStyle w:val="Textkol"/>
        <w:rPr/>
      </w:pPr>
      <w:r>
        <w:rPr/>
        <w:t xml:space="preserve">výhoda existující distribuční sítě (viz bod výše), </w:t>
      </w:r>
    </w:p>
    <w:p>
      <w:pPr>
        <w:pStyle w:val="Textkol"/>
        <w:rPr/>
      </w:pPr>
      <w:r>
        <w:rPr/>
        <w:t>behavioural bias (one-stop-shop – elektřina a regionální stereotyp… dohledat karty, které fungují nejdéle a na nich měřit změnu chování? 2x XY scatter plot X čas v měsících a Y počet dobití v měsících a Y největší vzdálenost dvou dobíječek v daném měsíci)</w:t>
      </w:r>
    </w:p>
    <w:p>
      <w:pPr>
        <w:pStyle w:val="Heading3"/>
        <w:ind w:hanging="1134" w:left="142" w:right="284"/>
        <w:rPr/>
      </w:pPr>
      <w:bookmarkStart w:id="258" w:name="_Toc229057908"/>
      <w:r>
        <w:rPr/>
        <w:t>Vertikální a horizontální integrace</w:t>
      </w:r>
      <w:bookmarkEnd w:id="258"/>
    </w:p>
    <w:p>
      <w:pPr>
        <w:pStyle w:val="Textkol"/>
        <w:rPr/>
      </w:pPr>
      <w:r>
        <w:rPr/>
        <w:t>MPO – počet dobíječek distributorů, MPO – počet provozovatelů s více než jednou dobíjecí stanicí</w:t>
      </w:r>
    </w:p>
    <w:p>
      <w:pPr>
        <w:pStyle w:val="Heading3"/>
        <w:ind w:hanging="1134" w:left="142" w:right="284"/>
        <w:rPr/>
      </w:pPr>
      <w:bookmarkStart w:id="259" w:name="_Toc229057909"/>
      <w:r>
        <w:rPr/>
        <w:t>Margin squeeze</w:t>
      </w:r>
      <w:bookmarkEnd w:id="259"/>
    </w:p>
    <w:p>
      <w:pPr>
        <w:pStyle w:val="Textkol"/>
        <w:rPr/>
      </w:pPr>
      <w:r>
        <w:rPr/>
        <w:t>Transakční data – cena dobíjení kWh a cena ze smluv kWh… vývoj v čase</w:t>
      </w:r>
    </w:p>
    <w:p>
      <w:pPr>
        <w:pStyle w:val="Heading3"/>
        <w:ind w:hanging="1134" w:left="142" w:right="284"/>
        <w:rPr/>
      </w:pPr>
      <w:bookmarkStart w:id="260" w:name="_Toc229057910"/>
      <w:r>
        <w:rPr/>
        <w:t>Vynucování nepřiměřených nebo rozdílných podmínek</w:t>
      </w:r>
      <w:bookmarkEnd w:id="260"/>
    </w:p>
    <w:p>
      <w:pPr>
        <w:pStyle w:val="Textkol"/>
        <w:rPr/>
      </w:pPr>
      <w:r>
        <w:rPr/>
        <w:t>Posouzení předložených smluv</w:t>
      </w:r>
    </w:p>
    <w:p>
      <w:pPr>
        <w:pStyle w:val="Heading2"/>
        <w:ind w:hanging="1135" w:left="142" w:right="284"/>
        <w:rPr/>
      </w:pPr>
      <w:bookmarkStart w:id="261" w:name="_Toc229057911"/>
      <w:r>
        <w:rPr/>
        <w:t>Shrnutí kapitoly</w:t>
      </w:r>
      <w:bookmarkEnd w:id="261"/>
    </w:p>
    <w:p>
      <w:pPr>
        <w:pStyle w:val="Normal"/>
        <w:spacing w:lineRule="auto" w:line="259" w:before="0" w:after="160"/>
        <w:ind w:left="0" w:right="0"/>
        <w:jc w:val="left"/>
        <w:rPr/>
      </w:pPr>
      <w:r>
        <w:rPr/>
      </w:r>
      <w:r>
        <w:br w:type="page"/>
      </w:r>
    </w:p>
    <w:p>
      <w:pPr>
        <w:pStyle w:val="Normal"/>
        <w:spacing w:before="0" w:after="120"/>
        <w:rPr/>
      </w:pPr>
      <w:r>
        <w:rPr/>
      </w:r>
    </w:p>
    <w:p>
      <w:pPr>
        <w:pStyle w:val="Heading1"/>
        <w:ind w:hanging="1135" w:left="142" w:right="284"/>
        <w:rPr/>
      </w:pPr>
      <w:bookmarkStart w:id="262" w:name="_Toc229057912"/>
      <w:commentRangeStart w:id="45"/>
      <w:r>
        <w:rPr/>
        <w:t>Trh B</w:t>
      </w:r>
      <w:bookmarkEnd w:id="262"/>
      <w:commentRangeEnd w:id="45"/>
      <w:r>
        <w:commentReference w:id="45"/>
      </w:r>
      <w:r>
        <w:rPr/>
      </w:r>
    </w:p>
    <w:p>
      <w:pPr>
        <w:pStyle w:val="Normal"/>
        <w:rPr/>
      </w:pPr>
      <w:r>
        <w:rPr/>
        <w:t>ayůseiurgb</w:t>
      </w:r>
    </w:p>
    <w:p>
      <w:pPr>
        <w:pStyle w:val="Normal"/>
        <w:rPr/>
      </w:pPr>
      <w:r>
        <w:rPr/>
        <w:t>A“!SIOr</w:t>
      </w:r>
    </w:p>
    <w:p>
      <w:pPr>
        <w:pStyle w:val="Heading2"/>
        <w:ind w:hanging="1135" w:left="142" w:right="284"/>
        <w:rPr/>
      </w:pPr>
      <w:bookmarkStart w:id="263" w:name="_Toc229057913"/>
      <w:r>
        <w:rPr/>
        <w:t>Naplnění předpokladů fungování tržního mechanizmu</w:t>
      </w:r>
      <w:bookmarkEnd w:id="263"/>
    </w:p>
    <w:p>
      <w:pPr>
        <w:pStyle w:val="Heading3"/>
        <w:ind w:hanging="1134" w:left="142" w:right="284"/>
        <w:rPr/>
      </w:pPr>
      <w:bookmarkStart w:id="264" w:name="_Toc229057914"/>
      <w:r>
        <w:rPr/>
        <w:t>Cenová liberalizace</w:t>
      </w:r>
      <w:bookmarkEnd w:id="264"/>
    </w:p>
    <w:p>
      <w:pPr>
        <w:pStyle w:val="Normal"/>
        <w:rPr/>
      </w:pPr>
      <w:r>
        <w:rPr/>
        <w:t>U každé dobíjecí stanice průměrný interval změny ceny za kWh ve dnech a pak histogram průměrů – cena fluktuuje = liberalizovaná (relativně)</w:t>
      </w:r>
    </w:p>
    <w:p>
      <w:pPr>
        <w:pStyle w:val="Heading3"/>
        <w:ind w:hanging="1134" w:left="142" w:right="284"/>
        <w:rPr/>
      </w:pPr>
      <w:bookmarkStart w:id="265" w:name="_Toc229057915"/>
      <w:r>
        <w:rPr/>
        <w:t>Vlastnická suverenita</w:t>
      </w:r>
      <w:bookmarkEnd w:id="265"/>
    </w:p>
    <w:p>
      <w:pPr>
        <w:pStyle w:val="Normal"/>
        <w:rPr/>
      </w:pPr>
      <w:r>
        <w:rPr/>
        <w:t>Kvalitativní dotaz (podle jejich názoru největší limity při snaze uskutečnit nový záměr na dobíjecí stanici) / ev. zjistit parcely dobíjecích stanic a poměry soukromé/veřejné – datum posledního převodu X datum otevření dobíjecí stanice (rozdělení souboru před a po otevření) – relativní častost v nakládání s výrobními faktory</w:t>
      </w:r>
    </w:p>
    <w:p>
      <w:pPr>
        <w:pStyle w:val="Heading3"/>
        <w:ind w:hanging="1134" w:left="142" w:right="284"/>
        <w:rPr/>
      </w:pPr>
      <w:bookmarkStart w:id="266" w:name="_Toc229057916"/>
      <w:r>
        <w:rPr/>
        <w:t>Existence trhu výrobních faktorů</w:t>
      </w:r>
      <w:bookmarkEnd w:id="266"/>
      <w:r>
        <w:rPr/>
        <w:t xml:space="preserve"> </w:t>
      </w:r>
    </w:p>
    <w:p>
      <w:pPr>
        <w:pStyle w:val="Normal"/>
        <w:rPr/>
      </w:pPr>
      <w:r>
        <w:rPr/>
        <w:t>Jen konstatovat + koláčový graf za celou republiku dodávek elektřiny</w:t>
      </w:r>
    </w:p>
    <w:p>
      <w:pPr>
        <w:pStyle w:val="Normal"/>
        <w:rPr/>
      </w:pPr>
      <w:r>
        <w:rPr/>
        <w:t>Zjistit, z vyžádaných smluv, jak často se měnili dodavatelé elektřiny + jaké jsou podmínky výpovědi smlouvy</w:t>
      </w:r>
    </w:p>
    <w:p>
      <w:pPr>
        <w:pStyle w:val="Normal"/>
        <w:rPr/>
      </w:pPr>
      <w:r>
        <w:rPr/>
        <w:t>? otevřít problematiku pozemků u dálnic? Omezení atp.?</w:t>
      </w:r>
    </w:p>
    <w:p>
      <w:pPr>
        <w:pStyle w:val="Normal"/>
        <w:rPr/>
      </w:pPr>
      <w:r>
        <w:rPr/>
        <w:t>Kvalitativní otázka ve vyžadovačce „Neuskutečnili jste v minulosti jeden a více projektů na dobíjecí stanici? ANO – z důvodu „elektřina, parcela, stavební úřad, jiné: uveďte““</w:t>
      </w:r>
    </w:p>
    <w:p>
      <w:pPr>
        <w:pStyle w:val="Heading2"/>
        <w:ind w:hanging="1135" w:left="142" w:right="284"/>
        <w:rPr/>
      </w:pPr>
      <w:bookmarkStart w:id="267" w:name="_Toc229057917"/>
      <w:r>
        <w:rPr/>
        <w:t>Přítomnost tržních selhání</w:t>
      </w:r>
      <w:bookmarkEnd w:id="267"/>
    </w:p>
    <w:p>
      <w:pPr>
        <w:pStyle w:val="Heading3"/>
        <w:ind w:hanging="1134" w:left="142" w:right="284"/>
        <w:rPr/>
      </w:pPr>
      <w:bookmarkStart w:id="268" w:name="_Toc229057918"/>
      <w:r>
        <w:rPr/>
        <w:t>Externality</w:t>
      </w:r>
      <w:bookmarkEnd w:id="268"/>
    </w:p>
    <w:p>
      <w:pPr>
        <w:pStyle w:val="Normal"/>
        <w:rPr/>
      </w:pPr>
      <w:r>
        <w:rPr/>
        <w:t>Monitoring tisku na negativní ohlasy dobíjecích stanic (neužitek)</w:t>
      </w:r>
    </w:p>
    <w:p>
      <w:pPr>
        <w:pStyle w:val="Normal"/>
        <w:rPr/>
      </w:pPr>
      <w:r>
        <w:rPr/>
        <w:t>Kontrastovat se změnou stavební legislativy… zjistit/odhadnout změnu v ploše atp. (netržní společenský náklad)</w:t>
      </w:r>
    </w:p>
    <w:p>
      <w:pPr>
        <w:pStyle w:val="Normal"/>
        <w:rPr/>
      </w:pPr>
      <w:r>
        <w:rPr/>
        <w:t>Odkázat na studie eco friendly</w:t>
      </w:r>
    </w:p>
    <w:p>
      <w:pPr>
        <w:pStyle w:val="Normal"/>
        <w:rPr/>
      </w:pPr>
      <w:r>
        <w:rPr/>
        <w:t>= nejsou signifikantní negativní externality</w:t>
      </w:r>
    </w:p>
    <w:p>
      <w:pPr>
        <w:pStyle w:val="Heading3"/>
        <w:ind w:hanging="1134" w:left="142" w:right="284"/>
        <w:rPr/>
      </w:pPr>
      <w:bookmarkStart w:id="269" w:name="_Toc229057919"/>
      <w:r>
        <w:rPr/>
        <w:t>Veřejné statky</w:t>
      </w:r>
      <w:bookmarkEnd w:id="269"/>
    </w:p>
    <w:p>
      <w:pPr>
        <w:pStyle w:val="Normal"/>
        <w:rPr/>
      </w:pPr>
      <w:r>
        <w:rPr/>
        <w:t>% parcel ve veřejném vlastnictví, když málo = nemá významný vliv</w:t>
      </w:r>
    </w:p>
    <w:p>
      <w:pPr>
        <w:pStyle w:val="Heading3"/>
        <w:ind w:hanging="1134" w:left="142" w:right="284"/>
        <w:rPr/>
      </w:pPr>
      <w:bookmarkStart w:id="270" w:name="_Toc229057920"/>
      <w:r>
        <w:rPr/>
        <w:t>Asymetrie informací</w:t>
      </w:r>
      <w:bookmarkEnd w:id="270"/>
    </w:p>
    <w:p>
      <w:pPr>
        <w:pStyle w:val="Normal"/>
        <w:rPr/>
      </w:pPr>
      <w:r>
        <w:rPr/>
        <w:t>Přehled spotřebitelů o cenách X přehled majitelů dobíjecích stanic o chování spotřebitelů – vytáhnout z transakčních dat prům dobíjecí vzdálenost – otevírá prostor k odčerpání přebytku spotřebitele v případě, že je nižší hustota sítě</w:t>
      </w:r>
    </w:p>
    <w:p>
      <w:pPr>
        <w:pStyle w:val="Heading3"/>
        <w:ind w:hanging="1134" w:left="142" w:right="284"/>
        <w:rPr/>
      </w:pPr>
      <w:bookmarkStart w:id="271" w:name="_Toc229057921"/>
      <w:r>
        <w:rPr/>
        <w:t>Vládní selhání</w:t>
      </w:r>
      <w:bookmarkEnd w:id="271"/>
    </w:p>
    <w:p>
      <w:pPr>
        <w:pStyle w:val="Normal"/>
        <w:rPr/>
      </w:pPr>
      <w:r>
        <w:rPr/>
        <w:t>Viz části k právní regulaci + Budeme chtít řešit i podmínky dotací/podpor</w:t>
      </w:r>
    </w:p>
    <w:p>
      <w:pPr>
        <w:pStyle w:val="Heading3"/>
        <w:ind w:hanging="1134" w:left="142" w:right="284"/>
        <w:rPr/>
      </w:pPr>
      <w:bookmarkStart w:id="272" w:name="_Toc229057922"/>
      <w:r>
        <w:rPr/>
        <w:t>Nedokonalá konkurence</w:t>
      </w:r>
      <w:bookmarkEnd w:id="272"/>
    </w:p>
    <w:p>
      <w:pPr>
        <w:pStyle w:val="Normal"/>
        <w:rPr/>
      </w:pPr>
      <w:r>
        <w:rPr/>
        <w:t>Koncentrace z veřejných dat – viz následující část</w:t>
      </w:r>
    </w:p>
    <w:p>
      <w:pPr>
        <w:pStyle w:val="Heading2"/>
        <w:ind w:hanging="1135" w:left="142" w:right="284"/>
        <w:rPr/>
      </w:pPr>
      <w:bookmarkStart w:id="273" w:name="_Toc229057923"/>
      <w:r>
        <w:rPr/>
        <w:t>Nedokonale konkurenční tržní struktura</w:t>
      </w:r>
      <w:bookmarkEnd w:id="273"/>
    </w:p>
    <w:p>
      <w:pPr>
        <w:pStyle w:val="Heading3"/>
        <w:ind w:hanging="1134" w:left="142" w:right="284"/>
        <w:rPr/>
      </w:pPr>
      <w:bookmarkStart w:id="274" w:name="_Toc229057924"/>
      <w:r>
        <w:rPr/>
        <w:t>Tržní síla</w:t>
      </w:r>
      <w:bookmarkEnd w:id="274"/>
    </w:p>
    <w:p>
      <w:pPr>
        <w:pStyle w:val="Normal"/>
        <w:rPr/>
      </w:pPr>
      <w:r>
        <w:rPr/>
        <w:t>Podíly (MPO + transakční data), nezávislost (kvalitativní otázka – otevřená na limity a omezení při provozování dobíjecí stanice), relativní cenoví outlieři (transakční data – popisná statistika na okresy bez dobíječek na dálnicích a pak jednotlivé dálnice)</w:t>
      </w:r>
    </w:p>
    <w:p>
      <w:pPr>
        <w:pStyle w:val="Heading3"/>
        <w:ind w:hanging="1134" w:left="142" w:right="284"/>
        <w:rPr/>
      </w:pPr>
      <w:bookmarkStart w:id="275" w:name="_Toc229057925"/>
      <w:r>
        <w:rPr/>
        <w:t>Tržní struktura a její stabilita</w:t>
      </w:r>
      <w:bookmarkEnd w:id="275"/>
    </w:p>
    <w:p>
      <w:pPr>
        <w:pStyle w:val="Normal"/>
        <w:rPr/>
      </w:pPr>
      <w:r>
        <w:rPr/>
        <w:t xml:space="preserve">Dynamika tržních podílů (MPO + transakční data), </w:t>
      </w:r>
    </w:p>
    <w:p>
      <w:pPr>
        <w:pStyle w:val="Normal"/>
        <w:rPr/>
      </w:pPr>
      <w:r>
        <w:rPr/>
        <w:t xml:space="preserve">stabilita podílů (MPO + transakční data) a </w:t>
      </w:r>
    </w:p>
    <w:p>
      <w:pPr>
        <w:pStyle w:val="Normal"/>
        <w:rPr/>
      </w:pPr>
      <w:r>
        <w:rPr/>
        <w:t>cen (nějaký regresní model cen třeba se strukturálními zlomy v čase změny regulace? Uděláme i nějaký regresní model na cenách + socioekonomické faktory okresů? Obcí? Jednotlivých trhů = statisticky ukážeme, že jde o jiný geograficky oddělený trh)</w:t>
      </w:r>
    </w:p>
    <w:p>
      <w:pPr>
        <w:pStyle w:val="Normal"/>
        <w:rPr/>
      </w:pPr>
      <w:r>
        <w:rPr/>
        <w:t>Budeme chtít nějak řešit i dopočet TR (transakce) – Cenergie (spotřebovaná elektřina * cena ze smlouvy) = úhrada na zisk a ostatní VF? Mapa republiky se sloupečky? Budeme chtít FC/dobíjecí stanici (assumption) a tedy ziskovou marži? Rozdíly v maržích a pak regresní model? (region, socio-ekonomické, počet registrovaných elektromobilů)</w:t>
      </w:r>
    </w:p>
    <w:p>
      <w:pPr>
        <w:pStyle w:val="Heading3"/>
        <w:ind w:hanging="1134" w:left="142" w:right="284"/>
        <w:rPr/>
      </w:pPr>
      <w:bookmarkStart w:id="276" w:name="_Toc229057926"/>
      <w:r>
        <w:rPr/>
        <w:t>Bariéry vstupu</w:t>
      </w:r>
      <w:bookmarkEnd w:id="276"/>
    </w:p>
    <w:p>
      <w:pPr>
        <w:pStyle w:val="Normal"/>
        <w:rPr/>
      </w:pPr>
      <w:r>
        <w:rPr/>
        <w:t xml:space="preserve">expanze konkurentů (MPO – srovnání x historických tabulek a měnící se vlastnictví), možnost vstupu na trh (počet nových subjektů za rok… z justice, kdo to je, co dělá a kdy byl založen + z výkazů velikost/zisk?), </w:t>
      </w:r>
    </w:p>
    <w:p>
      <w:pPr>
        <w:pStyle w:val="Normal"/>
        <w:rPr/>
      </w:pPr>
      <w:r>
        <w:rPr/>
        <w:t xml:space="preserve">výnosy z rozsahu, </w:t>
      </w:r>
    </w:p>
    <w:p>
      <w:pPr>
        <w:pStyle w:val="Normal"/>
        <w:rPr/>
      </w:pPr>
      <w:r>
        <w:rPr/>
        <w:t xml:space="preserve">výnosy z přidružené činnosti, </w:t>
      </w:r>
    </w:p>
    <w:p>
      <w:pPr>
        <w:pStyle w:val="Normal"/>
        <w:rPr/>
      </w:pPr>
      <w:r>
        <w:rPr/>
        <w:t xml:space="preserve">síťové efekty (transakční data… kdy vyskočí stejná platební karta u jiného provozovatele? XY scatter plot X počet stanic v síti, Y % dobíjení u jiných), </w:t>
      </w:r>
    </w:p>
    <w:p>
      <w:pPr>
        <w:pStyle w:val="Normal"/>
        <w:rPr/>
      </w:pPr>
      <w:r>
        <w:rPr/>
        <w:t xml:space="preserve">data driven advantage, </w:t>
      </w:r>
    </w:p>
    <w:p>
      <w:pPr>
        <w:pStyle w:val="Normal"/>
        <w:rPr/>
      </w:pPr>
      <w:r>
        <w:rPr/>
        <w:t xml:space="preserve">switching costs (balíčky dodavatelů el. délka trvání smlouvy/četnost změn atp? jak budeme srovnávat? Podle čísla odběrného místa? Budeme se ptát i distributorů el?), </w:t>
      </w:r>
    </w:p>
    <w:p>
      <w:pPr>
        <w:pStyle w:val="Normal"/>
        <w:rPr/>
      </w:pPr>
      <w:r>
        <w:rPr/>
        <w:t xml:space="preserve">dispozice s nezbytným vstupem (transakční data - % transakcí obsloužených mimo výrobce a distributory – po měsících a vývoj?), </w:t>
      </w:r>
    </w:p>
    <w:p>
      <w:pPr>
        <w:pStyle w:val="Normal"/>
        <w:rPr/>
      </w:pPr>
      <w:r>
        <w:rPr/>
        <w:t xml:space="preserve">výhoda existující distribuční sítě (viz bod výše), </w:t>
      </w:r>
    </w:p>
    <w:p>
      <w:pPr>
        <w:pStyle w:val="Normal"/>
        <w:rPr/>
      </w:pPr>
      <w:r>
        <w:rPr/>
        <w:t>behavioural bias (one-stop-shop – elektřina a regionální stereotyp… dohledat karty, které fungují nejdéle a na nich měřit změnu chování? 2x XY scatter plot X čas v měsících a Y počet dobití v měsících a Y největší vzdálenost dvou dobíječek v daném měsíci)</w:t>
      </w:r>
    </w:p>
    <w:p>
      <w:pPr>
        <w:pStyle w:val="Heading3"/>
        <w:ind w:hanging="1134" w:left="142" w:right="284"/>
        <w:rPr/>
      </w:pPr>
      <w:bookmarkStart w:id="277" w:name="_Toc229057927"/>
      <w:r>
        <w:rPr/>
        <w:t>Vertikální a horizontální integrace</w:t>
      </w:r>
      <w:bookmarkEnd w:id="277"/>
    </w:p>
    <w:p>
      <w:pPr>
        <w:pStyle w:val="Normal"/>
        <w:rPr/>
      </w:pPr>
      <w:r>
        <w:rPr/>
        <w:t>MPO – počet dobíječek distributorů, MPO – počet provozovatelů s více než jednou dobíjecí stanicí</w:t>
      </w:r>
    </w:p>
    <w:p>
      <w:pPr>
        <w:pStyle w:val="Heading3"/>
        <w:ind w:hanging="1134" w:left="142" w:right="284"/>
        <w:rPr/>
      </w:pPr>
      <w:bookmarkStart w:id="278" w:name="_Toc229057928"/>
      <w:r>
        <w:rPr/>
        <w:t>Margin squeeze</w:t>
      </w:r>
      <w:bookmarkEnd w:id="278"/>
    </w:p>
    <w:p>
      <w:pPr>
        <w:pStyle w:val="Normal"/>
        <w:rPr/>
      </w:pPr>
      <w:r>
        <w:rPr/>
        <w:t>Transakční data – cena dobíjení kWh a cena ze smluv kWh… vývoj v čase</w:t>
      </w:r>
    </w:p>
    <w:p>
      <w:pPr>
        <w:pStyle w:val="Heading3"/>
        <w:ind w:hanging="1134" w:left="142" w:right="284"/>
        <w:rPr/>
      </w:pPr>
      <w:bookmarkStart w:id="279" w:name="_Toc229057929"/>
      <w:r>
        <w:rPr/>
        <w:t>Vynucování nepřiměřených nebo rozdílných podmínek</w:t>
      </w:r>
      <w:bookmarkEnd w:id="279"/>
    </w:p>
    <w:p>
      <w:pPr>
        <w:pStyle w:val="Normal"/>
        <w:rPr/>
      </w:pPr>
      <w:r>
        <w:rPr/>
        <w:t>Posouzení předložených smluv</w:t>
      </w:r>
    </w:p>
    <w:p>
      <w:pPr>
        <w:pStyle w:val="Heading2"/>
        <w:ind w:hanging="1135" w:left="142" w:right="284"/>
        <w:rPr/>
      </w:pPr>
      <w:bookmarkStart w:id="280" w:name="_Toc229057930"/>
      <w:r>
        <w:rPr/>
        <w:t>Shrnutí kapitoly</w:t>
      </w:r>
      <w:bookmarkEnd w:id="280"/>
    </w:p>
    <w:p>
      <w:pPr>
        <w:pStyle w:val="Normal"/>
        <w:rPr/>
      </w:pPr>
      <w:r>
        <w:rPr/>
        <w:t>iktzfxikftz</w:t>
      </w:r>
    </w:p>
    <w:p>
      <w:pPr>
        <w:pStyle w:val="Normal"/>
        <w:spacing w:lineRule="auto" w:line="259" w:before="0" w:after="160"/>
        <w:ind w:left="0" w:right="0"/>
        <w:jc w:val="left"/>
        <w:rPr/>
      </w:pPr>
      <w:r>
        <w:rPr/>
      </w:r>
      <w:r>
        <w:br w:type="page"/>
      </w:r>
    </w:p>
    <w:p>
      <w:pPr>
        <w:pStyle w:val="Textprost"/>
        <w:spacing w:before="0" w:after="160"/>
        <w:rPr/>
      </w:pPr>
      <w:r>
        <w:rPr/>
      </w:r>
    </w:p>
    <w:p>
      <w:pPr>
        <w:pStyle w:val="Heading1"/>
        <w:ind w:hanging="1135" w:left="142" w:right="284"/>
        <w:rPr/>
      </w:pPr>
      <w:bookmarkStart w:id="281" w:name="_Toc229057931"/>
      <w:r>
        <w:rPr/>
        <w:t>Zjištění a závěry sektorového šetření /</w:t>
        <w:br/>
        <w:t>Findings and Conclusions of the Sector Inquiry</w:t>
      </w:r>
      <w:bookmarkEnd w:id="281"/>
    </w:p>
    <w:p>
      <w:pPr>
        <w:pStyle w:val="Textprost"/>
        <w:rPr/>
      </w:pPr>
      <w:r>
        <w:rPr/>
        <w:t>Na základě zjištěných náznaků přistoupil Úřad dne 5. 11. 2025 k zahájení sektorového šetření v oblasti mobilních telekomunikačních služeb poskytovaných domácnostem v České republice za období od roku 2018 do 31. 10. 2025.</w:t>
      </w:r>
    </w:p>
    <w:p>
      <w:pPr>
        <w:pStyle w:val="Textkol"/>
        <w:rPr/>
      </w:pPr>
      <w:r>
        <w:rPr/>
        <w:t>Tady se dá překopírovat nějaký jeden odstavec z už vypravených přípisů k náznakům</w:t>
      </w:r>
    </w:p>
    <w:p>
      <w:pPr>
        <w:pStyle w:val="Textprost"/>
        <w:rPr/>
      </w:pPr>
      <w:r>
        <w:rPr/>
      </w:r>
    </w:p>
    <w:p>
      <w:pPr>
        <w:pStyle w:val="Textprost"/>
        <w:rPr/>
      </w:pPr>
      <w:r>
        <w:rPr/>
        <w:t>V průběhu šetření pracoval Úřad jak s údaji zjištěnými z veřejných zdrojů, tak s údaji vyžádanými od mobilních operátorů, a to jak od full mobilních operátorů, tak od virtuálních operátorů působících v České republice. Úřad provedl dva sběry ceníkových cen mobilních služeb nabízených v prostoru EU. Na základě zjištění získaných v průběhu sektorového šetření a za účelem ověření teze ohledně možných dopadů potenciálně protisoutěžního stavu v ČR provedl také sběr ceníkových cen služeb pevného připojení k internetu nabízených v EU.</w:t>
      </w:r>
    </w:p>
    <w:p>
      <w:pPr>
        <w:pStyle w:val="Textprost"/>
        <w:rPr/>
      </w:pPr>
      <w:r>
        <w:rPr/>
        <w:t>Aby mohl Úřad řádně XXX</w:t>
      </w:r>
    </w:p>
    <w:p>
      <w:pPr>
        <w:pStyle w:val="Textkol"/>
        <w:rPr/>
      </w:pPr>
      <w:r>
        <w:rPr/>
        <w:t>Tady se dá doplnit klidně text z vyjádření pro soud ohledně mikro dat, ceníkových strategií konkurence na straně nabídky/napříč trhem atp. ale už jen stručně pár větami – kopie je v části výše</w:t>
      </w:r>
    </w:p>
    <w:p>
      <w:pPr>
        <w:pStyle w:val="Textprost"/>
        <w:rPr/>
      </w:pPr>
      <w:r>
        <w:rPr/>
      </w:r>
    </w:p>
    <w:p>
      <w:pPr>
        <w:pStyle w:val="Textprost"/>
        <w:rPr/>
      </w:pPr>
      <w:r>
        <w:rPr/>
      </w:r>
    </w:p>
    <w:p>
      <w:pPr>
        <w:pStyle w:val="Textprost"/>
        <w:rPr/>
      </w:pPr>
      <w:r>
        <w:rPr/>
      </w:r>
    </w:p>
    <w:p>
      <w:pPr>
        <w:pStyle w:val="Heading2"/>
        <w:ind w:hanging="1135" w:left="142" w:right="284"/>
        <w:rPr/>
      </w:pPr>
      <w:bookmarkStart w:id="282" w:name="_Toc229057932"/>
      <w:r>
        <w:rPr/>
        <w:t>Zjištění sektorového šetření</w:t>
      </w:r>
      <w:bookmarkEnd w:id="282"/>
    </w:p>
    <w:p>
      <w:pPr>
        <w:pStyle w:val="Textprost"/>
        <w:rPr/>
      </w:pPr>
      <w:r>
        <w:rPr/>
      </w:r>
    </w:p>
    <w:p>
      <w:pPr>
        <w:pStyle w:val="Tabulka"/>
        <w:numPr>
          <w:ilvl w:val="0"/>
          <w:numId w:val="3"/>
        </w:numPr>
        <w:ind w:hanging="1560" w:left="1560" w:right="0"/>
        <w:rPr/>
      </w:pPr>
      <w:bookmarkStart w:id="283" w:name="_Toc229057998"/>
      <w:r>
        <w:rPr/>
        <w:t xml:space="preserve">Přehled zjištění Úřadu na základě sektorového </w:t>
      </w:r>
      <w:commentRangeStart w:id="46"/>
      <w:r>
        <w:rPr/>
        <w:t>šetření</w:t>
      </w:r>
      <w:bookmarkEnd w:id="283"/>
      <w:commentRangeEnd w:id="46"/>
      <w:r>
        <w:commentReference w:id="46"/>
      </w:r>
      <w:r>
        <w:rPr/>
      </w:r>
    </w:p>
    <w:p>
      <w:pPr>
        <w:pStyle w:val="TableofFigures"/>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r>
        <w:fldChar w:fldCharType="begin"/>
      </w:r>
      <w:r>
        <w:rPr>
          <w:rStyle w:val="IndexLink"/>
        </w:rPr>
        <w:instrText xml:space="preserve"> TOC \c \h \t "Zjištění úřadu" </w:instrText>
      </w:r>
      <w:r>
        <w:rPr>
          <w:rStyle w:val="IndexLink"/>
        </w:rPr>
        <w:fldChar w:fldCharType="separate"/>
      </w:r>
      <w:hyperlink w:anchor="_Toc226560430">
        <w:r>
          <w:rPr>
            <w:rStyle w:val="IndexLink"/>
          </w:rPr>
          <w:t>Zjištění 1:</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Na základě údajů Eurostatu Úřad zjistil, že cenová hladina mobilních telefonních služeb v ČR má tendenci akcelerovat rychleji než v polovině členských států EU, ve kterých její změna dosahuje nejnižších hodnot.</w:t>
        </w:r>
        <w:r>
          <w:rPr>
            <w:webHidden/>
          </w:rPr>
          <w:fldChar w:fldCharType="begin"/>
        </w:r>
        <w:r>
          <w:rPr>
            <w:webHidden/>
          </w:rPr>
          <w:instrText xml:space="preserve">PAGEREF _Toc226560430 \h</w:instrText>
        </w:r>
        <w:r>
          <w:rPr>
            <w:webHidden/>
          </w:rPr>
          <w:fldChar w:fldCharType="separate"/>
        </w:r>
        <w:r>
          <w:rPr>
            <w:rStyle w:val="IndexLink"/>
            <w:vanish w:val="false"/>
          </w:rPr>
          <w:tab/>
          <w:t>34</w:t>
        </w:r>
        <w:r>
          <w:rPr>
            <w:webHidden/>
          </w:rPr>
          <w:fldChar w:fldCharType="end"/>
        </w:r>
      </w:hyperlink>
    </w:p>
    <w:p>
      <w:pPr>
        <w:pStyle w:val="TableofFigures"/>
        <w:tabs>
          <w:tab w:val="clear" w:pos="708"/>
          <w:tab w:val="left" w:pos="14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6560431">
        <w:r>
          <w:rPr>
            <w:rStyle w:val="IndexLink"/>
          </w:rPr>
          <w:t>Zjištění 2:</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 xml:space="preserve">Úřad na základě provedené předběžné analýzy zjistil, že </w:t>
        </w:r>
        <w:r>
          <w:rPr>
            <w:rStyle w:val="IndexLink"/>
            <w:b/>
            <w:bCs/>
          </w:rPr>
          <w:t>cenová úroveň ceníkových cen v České republice je o 46,28 % vyšší za jinak nezměněných podmínek</w:t>
        </w:r>
        <w:r>
          <w:rPr>
            <w:rStyle w:val="IndexLink"/>
          </w:rPr>
          <w:t xml:space="preserve">, a to na hladině statistické významnosti </w:t>
        </w:r>
        <w:r>
          <w:rPr>
            <w:rStyle w:val="IndexLink"/>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01</m:t>
          </m:r>
        </m:oMath>
        <w:r>
          <w:rPr>
            <w:rStyle w:val="IndexLink"/>
          </w:rPr>
          <w:t>. Konkrétně jsou ceny mobilních operátorů v České republice vyšší ve srovnání s ostatními členskými státy v EU, ve kterých se cena nevyjadřuje v Eurech.</w:t>
        </w:r>
        <w:r>
          <w:rPr>
            <w:webHidden/>
          </w:rPr>
          <w:fldChar w:fldCharType="begin"/>
        </w:r>
        <w:r>
          <w:rPr>
            <w:webHidden/>
          </w:rPr>
          <w:instrText xml:space="preserve">PAGEREF _Toc226560431 \h</w:instrText>
        </w:r>
        <w:r>
          <w:rPr>
            <w:webHidden/>
          </w:rPr>
          <w:fldChar w:fldCharType="separate"/>
        </w:r>
        <w:r>
          <w:rPr>
            <w:rStyle w:val="IndexLink"/>
            <w:vanish w:val="false"/>
          </w:rPr>
          <w:tab/>
          <w:t>40</w:t>
        </w:r>
        <w:r>
          <w:rPr>
            <w:webHidden/>
          </w:rPr>
          <w:fldChar w:fldCharType="end"/>
        </w:r>
      </w:hyperlink>
    </w:p>
    <w:p>
      <w:pPr>
        <w:pStyle w:val="TableofFigures"/>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6560432">
        <w:r>
          <w:rPr>
            <w:rStyle w:val="IndexLink"/>
          </w:rPr>
          <w:t>Zjištění 3:</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 xml:space="preserve">Úřad na základě provedené analýzy zjistil, že </w:t>
        </w:r>
        <w:r>
          <w:rPr>
            <w:rStyle w:val="IndexLink"/>
            <w:b/>
            <w:bCs/>
          </w:rPr>
          <w:t>cenová úroveň ceníkových cen v České republice je o XX,XX % vyšší za jinak nezměněných podmínek</w:t>
        </w:r>
        <w:r>
          <w:rPr>
            <w:rStyle w:val="IndexLink"/>
          </w:rPr>
          <w:t xml:space="preserve">, a to na hladině statistické významnosti </w:t>
        </w:r>
        <w:r>
          <w:rPr>
            <w:rStyle w:val="IndexLink"/>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01</m:t>
          </m:r>
        </m:oMath>
        <w:r>
          <w:rPr>
            <w:rStyle w:val="IndexLink"/>
          </w:rPr>
          <w:t>. Konkrétně jsou ceny mobilních operátorů v České republice vyšší ve srovnání s ostatními členskými státy v EU.</w:t>
        </w:r>
        <w:r>
          <w:rPr>
            <w:webHidden/>
          </w:rPr>
          <w:fldChar w:fldCharType="begin"/>
        </w:r>
        <w:r>
          <w:rPr>
            <w:webHidden/>
          </w:rPr>
          <w:instrText xml:space="preserve">PAGEREF _Toc226560432 \h</w:instrText>
        </w:r>
        <w:r>
          <w:rPr>
            <w:webHidden/>
          </w:rPr>
          <w:fldChar w:fldCharType="separate"/>
        </w:r>
        <w:r>
          <w:rPr>
            <w:rStyle w:val="IndexLink"/>
            <w:vanish w:val="false"/>
          </w:rPr>
          <w:tab/>
          <w:t>42</w:t>
        </w:r>
        <w:r>
          <w:rPr>
            <w:webHidden/>
          </w:rPr>
          <w:fldChar w:fldCharType="end"/>
        </w:r>
      </w:hyperlink>
    </w:p>
    <w:p>
      <w:pPr>
        <w:pStyle w:val="TableofFigures"/>
        <w:tabs>
          <w:tab w:val="clear" w:pos="708"/>
          <w:tab w:val="left" w:pos="14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6560433">
        <w:r>
          <w:rPr>
            <w:rStyle w:val="IndexLink"/>
          </w:rPr>
          <w:t>Zjištění 4:</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Úřad na základě provedené předběžné kvalitativní analýzy nejdražších paušálů českých full mobilních operátorů zjistil, že obsah nabízených služeb při srovnatelné nominální cenové úrovni ceníkových cen zaostává za službami nabízenými v západní Evropě. Jinými slovy jsou českým domácnostem a spotřebitelům nabízeny služby o relativně nižší kvalitě.</w:t>
        </w:r>
        <w:r>
          <w:rPr>
            <w:webHidden/>
          </w:rPr>
          <w:fldChar w:fldCharType="begin"/>
        </w:r>
        <w:r>
          <w:rPr>
            <w:webHidden/>
          </w:rPr>
          <w:instrText xml:space="preserve">PAGEREF _Toc226560433 \h</w:instrText>
        </w:r>
        <w:r>
          <w:rPr>
            <w:webHidden/>
          </w:rPr>
          <w:fldChar w:fldCharType="separate"/>
        </w:r>
        <w:r>
          <w:rPr>
            <w:rStyle w:val="IndexLink"/>
            <w:vanish w:val="false"/>
          </w:rPr>
          <w:tab/>
          <w:t>45</w:t>
        </w:r>
        <w:r>
          <w:rPr>
            <w:webHidden/>
          </w:rPr>
          <w:fldChar w:fldCharType="end"/>
        </w:r>
      </w:hyperlink>
    </w:p>
    <w:p>
      <w:pPr>
        <w:pStyle w:val="TableofFigures"/>
        <w:tabs>
          <w:tab w:val="clear" w:pos="708"/>
          <w:tab w:val="left" w:pos="14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6560434">
        <w:r>
          <w:rPr>
            <w:rStyle w:val="IndexLink"/>
          </w:rPr>
          <w:t>Zjištění 5:</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V sektorovém šetření Úřad zjistil, že při nominální cenové paritě ceníkových cen obsah nejdražších nabízených mobilních tarifů v ČR významně a napříč celým trhem nebo trhy mobilních služeb zaostává za obsahem nabízeným i v západních zemích EU.</w:t>
        </w:r>
        <w:r>
          <w:rPr>
            <w:webHidden/>
          </w:rPr>
          <w:fldChar w:fldCharType="begin"/>
        </w:r>
        <w:r>
          <w:rPr>
            <w:webHidden/>
          </w:rPr>
          <w:instrText xml:space="preserve">PAGEREF _Toc226560434 \h</w:instrText>
        </w:r>
        <w:r>
          <w:rPr>
            <w:webHidden/>
          </w:rPr>
          <w:fldChar w:fldCharType="separate"/>
        </w:r>
        <w:r>
          <w:rPr>
            <w:rStyle w:val="IndexLink"/>
            <w:vanish w:val="false"/>
          </w:rPr>
          <w:tab/>
          <w:t>46</w:t>
        </w:r>
        <w:r>
          <w:rPr>
            <w:webHidden/>
          </w:rPr>
          <w:fldChar w:fldCharType="end"/>
        </w:r>
      </w:hyperlink>
      <w:r>
        <w:rPr>
          <w:rStyle w:val="IndexLink"/>
          <w:vanish w:val="false"/>
        </w:rPr>
        <w:fldChar w:fldCharType="end"/>
      </w:r>
    </w:p>
    <w:p>
      <w:pPr>
        <w:pStyle w:val="TableofFigures"/>
        <w:tabs>
          <w:tab w:val="clear" w:pos="708"/>
          <w:tab w:val="left" w:pos="1400" w:leader="none"/>
          <w:tab w:val="right" w:pos="9061" w:leader="dot"/>
        </w:tabs>
        <w:rPr/>
      </w:pPr>
      <w:r>
        <w:rPr/>
      </w:r>
    </w:p>
    <w:p>
      <w:pPr>
        <w:pStyle w:val="Zdroj"/>
        <w:rPr/>
      </w:pPr>
      <w:r>
        <w:rPr/>
        <w:t xml:space="preserve">Pozn. / Note: Tabulka uvádí seznam zjištění Úřadu v českém jazyce a čísla stran závěrečné zprávy, na kterých je možné nalézt podrobnější informace. </w:t>
      </w:r>
      <w:r>
        <w:rPr>
          <w:lang w:val="en-GB"/>
        </w:rPr>
        <w:t>The table provides a list of the Office’s findings in the Czech language and the page numbers of the final report where more detailed information can be found.</w:t>
      </w:r>
    </w:p>
    <w:p>
      <w:pPr>
        <w:pStyle w:val="Textprost"/>
        <w:rPr/>
      </w:pPr>
      <w:r>
        <w:rPr/>
      </w:r>
    </w:p>
    <w:p>
      <w:pPr>
        <w:pStyle w:val="Textprost"/>
        <w:rPr/>
      </w:pPr>
      <w:r>
        <w:rPr/>
      </w:r>
    </w:p>
    <w:p>
      <w:pPr>
        <w:pStyle w:val="Textprost"/>
        <w:rPr/>
      </w:pPr>
      <w:r>
        <w:rPr/>
      </w:r>
    </w:p>
    <w:p>
      <w:pPr>
        <w:pStyle w:val="Textprost"/>
        <w:rPr/>
      </w:pPr>
      <w:r>
        <w:rPr/>
      </w:r>
    </w:p>
    <w:p>
      <w:pPr>
        <w:pStyle w:val="Textprost"/>
        <w:rPr/>
      </w:pPr>
      <w:r>
        <w:rPr/>
      </w:r>
    </w:p>
    <w:p>
      <w:pPr>
        <w:pStyle w:val="Heading2"/>
        <w:ind w:hanging="1135" w:left="142" w:right="284"/>
        <w:rPr/>
      </w:pPr>
      <w:bookmarkStart w:id="284" w:name="_Toc229057933"/>
      <w:r>
        <w:rPr/>
        <w:t>Závěry sektorového šetření</w:t>
      </w:r>
      <w:bookmarkEnd w:id="284"/>
    </w:p>
    <w:p>
      <w:pPr>
        <w:pStyle w:val="Textprost"/>
        <w:rPr/>
      </w:pPr>
      <w:r>
        <w:rPr/>
      </w:r>
    </w:p>
    <w:p>
      <w:pPr>
        <w:pStyle w:val="Tabulka"/>
        <w:numPr>
          <w:ilvl w:val="0"/>
          <w:numId w:val="3"/>
        </w:numPr>
        <w:ind w:hanging="1560" w:left="1560" w:right="0"/>
        <w:rPr/>
      </w:pPr>
      <w:bookmarkStart w:id="285" w:name="_Toc229057999"/>
      <w:r>
        <w:rPr/>
        <w:t>Přehled závěrů Úřadu na základě sektorového šetření</w:t>
      </w:r>
      <w:bookmarkEnd w:id="285"/>
    </w:p>
    <w:p>
      <w:pPr>
        <w:pStyle w:val="TableofFigures"/>
        <w:tabs>
          <w:tab w:val="clear" w:pos="708"/>
          <w:tab w:val="left" w:pos="10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r>
        <w:fldChar w:fldCharType="begin"/>
      </w:r>
      <w:r>
        <w:rPr>
          <w:rStyle w:val="IndexLink"/>
        </w:rPr>
        <w:instrText xml:space="preserve"> TOC \c \h \t "Závěr úřadu" </w:instrText>
      </w:r>
      <w:r>
        <w:rPr>
          <w:rStyle w:val="IndexLink"/>
        </w:rPr>
        <w:fldChar w:fldCharType="separate"/>
      </w:r>
      <w:hyperlink w:anchor="_Toc226560435">
        <w:r>
          <w:rPr>
            <w:rStyle w:val="IndexLink"/>
          </w:rPr>
          <w:t>Závěr 1:</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 xml:space="preserve">Na základě posouzení obsahu nabízených mobilních paušálů Úřad dospěl k závěru, že </w:t>
        </w:r>
        <w:r>
          <w:rPr>
            <w:rStyle w:val="IndexLink"/>
            <w:b/>
            <w:bCs/>
          </w:rPr>
          <w:t>české mobilní paušály dosahují nominální cenové parity zejména s mobilními paušály nabízenými v západní Evropě, přičemž i tak jejich obsah často zaostává</w:t>
        </w:r>
        <w:r>
          <w:rPr>
            <w:rStyle w:val="IndexLink"/>
          </w:rPr>
          <w:t xml:space="preserve"> za obsahem mobilních paušálů nabízených operátory v těchto zemích západní Evropy.</w:t>
        </w:r>
        <w:r>
          <w:rPr>
            <w:webHidden/>
          </w:rPr>
          <w:fldChar w:fldCharType="begin"/>
        </w:r>
        <w:r>
          <w:rPr>
            <w:webHidden/>
          </w:rPr>
          <w:instrText xml:space="preserve">PAGEREF _Toc226560435 \h</w:instrText>
        </w:r>
        <w:r>
          <w:rPr>
            <w:webHidden/>
          </w:rPr>
          <w:fldChar w:fldCharType="separate"/>
        </w:r>
        <w:r>
          <w:rPr>
            <w:rStyle w:val="IndexLink"/>
            <w:vanish w:val="false"/>
          </w:rPr>
          <w:tab/>
          <w:t>47</w:t>
        </w:r>
        <w:r>
          <w:rPr>
            <w:webHidden/>
          </w:rPr>
          <w:fldChar w:fldCharType="end"/>
        </w:r>
      </w:hyperlink>
    </w:p>
    <w:p>
      <w:pPr>
        <w:pStyle w:val="TableofFigures"/>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6560436">
        <w:r>
          <w:rPr>
            <w:rStyle w:val="IndexLink"/>
          </w:rPr>
          <w:t>Závěr 2:</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 xml:space="preserve">Na základě provedeného šetření dospěl Úřad k závěru, že </w:t>
        </w:r>
        <w:r>
          <w:rPr>
            <w:rStyle w:val="IndexLink"/>
            <w:b/>
            <w:bCs/>
          </w:rPr>
          <w:t>ceníkové ceny mobilních služeb v České republice jsou excesivní</w:t>
        </w:r>
        <w:r>
          <w:rPr>
            <w:rStyle w:val="IndexLink"/>
          </w:rPr>
          <w:t xml:space="preserve"> co do své relativní výše a zároveň není možné tento cenový exces objektivně odůvodnit nabízeným obsahem těchto služeb.</w:t>
        </w:r>
        <w:r>
          <w:rPr>
            <w:webHidden/>
          </w:rPr>
          <w:fldChar w:fldCharType="begin"/>
        </w:r>
        <w:r>
          <w:rPr>
            <w:webHidden/>
          </w:rPr>
          <w:instrText xml:space="preserve">PAGEREF _Toc226560436 \h</w:instrText>
        </w:r>
        <w:r>
          <w:rPr>
            <w:webHidden/>
          </w:rPr>
          <w:fldChar w:fldCharType="separate"/>
        </w:r>
        <w:r>
          <w:rPr>
            <w:rStyle w:val="IndexLink"/>
            <w:vanish w:val="false"/>
          </w:rPr>
          <w:tab/>
          <w:t>50</w:t>
        </w:r>
        <w:r>
          <w:rPr>
            <w:webHidden/>
          </w:rPr>
          <w:fldChar w:fldCharType="end"/>
        </w:r>
      </w:hyperlink>
      <w:r>
        <w:rPr>
          <w:rStyle w:val="IndexLink"/>
          <w:vanish w:val="false"/>
        </w:rPr>
        <w:fldChar w:fldCharType="end"/>
      </w:r>
    </w:p>
    <w:p>
      <w:pPr>
        <w:pStyle w:val="TableofFigures"/>
        <w:tabs>
          <w:tab w:val="clear" w:pos="708"/>
          <w:tab w:val="left" w:pos="1200" w:leader="none"/>
          <w:tab w:val="right" w:pos="9061" w:leader="dot"/>
        </w:tabs>
        <w:rPr/>
      </w:pPr>
      <w:r>
        <w:rPr/>
      </w:r>
    </w:p>
    <w:p>
      <w:pPr>
        <w:pStyle w:val="Textprost"/>
        <w:rPr/>
      </w:pPr>
      <w:r>
        <w:rPr/>
      </w:r>
    </w:p>
    <w:p>
      <w:pPr>
        <w:sectPr>
          <w:headerReference w:type="default" r:id="rId27"/>
          <w:headerReference w:type="first" r:id="rId28"/>
          <w:footerReference w:type="default" r:id="rId29"/>
          <w:footerReference w:type="first" r:id="rId30"/>
          <w:footnotePr>
            <w:numFmt w:val="decimal"/>
          </w:footnotePr>
          <w:type w:val="nextPage"/>
          <w:pgSz w:w="11906" w:h="16838"/>
          <w:pgMar w:left="1474" w:right="1361" w:gutter="0" w:header="709" w:top="766" w:footer="709" w:bottom="766"/>
          <w:pgNumType w:start="1" w:fmt="decimal"/>
          <w:formProt w:val="false"/>
          <w:textDirection w:val="lrTb"/>
          <w:docGrid w:type="default" w:linePitch="360" w:charSpace="0"/>
        </w:sectPr>
        <w:pStyle w:val="Textprost"/>
        <w:rPr/>
      </w:pPr>
      <w:r>
        <w:rPr/>
      </w:r>
      <w:r>
        <w:br w:type="page"/>
      </w:r>
    </w:p>
    <w:p>
      <w:pPr>
        <w:pStyle w:val="Textprost"/>
        <w:spacing w:before="0" w:after="160"/>
        <w:rPr/>
      </w:pPr>
      <w:r>
        <w:rPr/>
      </w:r>
    </w:p>
    <w:p>
      <w:pPr>
        <w:pStyle w:val="Heading1"/>
        <w:numPr>
          <w:ilvl w:val="0"/>
          <w:numId w:val="0"/>
        </w:numPr>
        <w:ind w:hanging="0" w:left="0" w:right="284"/>
        <w:rPr/>
      </w:pPr>
      <w:bookmarkStart w:id="286" w:name="_Toc229057934"/>
      <w:r>
        <w:rPr/>
        <w:t>Seznam grafů</w:t>
      </w:r>
      <w:bookmarkEnd w:id="286"/>
    </w:p>
    <w:p>
      <w:pPr>
        <w:pStyle w:val="TableofFigures"/>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r>
        <w:fldChar w:fldCharType="begin"/>
      </w:r>
      <w:r>
        <w:rPr>
          <w:rStyle w:val="IndexLink"/>
        </w:rPr>
        <w:instrText xml:space="preserve"> TOC \c \h \t "Graf" </w:instrText>
      </w:r>
      <w:r>
        <w:rPr>
          <w:rStyle w:val="IndexLink"/>
        </w:rPr>
        <w:fldChar w:fldCharType="separate"/>
      </w:r>
      <w:hyperlink w:anchor="_Toc229058006">
        <w:r>
          <w:rPr>
            <w:rStyle w:val="IndexLink"/>
          </w:rPr>
          <w:t>Graf č. 1:</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Tržní podíly MNO dle počtu aktivních SIM karet (v %)</w:t>
        </w:r>
        <w:r>
          <w:rPr>
            <w:webHidden/>
          </w:rPr>
          <w:fldChar w:fldCharType="begin"/>
        </w:r>
        <w:r>
          <w:rPr>
            <w:webHidden/>
          </w:rPr>
          <w:instrText xml:space="preserve">PAGEREF _Toc229058006 \h</w:instrText>
        </w:r>
        <w:r>
          <w:rPr>
            <w:webHidden/>
          </w:rPr>
          <w:fldChar w:fldCharType="separate"/>
        </w:r>
        <w:r>
          <w:rPr>
            <w:rStyle w:val="IndexLink"/>
            <w:vanish w:val="false"/>
          </w:rPr>
          <w:tab/>
          <w:t>5</w:t>
        </w:r>
        <w:r>
          <w:rPr>
            <w:webHidden/>
          </w:rPr>
          <w:fldChar w:fldCharType="end"/>
        </w:r>
      </w:hyperlink>
    </w:p>
    <w:p>
      <w:pPr>
        <w:pStyle w:val="TableofFigures"/>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8007">
        <w:r>
          <w:rPr>
            <w:rStyle w:val="IndexLink"/>
          </w:rPr>
          <w:t>Graf č. 2:</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Změny tržních podílů MNO dle počtu aktivních SIM karet (v p.b.)</w:t>
        </w:r>
        <w:r>
          <w:rPr>
            <w:webHidden/>
          </w:rPr>
          <w:fldChar w:fldCharType="begin"/>
        </w:r>
        <w:r>
          <w:rPr>
            <w:webHidden/>
          </w:rPr>
          <w:instrText xml:space="preserve">PAGEREF _Toc229058007 \h</w:instrText>
        </w:r>
        <w:r>
          <w:rPr>
            <w:webHidden/>
          </w:rPr>
          <w:fldChar w:fldCharType="separate"/>
        </w:r>
        <w:r>
          <w:rPr>
            <w:rStyle w:val="IndexLink"/>
            <w:vanish w:val="false"/>
          </w:rPr>
          <w:tab/>
          <w:t>5</w:t>
        </w:r>
        <w:r>
          <w:rPr>
            <w:webHidden/>
          </w:rPr>
          <w:fldChar w:fldCharType="end"/>
        </w:r>
      </w:hyperlink>
    </w:p>
    <w:p>
      <w:pPr>
        <w:pStyle w:val="TableofFigures"/>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8008">
        <w:r>
          <w:rPr>
            <w:rStyle w:val="IndexLink"/>
          </w:rPr>
          <w:t>Graf č. 3:</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Tržní podíly MVNO dle počtu aktivních SIM karet a v rozdělení na majetkové propojení s MNO (v %)</w:t>
        </w:r>
        <w:r>
          <w:rPr>
            <w:webHidden/>
          </w:rPr>
          <w:fldChar w:fldCharType="begin"/>
        </w:r>
        <w:r>
          <w:rPr>
            <w:webHidden/>
          </w:rPr>
          <w:instrText xml:space="preserve">PAGEREF _Toc229058008 \h</w:instrText>
        </w:r>
        <w:r>
          <w:rPr>
            <w:webHidden/>
          </w:rPr>
          <w:fldChar w:fldCharType="separate"/>
        </w:r>
        <w:r>
          <w:rPr>
            <w:rStyle w:val="IndexLink"/>
            <w:vanish w:val="false"/>
          </w:rPr>
          <w:tab/>
          <w:t>6</w:t>
        </w:r>
        <w:r>
          <w:rPr>
            <w:webHidden/>
          </w:rPr>
          <w:fldChar w:fldCharType="end"/>
        </w:r>
      </w:hyperlink>
    </w:p>
    <w:p>
      <w:pPr>
        <w:pStyle w:val="TableofFigures"/>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8009">
        <w:r>
          <w:rPr>
            <w:rStyle w:val="IndexLink"/>
          </w:rPr>
          <w:t>Graf č. 4:</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Vývoj HHI(3) sektoru a segmentů domácností a firem dle počtu aktivních SIM karet</w:t>
        </w:r>
        <w:r>
          <w:rPr>
            <w:webHidden/>
          </w:rPr>
          <w:fldChar w:fldCharType="begin"/>
        </w:r>
        <w:r>
          <w:rPr>
            <w:webHidden/>
          </w:rPr>
          <w:instrText xml:space="preserve">PAGEREF _Toc229058009 \h</w:instrText>
        </w:r>
        <w:r>
          <w:rPr>
            <w:webHidden/>
          </w:rPr>
          <w:fldChar w:fldCharType="separate"/>
        </w:r>
        <w:r>
          <w:rPr>
            <w:rStyle w:val="IndexLink"/>
            <w:vanish w:val="false"/>
          </w:rPr>
          <w:tab/>
          <w:t>6</w:t>
        </w:r>
        <w:r>
          <w:rPr>
            <w:webHidden/>
          </w:rPr>
          <w:fldChar w:fldCharType="end"/>
        </w:r>
      </w:hyperlink>
    </w:p>
    <w:p>
      <w:pPr>
        <w:pStyle w:val="TableofFigures"/>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8010">
        <w:r>
          <w:rPr>
            <w:rStyle w:val="IndexLink"/>
          </w:rPr>
          <w:t>Graf č. 5:</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Rozdíl vývoje HHI(3) mezi segmenty domácností a firem</w:t>
        </w:r>
        <w:r>
          <w:rPr>
            <w:webHidden/>
          </w:rPr>
          <w:fldChar w:fldCharType="begin"/>
        </w:r>
        <w:r>
          <w:rPr>
            <w:webHidden/>
          </w:rPr>
          <w:instrText xml:space="preserve">PAGEREF _Toc229058010 \h</w:instrText>
        </w:r>
        <w:r>
          <w:rPr>
            <w:webHidden/>
          </w:rPr>
          <w:fldChar w:fldCharType="separate"/>
        </w:r>
        <w:r>
          <w:rPr>
            <w:rStyle w:val="IndexLink"/>
            <w:vanish w:val="false"/>
          </w:rPr>
          <w:tab/>
          <w:t>6</w:t>
        </w:r>
        <w:r>
          <w:rPr>
            <w:webHidden/>
          </w:rPr>
          <w:fldChar w:fldCharType="end"/>
        </w:r>
      </w:hyperlink>
    </w:p>
    <w:p>
      <w:pPr>
        <w:pStyle w:val="TableofFigures"/>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8011">
        <w:r>
          <w:rPr>
            <w:rStyle w:val="IndexLink"/>
          </w:rPr>
          <w:t>Graf č. 6:</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Vývoj HICP cenového indexu komponenty „komunikace“</w:t>
        </w:r>
        <w:r>
          <w:rPr>
            <w:webHidden/>
          </w:rPr>
          <w:fldChar w:fldCharType="begin"/>
        </w:r>
        <w:r>
          <w:rPr>
            <w:webHidden/>
          </w:rPr>
          <w:instrText xml:space="preserve">PAGEREF _Toc229058011 \h</w:instrText>
        </w:r>
        <w:r>
          <w:rPr>
            <w:webHidden/>
          </w:rPr>
          <w:fldChar w:fldCharType="separate"/>
        </w:r>
        <w:r>
          <w:rPr>
            <w:rStyle w:val="IndexLink"/>
            <w:vanish w:val="false"/>
          </w:rPr>
          <w:tab/>
          <w:t>7</w:t>
        </w:r>
        <w:r>
          <w:rPr>
            <w:webHidden/>
          </w:rPr>
          <w:fldChar w:fldCharType="end"/>
        </w:r>
      </w:hyperlink>
    </w:p>
    <w:p>
      <w:pPr>
        <w:pStyle w:val="TableofFigures"/>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8012">
        <w:r>
          <w:rPr>
            <w:rStyle w:val="IndexLink"/>
          </w:rPr>
          <w:t>Graf č. 7:</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Vývoj relativní meziměsíční změny cenové úrovně komponenty „komunikace“ v ČR</w:t>
        </w:r>
        <w:r>
          <w:rPr>
            <w:webHidden/>
          </w:rPr>
          <w:fldChar w:fldCharType="begin"/>
        </w:r>
        <w:r>
          <w:rPr>
            <w:webHidden/>
          </w:rPr>
          <w:instrText xml:space="preserve">PAGEREF _Toc229058012 \h</w:instrText>
        </w:r>
        <w:r>
          <w:rPr>
            <w:webHidden/>
          </w:rPr>
          <w:fldChar w:fldCharType="separate"/>
        </w:r>
        <w:r>
          <w:rPr>
            <w:rStyle w:val="IndexLink"/>
            <w:vanish w:val="false"/>
          </w:rPr>
          <w:tab/>
          <w:t>7</w:t>
        </w:r>
        <w:r>
          <w:rPr>
            <w:webHidden/>
          </w:rPr>
          <w:fldChar w:fldCharType="end"/>
        </w:r>
      </w:hyperlink>
    </w:p>
    <w:p>
      <w:pPr>
        <w:pStyle w:val="TableofFigures"/>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8013">
        <w:r>
          <w:rPr>
            <w:rStyle w:val="IndexLink"/>
          </w:rPr>
          <w:t>Graf č. 8:</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Vývoj relativní meziroční změny cenové úrovně komponenty „komunikace“ v ČR</w:t>
        </w:r>
        <w:r>
          <w:rPr>
            <w:webHidden/>
          </w:rPr>
          <w:fldChar w:fldCharType="begin"/>
        </w:r>
        <w:r>
          <w:rPr>
            <w:webHidden/>
          </w:rPr>
          <w:instrText xml:space="preserve">PAGEREF _Toc229058013 \h</w:instrText>
        </w:r>
        <w:r>
          <w:rPr>
            <w:webHidden/>
          </w:rPr>
          <w:fldChar w:fldCharType="separate"/>
        </w:r>
        <w:r>
          <w:rPr>
            <w:rStyle w:val="IndexLink"/>
            <w:vanish w:val="false"/>
          </w:rPr>
          <w:tab/>
          <w:t>7</w:t>
        </w:r>
        <w:r>
          <w:rPr>
            <w:webHidden/>
          </w:rPr>
          <w:fldChar w:fldCharType="end"/>
        </w:r>
      </w:hyperlink>
    </w:p>
    <w:p>
      <w:pPr>
        <w:pStyle w:val="TableofFigures"/>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8014">
        <w:r>
          <w:rPr>
            <w:rStyle w:val="IndexLink"/>
          </w:rPr>
          <w:t>Graf č. 9:</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Vývoj relativní změny cenové úrovně komponenty „komunikace“ v ČR za dvouleté období</w:t>
        </w:r>
        <w:r>
          <w:rPr>
            <w:webHidden/>
          </w:rPr>
          <w:fldChar w:fldCharType="begin"/>
        </w:r>
        <w:r>
          <w:rPr>
            <w:webHidden/>
          </w:rPr>
          <w:instrText xml:space="preserve">PAGEREF _Toc229058014 \h</w:instrText>
        </w:r>
        <w:r>
          <w:rPr>
            <w:webHidden/>
          </w:rPr>
          <w:fldChar w:fldCharType="separate"/>
        </w:r>
        <w:r>
          <w:rPr>
            <w:rStyle w:val="IndexLink"/>
            <w:vanish w:val="false"/>
          </w:rPr>
          <w:tab/>
          <w:t>8</w:t>
        </w:r>
        <w:r>
          <w:rPr>
            <w:webHidden/>
          </w:rPr>
          <w:fldChar w:fldCharType="end"/>
        </w:r>
      </w:hyperlink>
    </w:p>
    <w:p>
      <w:pPr>
        <w:pStyle w:val="TableofFigures"/>
        <w:tabs>
          <w:tab w:val="clear" w:pos="708"/>
          <w:tab w:val="left" w:pos="14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8015">
        <w:r>
          <w:rPr>
            <w:rStyle w:val="IndexLink"/>
          </w:rPr>
          <w:t>Graf č. 10:</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Vývoj průměrného měsíčního ARPU operátorů v jednotlivých segmentech (v Kč v běžných cenách)</w:t>
        </w:r>
        <w:r>
          <w:rPr>
            <w:webHidden/>
          </w:rPr>
          <w:fldChar w:fldCharType="begin"/>
        </w:r>
        <w:r>
          <w:rPr>
            <w:webHidden/>
          </w:rPr>
          <w:instrText xml:space="preserve">PAGEREF _Toc229058015 \h</w:instrText>
        </w:r>
        <w:r>
          <w:rPr>
            <w:webHidden/>
          </w:rPr>
          <w:fldChar w:fldCharType="separate"/>
        </w:r>
        <w:r>
          <w:rPr>
            <w:rStyle w:val="IndexLink"/>
            <w:vanish w:val="false"/>
          </w:rPr>
          <w:tab/>
          <w:t>8</w:t>
        </w:r>
        <w:r>
          <w:rPr>
            <w:webHidden/>
          </w:rPr>
          <w:fldChar w:fldCharType="end"/>
        </w:r>
      </w:hyperlink>
    </w:p>
    <w:p>
      <w:pPr>
        <w:pStyle w:val="TableofFigures"/>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8016">
        <w:r>
          <w:rPr>
            <w:rStyle w:val="IndexLink"/>
          </w:rPr>
          <w:t>Graf č. 11:</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ARPU segmentu domácností jako % ARPU segmentu firem dle jednotlivých operátorů a dle majetkového vztahu MVNO (v %)</w:t>
        </w:r>
        <w:r>
          <w:rPr>
            <w:webHidden/>
          </w:rPr>
          <w:fldChar w:fldCharType="begin"/>
        </w:r>
        <w:r>
          <w:rPr>
            <w:webHidden/>
          </w:rPr>
          <w:instrText xml:space="preserve">PAGEREF _Toc229058016 \h</w:instrText>
        </w:r>
        <w:r>
          <w:rPr>
            <w:webHidden/>
          </w:rPr>
          <w:fldChar w:fldCharType="separate"/>
        </w:r>
        <w:r>
          <w:rPr>
            <w:rStyle w:val="IndexLink"/>
            <w:vanish w:val="false"/>
          </w:rPr>
          <w:tab/>
          <w:t>9</w:t>
        </w:r>
        <w:r>
          <w:rPr>
            <w:webHidden/>
          </w:rPr>
          <w:fldChar w:fldCharType="end"/>
        </w:r>
      </w:hyperlink>
    </w:p>
    <w:p>
      <w:pPr>
        <w:pStyle w:val="TableofFigures"/>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8017">
        <w:r>
          <w:rPr>
            <w:rStyle w:val="IndexLink"/>
          </w:rPr>
          <w:t>Graf č. 12:</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Rovnováha nedokonale konkurenční firmy</w:t>
        </w:r>
        <w:r>
          <w:rPr>
            <w:webHidden/>
          </w:rPr>
          <w:fldChar w:fldCharType="begin"/>
        </w:r>
        <w:r>
          <w:rPr>
            <w:webHidden/>
          </w:rPr>
          <w:instrText xml:space="preserve">PAGEREF _Toc229058017 \h</w:instrText>
        </w:r>
        <w:r>
          <w:rPr>
            <w:webHidden/>
          </w:rPr>
          <w:fldChar w:fldCharType="separate"/>
        </w:r>
        <w:r>
          <w:rPr>
            <w:rStyle w:val="IndexLink"/>
            <w:vanish w:val="false"/>
          </w:rPr>
          <w:tab/>
          <w:t>17</w:t>
        </w:r>
        <w:r>
          <w:rPr>
            <w:webHidden/>
          </w:rPr>
          <w:fldChar w:fldCharType="end"/>
        </w:r>
      </w:hyperlink>
    </w:p>
    <w:p>
      <w:pPr>
        <w:pStyle w:val="TableofFigures"/>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8018">
        <w:r>
          <w:rPr>
            <w:rStyle w:val="IndexLink"/>
          </w:rPr>
          <w:t>Graf č. 13:</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Dopady výrobního zlepšení nedokonale konkurenční firmy</w:t>
        </w:r>
        <w:r>
          <w:rPr>
            <w:webHidden/>
          </w:rPr>
          <w:fldChar w:fldCharType="begin"/>
        </w:r>
        <w:r>
          <w:rPr>
            <w:webHidden/>
          </w:rPr>
          <w:instrText xml:space="preserve">PAGEREF _Toc229058018 \h</w:instrText>
        </w:r>
        <w:r>
          <w:rPr>
            <w:webHidden/>
          </w:rPr>
          <w:fldChar w:fldCharType="separate"/>
        </w:r>
        <w:r>
          <w:rPr>
            <w:rStyle w:val="IndexLink"/>
            <w:vanish w:val="false"/>
          </w:rPr>
          <w:tab/>
          <w:t>18</w:t>
        </w:r>
        <w:r>
          <w:rPr>
            <w:webHidden/>
          </w:rPr>
          <w:fldChar w:fldCharType="end"/>
        </w:r>
      </w:hyperlink>
    </w:p>
    <w:p>
      <w:pPr>
        <w:pStyle w:val="TableofFigures"/>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8019">
        <w:r>
          <w:rPr>
            <w:rStyle w:val="IndexLink"/>
          </w:rPr>
          <w:t>Graf č. 14:</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Excesivní cena a přečerpávání přebytku spotřebitele</w:t>
        </w:r>
        <w:r>
          <w:rPr>
            <w:webHidden/>
          </w:rPr>
          <w:fldChar w:fldCharType="begin"/>
        </w:r>
        <w:r>
          <w:rPr>
            <w:webHidden/>
          </w:rPr>
          <w:instrText xml:space="preserve">PAGEREF _Toc229058019 \h</w:instrText>
        </w:r>
        <w:r>
          <w:rPr>
            <w:webHidden/>
          </w:rPr>
          <w:fldChar w:fldCharType="separate"/>
        </w:r>
        <w:r>
          <w:rPr>
            <w:rStyle w:val="IndexLink"/>
            <w:vanish w:val="false"/>
          </w:rPr>
          <w:tab/>
          <w:t>20</w:t>
        </w:r>
        <w:r>
          <w:rPr>
            <w:webHidden/>
          </w:rPr>
          <w:fldChar w:fldCharType="end"/>
        </w:r>
      </w:hyperlink>
    </w:p>
    <w:p>
      <w:pPr>
        <w:pStyle w:val="TableofFigures"/>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8020">
        <w:r>
          <w:rPr>
            <w:rStyle w:val="IndexLink"/>
          </w:rPr>
          <w:t>Graf č. 15:</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Podíl ARPU na reálných výdajích per capita v PPP v EU</w:t>
        </w:r>
        <w:r>
          <w:rPr>
            <w:webHidden/>
          </w:rPr>
          <w:fldChar w:fldCharType="begin"/>
        </w:r>
        <w:r>
          <w:rPr>
            <w:webHidden/>
          </w:rPr>
          <w:instrText xml:space="preserve">PAGEREF _Toc229058020 \h</w:instrText>
        </w:r>
        <w:r>
          <w:rPr>
            <w:webHidden/>
          </w:rPr>
          <w:fldChar w:fldCharType="separate"/>
        </w:r>
        <w:r>
          <w:rPr>
            <w:rStyle w:val="IndexLink"/>
            <w:vanish w:val="false"/>
          </w:rPr>
          <w:tab/>
          <w:t>52</w:t>
        </w:r>
        <w:r>
          <w:rPr>
            <w:webHidden/>
          </w:rPr>
          <w:fldChar w:fldCharType="end"/>
        </w:r>
      </w:hyperlink>
    </w:p>
    <w:p>
      <w:pPr>
        <w:pStyle w:val="TableofFigures"/>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8021">
        <w:r>
          <w:rPr>
            <w:rStyle w:val="IndexLink"/>
          </w:rPr>
          <w:t>Graf č. 16:</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Souvislost mezi ARPU a reálnými výdaji per capita v PPP v EU</w:t>
        </w:r>
        <w:r>
          <w:rPr>
            <w:webHidden/>
          </w:rPr>
          <w:fldChar w:fldCharType="begin"/>
        </w:r>
        <w:r>
          <w:rPr>
            <w:webHidden/>
          </w:rPr>
          <w:instrText xml:space="preserve">PAGEREF _Toc229058021 \h</w:instrText>
        </w:r>
        <w:r>
          <w:rPr>
            <w:webHidden/>
          </w:rPr>
          <w:fldChar w:fldCharType="separate"/>
        </w:r>
        <w:r>
          <w:rPr>
            <w:rStyle w:val="IndexLink"/>
            <w:vanish w:val="false"/>
          </w:rPr>
          <w:tab/>
          <w:t>53</w:t>
        </w:r>
        <w:r>
          <w:rPr>
            <w:webHidden/>
          </w:rPr>
          <w:fldChar w:fldCharType="end"/>
        </w:r>
      </w:hyperlink>
    </w:p>
    <w:p>
      <w:pPr>
        <w:pStyle w:val="TableofFigures"/>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8022">
        <w:r>
          <w:rPr>
            <w:rStyle w:val="IndexLink"/>
          </w:rPr>
          <w:t>Graf č. 17:</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Vývoj HICP cenového indexu komponenty „mobilní telefonní služby“</w:t>
        </w:r>
        <w:r>
          <w:rPr>
            <w:webHidden/>
          </w:rPr>
          <w:fldChar w:fldCharType="begin"/>
        </w:r>
        <w:r>
          <w:rPr>
            <w:webHidden/>
          </w:rPr>
          <w:instrText xml:space="preserve">PAGEREF _Toc229058022 \h</w:instrText>
        </w:r>
        <w:r>
          <w:rPr>
            <w:webHidden/>
          </w:rPr>
          <w:fldChar w:fldCharType="separate"/>
        </w:r>
        <w:r>
          <w:rPr>
            <w:rStyle w:val="IndexLink"/>
            <w:vanish w:val="false"/>
          </w:rPr>
          <w:tab/>
          <w:t>53</w:t>
        </w:r>
        <w:r>
          <w:rPr>
            <w:webHidden/>
          </w:rPr>
          <w:fldChar w:fldCharType="end"/>
        </w:r>
      </w:hyperlink>
    </w:p>
    <w:p>
      <w:pPr>
        <w:pStyle w:val="TableofFigures"/>
        <w:tabs>
          <w:tab w:val="clear" w:pos="708"/>
          <w:tab w:val="left" w:pos="14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8023">
        <w:r>
          <w:rPr>
            <w:rStyle w:val="IndexLink"/>
          </w:rPr>
          <w:t>Graf č. 18:</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Vývoj relativní meziměsíční změny cenové úrovně komponenty „mobilní telefonní služby“ v ČR</w:t>
        </w:r>
        <w:r>
          <w:rPr>
            <w:webHidden/>
          </w:rPr>
          <w:fldChar w:fldCharType="begin"/>
        </w:r>
        <w:r>
          <w:rPr>
            <w:webHidden/>
          </w:rPr>
          <w:instrText xml:space="preserve">PAGEREF _Toc229058023 \h</w:instrText>
        </w:r>
        <w:r>
          <w:rPr>
            <w:webHidden/>
          </w:rPr>
          <w:fldChar w:fldCharType="separate"/>
        </w:r>
        <w:r>
          <w:rPr>
            <w:rStyle w:val="IndexLink"/>
            <w:vanish w:val="false"/>
          </w:rPr>
          <w:tab/>
          <w:t>54</w:t>
        </w:r>
        <w:r>
          <w:rPr>
            <w:webHidden/>
          </w:rPr>
          <w:fldChar w:fldCharType="end"/>
        </w:r>
      </w:hyperlink>
    </w:p>
    <w:p>
      <w:pPr>
        <w:pStyle w:val="TableofFigures"/>
        <w:tabs>
          <w:tab w:val="clear" w:pos="708"/>
          <w:tab w:val="left" w:pos="14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8024">
        <w:r>
          <w:rPr>
            <w:rStyle w:val="IndexLink"/>
          </w:rPr>
          <w:t>Graf č. 19:</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Vývoj relativní meziroční změny cenové úrovně komponenty „mobilní telefonní služby“ v ČR</w:t>
        </w:r>
        <w:r>
          <w:rPr>
            <w:webHidden/>
          </w:rPr>
          <w:fldChar w:fldCharType="begin"/>
        </w:r>
        <w:r>
          <w:rPr>
            <w:webHidden/>
          </w:rPr>
          <w:instrText xml:space="preserve">PAGEREF _Toc229058024 \h</w:instrText>
        </w:r>
        <w:r>
          <w:rPr>
            <w:webHidden/>
          </w:rPr>
          <w:fldChar w:fldCharType="separate"/>
        </w:r>
        <w:r>
          <w:rPr>
            <w:rStyle w:val="IndexLink"/>
            <w:vanish w:val="false"/>
          </w:rPr>
          <w:tab/>
          <w:t>54</w:t>
        </w:r>
        <w:r>
          <w:rPr>
            <w:webHidden/>
          </w:rPr>
          <w:fldChar w:fldCharType="end"/>
        </w:r>
      </w:hyperlink>
    </w:p>
    <w:p>
      <w:pPr>
        <w:pStyle w:val="TableofFigures"/>
        <w:tabs>
          <w:tab w:val="clear" w:pos="708"/>
          <w:tab w:val="left" w:pos="14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8025">
        <w:r>
          <w:rPr>
            <w:rStyle w:val="IndexLink"/>
          </w:rPr>
          <w:t>Graf č. 20:</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Vývoj relativní změny cenové úrovně komponenty „mobilní telefonní služby“ v ČR za dvouleté období</w:t>
        </w:r>
        <w:r>
          <w:rPr>
            <w:webHidden/>
          </w:rPr>
          <w:fldChar w:fldCharType="begin"/>
        </w:r>
        <w:r>
          <w:rPr>
            <w:webHidden/>
          </w:rPr>
          <w:instrText xml:space="preserve">PAGEREF _Toc229058025 \h</w:instrText>
        </w:r>
        <w:r>
          <w:rPr>
            <w:webHidden/>
          </w:rPr>
          <w:fldChar w:fldCharType="separate"/>
        </w:r>
        <w:r>
          <w:rPr>
            <w:rStyle w:val="IndexLink"/>
            <w:vanish w:val="false"/>
          </w:rPr>
          <w:tab/>
          <w:t>54</w:t>
        </w:r>
        <w:r>
          <w:rPr>
            <w:webHidden/>
          </w:rPr>
          <w:fldChar w:fldCharType="end"/>
        </w:r>
      </w:hyperlink>
    </w:p>
    <w:p>
      <w:pPr>
        <w:pStyle w:val="TableofFigures"/>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8026">
        <w:r>
          <w:rPr>
            <w:rStyle w:val="IndexLink"/>
          </w:rPr>
          <w:t>Graf č. 21:</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Vývoj HICP cenového indexu komponenty „balíčkované telekomunikační služby“</w:t>
        </w:r>
        <w:r>
          <w:rPr>
            <w:webHidden/>
          </w:rPr>
          <w:fldChar w:fldCharType="begin"/>
        </w:r>
        <w:r>
          <w:rPr>
            <w:webHidden/>
          </w:rPr>
          <w:instrText xml:space="preserve">PAGEREF _Toc229058026 \h</w:instrText>
        </w:r>
        <w:r>
          <w:rPr>
            <w:webHidden/>
          </w:rPr>
          <w:fldChar w:fldCharType="separate"/>
        </w:r>
        <w:r>
          <w:rPr>
            <w:rStyle w:val="IndexLink"/>
            <w:vanish w:val="false"/>
          </w:rPr>
          <w:tab/>
          <w:t>55</w:t>
        </w:r>
        <w:r>
          <w:rPr>
            <w:webHidden/>
          </w:rPr>
          <w:fldChar w:fldCharType="end"/>
        </w:r>
      </w:hyperlink>
    </w:p>
    <w:p>
      <w:pPr>
        <w:pStyle w:val="TableofFigures"/>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8027">
        <w:r>
          <w:rPr>
            <w:rStyle w:val="IndexLink"/>
          </w:rPr>
          <w:t>Graf č. 22:</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Nominální ceníkové ceny zjištěné Úřadem ve sběru ceníkových cen č. 1 (v Kč)</w:t>
        </w:r>
        <w:r>
          <w:rPr>
            <w:webHidden/>
          </w:rPr>
          <w:fldChar w:fldCharType="begin"/>
        </w:r>
        <w:r>
          <w:rPr>
            <w:webHidden/>
          </w:rPr>
          <w:instrText xml:space="preserve">PAGEREF _Toc229058027 \h</w:instrText>
        </w:r>
        <w:r>
          <w:rPr>
            <w:webHidden/>
          </w:rPr>
          <w:fldChar w:fldCharType="separate"/>
        </w:r>
        <w:r>
          <w:rPr>
            <w:rStyle w:val="IndexLink"/>
            <w:vanish w:val="false"/>
          </w:rPr>
          <w:tab/>
          <w:t>55</w:t>
        </w:r>
        <w:r>
          <w:rPr>
            <w:webHidden/>
          </w:rPr>
          <w:fldChar w:fldCharType="end"/>
        </w:r>
      </w:hyperlink>
    </w:p>
    <w:p>
      <w:pPr>
        <w:pStyle w:val="TableofFigures"/>
        <w:tabs>
          <w:tab w:val="clear" w:pos="708"/>
          <w:tab w:val="left" w:pos="14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8028">
        <w:r>
          <w:rPr>
            <w:rStyle w:val="IndexLink"/>
          </w:rPr>
          <w:t>Graf č. 23:</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Ceníkové ceny zjištěné Úřadem ve sběru ceníkových cen č. 2 (v Kč)</w:t>
        </w:r>
        <w:r>
          <w:rPr>
            <w:webHidden/>
          </w:rPr>
          <w:fldChar w:fldCharType="begin"/>
        </w:r>
        <w:r>
          <w:rPr>
            <w:webHidden/>
          </w:rPr>
          <w:instrText xml:space="preserve">PAGEREF _Toc229058028 \h</w:instrText>
        </w:r>
        <w:r>
          <w:rPr>
            <w:webHidden/>
          </w:rPr>
          <w:fldChar w:fldCharType="separate"/>
        </w:r>
        <w:r>
          <w:rPr>
            <w:rStyle w:val="IndexLink"/>
            <w:vanish w:val="false"/>
          </w:rPr>
          <w:tab/>
          <w:t>56</w:t>
        </w:r>
        <w:r>
          <w:rPr>
            <w:webHidden/>
          </w:rPr>
          <w:fldChar w:fldCharType="end"/>
        </w:r>
      </w:hyperlink>
    </w:p>
    <w:p>
      <w:pPr>
        <w:pStyle w:val="TableofFigures"/>
        <w:tabs>
          <w:tab w:val="clear" w:pos="708"/>
          <w:tab w:val="left" w:pos="14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8029">
        <w:r>
          <w:rPr>
            <w:rStyle w:val="IndexLink"/>
          </w:rPr>
          <w:t>Graf č. 24:</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r>
        <m:oMath xmlns:m="http://schemas.openxmlformats.org/officeDocument/2006/math">
          <m:r>
            <w:rPr>
              <w:rFonts w:ascii="Cambria Math" w:hAnsi="Cambria Math"/>
            </w:rPr>
            <m:t xml:space="preserve">PO</m:t>
          </m:r>
          <m:r>
            <w:rPr>
              <w:rFonts w:ascii="Cambria Math" w:hAnsi="Cambria Math"/>
            </w:rPr>
            <m:t xml:space="preserve">&gt;</m:t>
          </m:r>
          <m:r>
            <w:rPr>
              <w:rFonts w:ascii="Cambria Math" w:hAnsi="Cambria Math"/>
            </w:rPr>
            <m:t xml:space="preserve">PE</m:t>
          </m:r>
        </m:oMath>
        <w:r>
          <w:rPr>
            <w:webHidden/>
          </w:rPr>
          <w:fldChar w:fldCharType="begin"/>
        </w:r>
        <w:r>
          <w:rPr>
            <w:webHidden/>
          </w:rPr>
          <w:instrText xml:space="preserve">PAGEREF _Toc229058029 \h</w:instrText>
        </w:r>
        <w:r>
          <w:rPr>
            <w:webHidden/>
          </w:rPr>
          <w:fldChar w:fldCharType="separate"/>
        </w:r>
        <w:r>
          <w:rPr>
            <w:rStyle w:val="IndexLink"/>
            <w:vanish w:val="false"/>
          </w:rPr>
          <w:tab/>
          <w:t>64</w:t>
        </w:r>
        <w:r>
          <w:rPr>
            <w:webHidden/>
          </w:rPr>
          <w:fldChar w:fldCharType="end"/>
        </w:r>
      </w:hyperlink>
    </w:p>
    <w:p>
      <w:pPr>
        <w:pStyle w:val="TableofFigures"/>
        <w:tabs>
          <w:tab w:val="clear" w:pos="708"/>
          <w:tab w:val="left" w:pos="14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8030">
        <w:r>
          <w:rPr>
            <w:rStyle w:val="IndexLink"/>
          </w:rPr>
          <w:t>Graf č. 25:</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Min, max a medián ceníkových cen mobilních tarifů ze sběru č. 1 dle států</w:t>
        </w:r>
        <w:r>
          <w:rPr>
            <w:webHidden/>
          </w:rPr>
          <w:fldChar w:fldCharType="begin"/>
        </w:r>
        <w:r>
          <w:rPr>
            <w:webHidden/>
          </w:rPr>
          <w:instrText xml:space="preserve">PAGEREF _Toc229058030 \h</w:instrText>
        </w:r>
        <w:r>
          <w:rPr>
            <w:webHidden/>
          </w:rPr>
          <w:fldChar w:fldCharType="separate"/>
        </w:r>
        <w:r>
          <w:rPr>
            <w:rStyle w:val="IndexLink"/>
            <w:vanish w:val="false"/>
          </w:rPr>
          <w:tab/>
          <w:t>71</w:t>
        </w:r>
        <w:r>
          <w:rPr>
            <w:webHidden/>
          </w:rPr>
          <w:fldChar w:fldCharType="end"/>
        </w:r>
      </w:hyperlink>
    </w:p>
    <w:p>
      <w:pPr>
        <w:pStyle w:val="TableofFigures"/>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8031">
        <w:r>
          <w:rPr>
            <w:rStyle w:val="IndexLink"/>
          </w:rPr>
          <w:t>Graf č. 26:</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Min, max a medián ceníkových cen mobilních tarifů ze sběru č. 2 dle států</w:t>
        </w:r>
        <w:r>
          <w:rPr>
            <w:webHidden/>
          </w:rPr>
          <w:fldChar w:fldCharType="begin"/>
        </w:r>
        <w:r>
          <w:rPr>
            <w:webHidden/>
          </w:rPr>
          <w:instrText xml:space="preserve">PAGEREF _Toc229058031 \h</w:instrText>
        </w:r>
        <w:r>
          <w:rPr>
            <w:webHidden/>
          </w:rPr>
          <w:fldChar w:fldCharType="separate"/>
        </w:r>
        <w:r>
          <w:rPr>
            <w:rStyle w:val="IndexLink"/>
            <w:vanish w:val="false"/>
          </w:rPr>
          <w:tab/>
          <w:t>71</w:t>
        </w:r>
        <w:r>
          <w:rPr>
            <w:webHidden/>
          </w:rPr>
          <w:fldChar w:fldCharType="end"/>
        </w:r>
      </w:hyperlink>
    </w:p>
    <w:p>
      <w:pPr>
        <w:pStyle w:val="TableofFigures"/>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8032">
        <w:r>
          <w:rPr>
            <w:rStyle w:val="IndexLink"/>
          </w:rPr>
          <w:t>Graf č. 27:</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Interkvartilové rozpětí ceníkových cen mobilních služeb ze sběru č. 1</w:t>
        </w:r>
        <w:r>
          <w:rPr>
            <w:webHidden/>
          </w:rPr>
          <w:fldChar w:fldCharType="begin"/>
        </w:r>
        <w:r>
          <w:rPr>
            <w:webHidden/>
          </w:rPr>
          <w:instrText xml:space="preserve">PAGEREF _Toc229058032 \h</w:instrText>
        </w:r>
        <w:r>
          <w:rPr>
            <w:webHidden/>
          </w:rPr>
          <w:fldChar w:fldCharType="separate"/>
        </w:r>
        <w:r>
          <w:rPr>
            <w:rStyle w:val="IndexLink"/>
            <w:vanish w:val="false"/>
          </w:rPr>
          <w:tab/>
          <w:t>71</w:t>
        </w:r>
        <w:r>
          <w:rPr>
            <w:webHidden/>
          </w:rPr>
          <w:fldChar w:fldCharType="end"/>
        </w:r>
      </w:hyperlink>
    </w:p>
    <w:p>
      <w:pPr>
        <w:pStyle w:val="TableofFigures"/>
        <w:tabs>
          <w:tab w:val="clear" w:pos="708"/>
          <w:tab w:val="left" w:pos="14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8033">
        <w:r>
          <w:rPr>
            <w:rStyle w:val="IndexLink"/>
          </w:rPr>
          <w:t>Graf č. 28:</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Interkvartilové rozpětí ceníkových cen mobilních služeb ze sběru č. 2</w:t>
        </w:r>
        <w:r>
          <w:rPr>
            <w:webHidden/>
          </w:rPr>
          <w:fldChar w:fldCharType="begin"/>
        </w:r>
        <w:r>
          <w:rPr>
            <w:webHidden/>
          </w:rPr>
          <w:instrText xml:space="preserve">PAGEREF _Toc229058033 \h</w:instrText>
        </w:r>
        <w:r>
          <w:rPr>
            <w:webHidden/>
          </w:rPr>
          <w:fldChar w:fldCharType="separate"/>
        </w:r>
        <w:r>
          <w:rPr>
            <w:rStyle w:val="IndexLink"/>
            <w:vanish w:val="false"/>
          </w:rPr>
          <w:tab/>
          <w:t>71</w:t>
        </w:r>
        <w:r>
          <w:rPr>
            <w:webHidden/>
          </w:rPr>
          <w:fldChar w:fldCharType="end"/>
        </w:r>
      </w:hyperlink>
    </w:p>
    <w:p>
      <w:pPr>
        <w:pStyle w:val="TableofFigures"/>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8034">
        <w:r>
          <w:rPr>
            <w:rStyle w:val="IndexLink"/>
          </w:rPr>
          <w:t>Graf č. 29:</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Rozdíl od cenově nejbližší nabídky národních konkurentů v datech ze sběru č. 1 (v %)</w:t>
        </w:r>
        <w:r>
          <w:rPr>
            <w:webHidden/>
          </w:rPr>
          <w:fldChar w:fldCharType="begin"/>
        </w:r>
        <w:r>
          <w:rPr>
            <w:webHidden/>
          </w:rPr>
          <w:instrText xml:space="preserve">PAGEREF _Toc229058034 \h</w:instrText>
        </w:r>
        <w:r>
          <w:rPr>
            <w:webHidden/>
          </w:rPr>
          <w:fldChar w:fldCharType="separate"/>
        </w:r>
        <w:r>
          <w:rPr>
            <w:rStyle w:val="IndexLink"/>
            <w:vanish w:val="false"/>
          </w:rPr>
          <w:tab/>
          <w:t>72</w:t>
        </w:r>
        <w:r>
          <w:rPr>
            <w:webHidden/>
          </w:rPr>
          <w:fldChar w:fldCharType="end"/>
        </w:r>
      </w:hyperlink>
    </w:p>
    <w:p>
      <w:pPr>
        <w:pStyle w:val="TableofFigures"/>
        <w:tabs>
          <w:tab w:val="clear" w:pos="708"/>
          <w:tab w:val="left" w:pos="14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8035">
        <w:r>
          <w:rPr>
            <w:rStyle w:val="IndexLink"/>
          </w:rPr>
          <w:t>Graf č. 30:</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Rozdíl od cenově nejbližší nabídky národních konkurentů v datech ze sběru č. 2 (v %)</w:t>
        </w:r>
        <w:r>
          <w:rPr>
            <w:webHidden/>
          </w:rPr>
          <w:fldChar w:fldCharType="begin"/>
        </w:r>
        <w:r>
          <w:rPr>
            <w:webHidden/>
          </w:rPr>
          <w:instrText xml:space="preserve">PAGEREF _Toc229058035 \h</w:instrText>
        </w:r>
        <w:r>
          <w:rPr>
            <w:webHidden/>
          </w:rPr>
          <w:fldChar w:fldCharType="separate"/>
        </w:r>
        <w:r>
          <w:rPr>
            <w:rStyle w:val="IndexLink"/>
            <w:vanish w:val="false"/>
          </w:rPr>
          <w:tab/>
          <w:t>72</w:t>
        </w:r>
        <w:r>
          <w:rPr>
            <w:webHidden/>
          </w:rPr>
          <w:fldChar w:fldCharType="end"/>
        </w:r>
      </w:hyperlink>
    </w:p>
    <w:p>
      <w:pPr>
        <w:pStyle w:val="TableofFigures"/>
        <w:tabs>
          <w:tab w:val="clear" w:pos="708"/>
          <w:tab w:val="left" w:pos="12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8036">
        <w:r>
          <w:rPr>
            <w:rStyle w:val="IndexLink"/>
          </w:rPr>
          <w:t>Graf č. 31:</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Cenový průměr identifikovaných shluků ceníkových cen ze sběru č. 1 dle jednotlivých států (v CZK)</w:t>
        </w:r>
        <w:r>
          <w:rPr>
            <w:webHidden/>
          </w:rPr>
          <w:fldChar w:fldCharType="begin"/>
        </w:r>
        <w:r>
          <w:rPr>
            <w:webHidden/>
          </w:rPr>
          <w:instrText xml:space="preserve">PAGEREF _Toc229058036 \h</w:instrText>
        </w:r>
        <w:r>
          <w:rPr>
            <w:webHidden/>
          </w:rPr>
          <w:fldChar w:fldCharType="separate"/>
        </w:r>
        <w:r>
          <w:rPr>
            <w:rStyle w:val="IndexLink"/>
            <w:vanish w:val="false"/>
          </w:rPr>
          <w:tab/>
          <w:t>72</w:t>
        </w:r>
        <w:r>
          <w:rPr>
            <w:webHidden/>
          </w:rPr>
          <w:fldChar w:fldCharType="end"/>
        </w:r>
      </w:hyperlink>
    </w:p>
    <w:p>
      <w:pPr>
        <w:pStyle w:val="TableofFigures"/>
        <w:tabs>
          <w:tab w:val="clear" w:pos="708"/>
          <w:tab w:val="left" w:pos="14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8037">
        <w:r>
          <w:rPr>
            <w:rStyle w:val="IndexLink"/>
          </w:rPr>
          <w:t>Graf č. 32:</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Cenový průměr identifikovaných shluků ceníkových cen ze sběru č. 2 dle jednotlivých států (v CZK)</w:t>
        </w:r>
        <w:r>
          <w:rPr>
            <w:webHidden/>
          </w:rPr>
          <w:fldChar w:fldCharType="begin"/>
        </w:r>
        <w:r>
          <w:rPr>
            <w:webHidden/>
          </w:rPr>
          <w:instrText xml:space="preserve">PAGEREF _Toc229058037 \h</w:instrText>
        </w:r>
        <w:r>
          <w:rPr>
            <w:webHidden/>
          </w:rPr>
          <w:fldChar w:fldCharType="separate"/>
        </w:r>
        <w:r>
          <w:rPr>
            <w:rStyle w:val="IndexLink"/>
            <w:vanish w:val="false"/>
          </w:rPr>
          <w:tab/>
          <w:t>72</w:t>
        </w:r>
        <w:r>
          <w:rPr>
            <w:webHidden/>
          </w:rPr>
          <w:fldChar w:fldCharType="end"/>
        </w:r>
      </w:hyperlink>
    </w:p>
    <w:p>
      <w:pPr>
        <w:pStyle w:val="TableofFigures"/>
        <w:tabs>
          <w:tab w:val="clear" w:pos="708"/>
          <w:tab w:val="left" w:pos="14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8038">
        <w:r>
          <w:rPr>
            <w:rStyle w:val="IndexLink"/>
          </w:rPr>
          <w:t>Graf č. 33:</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Rozdíl průměrné ceníkové ceny a ARPU v EU</w:t>
        </w:r>
        <w:r>
          <w:rPr>
            <w:webHidden/>
          </w:rPr>
          <w:fldChar w:fldCharType="begin"/>
        </w:r>
        <w:r>
          <w:rPr>
            <w:webHidden/>
          </w:rPr>
          <w:instrText xml:space="preserve">PAGEREF _Toc229058038 \h</w:instrText>
        </w:r>
        <w:r>
          <w:rPr>
            <w:webHidden/>
          </w:rPr>
          <w:fldChar w:fldCharType="separate"/>
        </w:r>
        <w:r>
          <w:rPr>
            <w:rStyle w:val="IndexLink"/>
            <w:vanish w:val="false"/>
          </w:rPr>
          <w:tab/>
          <w:t>73</w:t>
        </w:r>
        <w:r>
          <w:rPr>
            <w:webHidden/>
          </w:rPr>
          <w:fldChar w:fldCharType="end"/>
        </w:r>
      </w:hyperlink>
    </w:p>
    <w:p>
      <w:pPr>
        <w:pStyle w:val="TableofFigures"/>
        <w:tabs>
          <w:tab w:val="clear" w:pos="708"/>
          <w:tab w:val="left" w:pos="14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8039">
        <w:r>
          <w:rPr>
            <w:rStyle w:val="IndexLink"/>
          </w:rPr>
          <w:t>Graf č. 34:</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Rozdíl nejvyšší zjištěné ceníkové ceny a ARPU v EU</w:t>
        </w:r>
        <w:r>
          <w:rPr>
            <w:webHidden/>
          </w:rPr>
          <w:fldChar w:fldCharType="begin"/>
        </w:r>
        <w:r>
          <w:rPr>
            <w:webHidden/>
          </w:rPr>
          <w:instrText xml:space="preserve">PAGEREF _Toc229058039 \h</w:instrText>
        </w:r>
        <w:r>
          <w:rPr>
            <w:webHidden/>
          </w:rPr>
          <w:fldChar w:fldCharType="separate"/>
        </w:r>
        <w:r>
          <w:rPr>
            <w:rStyle w:val="IndexLink"/>
            <w:vanish w:val="false"/>
          </w:rPr>
          <w:tab/>
          <w:t>73</w:t>
        </w:r>
        <w:r>
          <w:rPr>
            <w:webHidden/>
          </w:rPr>
          <w:fldChar w:fldCharType="end"/>
        </w:r>
      </w:hyperlink>
    </w:p>
    <w:p>
      <w:pPr>
        <w:pStyle w:val="TableofFigures"/>
        <w:tabs>
          <w:tab w:val="clear" w:pos="708"/>
          <w:tab w:val="left" w:pos="14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8040">
        <w:r>
          <w:rPr>
            <w:rStyle w:val="IndexLink"/>
          </w:rPr>
          <w:t>Graf č. 35:</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Rozdíl mezi nejnižší zjištěné ceníkové ceny a ARPU v EU</w:t>
        </w:r>
        <w:r>
          <w:rPr>
            <w:webHidden/>
          </w:rPr>
          <w:fldChar w:fldCharType="begin"/>
        </w:r>
        <w:r>
          <w:rPr>
            <w:webHidden/>
          </w:rPr>
          <w:instrText xml:space="preserve">PAGEREF _Toc229058040 \h</w:instrText>
        </w:r>
        <w:r>
          <w:rPr>
            <w:webHidden/>
          </w:rPr>
          <w:fldChar w:fldCharType="separate"/>
        </w:r>
        <w:r>
          <w:rPr>
            <w:rStyle w:val="IndexLink"/>
            <w:vanish w:val="false"/>
          </w:rPr>
          <w:tab/>
          <w:t>73</w:t>
        </w:r>
        <w:r>
          <w:rPr>
            <w:webHidden/>
          </w:rPr>
          <w:fldChar w:fldCharType="end"/>
        </w:r>
      </w:hyperlink>
    </w:p>
    <w:p>
      <w:pPr>
        <w:pStyle w:val="TableofFigures"/>
        <w:tabs>
          <w:tab w:val="clear" w:pos="708"/>
          <w:tab w:val="left" w:pos="14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8041">
        <w:r>
          <w:rPr>
            <w:rStyle w:val="IndexLink"/>
          </w:rPr>
          <w:t>Graf č. 36:</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Vztah rozdílu ARPU a rozdílu ve spotřebovaných minutách volání na aktivní SIM kartu mezi segmenty domácností a firem.</w:t>
        </w:r>
        <w:r>
          <w:rPr>
            <w:webHidden/>
          </w:rPr>
          <w:fldChar w:fldCharType="begin"/>
        </w:r>
        <w:r>
          <w:rPr>
            <w:webHidden/>
          </w:rPr>
          <w:instrText xml:space="preserve">PAGEREF _Toc229058041 \h</w:instrText>
        </w:r>
        <w:r>
          <w:rPr>
            <w:webHidden/>
          </w:rPr>
          <w:fldChar w:fldCharType="separate"/>
        </w:r>
        <w:r>
          <w:rPr>
            <w:rStyle w:val="IndexLink"/>
            <w:vanish w:val="false"/>
          </w:rPr>
          <w:tab/>
          <w:t>77</w:t>
        </w:r>
        <w:r>
          <w:rPr>
            <w:webHidden/>
          </w:rPr>
          <w:fldChar w:fldCharType="end"/>
        </w:r>
      </w:hyperlink>
    </w:p>
    <w:p>
      <w:pPr>
        <w:pStyle w:val="TableofFigures"/>
        <w:tabs>
          <w:tab w:val="clear" w:pos="708"/>
          <w:tab w:val="left" w:pos="14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8042">
        <w:r>
          <w:rPr>
            <w:rStyle w:val="IndexLink"/>
          </w:rPr>
          <w:t>Graf č. 37:</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Vztah rozdílu ARPU a rozdílu ve spotřebovaných SMS na aktivní SIM kartu mezi segmenty domácností a firem.</w:t>
        </w:r>
        <w:r>
          <w:rPr>
            <w:webHidden/>
          </w:rPr>
          <w:fldChar w:fldCharType="begin"/>
        </w:r>
        <w:r>
          <w:rPr>
            <w:webHidden/>
          </w:rPr>
          <w:instrText xml:space="preserve">PAGEREF _Toc229058042 \h</w:instrText>
        </w:r>
        <w:r>
          <w:rPr>
            <w:webHidden/>
          </w:rPr>
          <w:fldChar w:fldCharType="separate"/>
        </w:r>
        <w:r>
          <w:rPr>
            <w:rStyle w:val="IndexLink"/>
            <w:vanish w:val="false"/>
          </w:rPr>
          <w:tab/>
          <w:t>77</w:t>
        </w:r>
        <w:r>
          <w:rPr>
            <w:webHidden/>
          </w:rPr>
          <w:fldChar w:fldCharType="end"/>
        </w:r>
      </w:hyperlink>
    </w:p>
    <w:p>
      <w:pPr>
        <w:pStyle w:val="TableofFigures"/>
        <w:tabs>
          <w:tab w:val="clear" w:pos="708"/>
          <w:tab w:val="left" w:pos="14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8043">
        <w:r>
          <w:rPr>
            <w:rStyle w:val="IndexLink"/>
          </w:rPr>
          <w:t>Graf č. 38:</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Vztah rozdílu ARPU a rozdílu ve spotřebovaných GB dat na aktivní SIM kartu mezi segmenty domácností a firem.</w:t>
        </w:r>
        <w:r>
          <w:rPr>
            <w:webHidden/>
          </w:rPr>
          <w:fldChar w:fldCharType="begin"/>
        </w:r>
        <w:r>
          <w:rPr>
            <w:webHidden/>
          </w:rPr>
          <w:instrText xml:space="preserve">PAGEREF _Toc229058043 \h</w:instrText>
        </w:r>
        <w:r>
          <w:rPr>
            <w:webHidden/>
          </w:rPr>
          <w:fldChar w:fldCharType="separate"/>
        </w:r>
        <w:r>
          <w:rPr>
            <w:rStyle w:val="IndexLink"/>
            <w:vanish w:val="false"/>
          </w:rPr>
          <w:tab/>
          <w:t>77</w:t>
        </w:r>
        <w:r>
          <w:rPr>
            <w:webHidden/>
          </w:rPr>
          <w:fldChar w:fldCharType="end"/>
        </w:r>
      </w:hyperlink>
    </w:p>
    <w:p>
      <w:pPr>
        <w:pStyle w:val="TableofFigures"/>
        <w:tabs>
          <w:tab w:val="clear" w:pos="708"/>
          <w:tab w:val="left" w:pos="14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8044">
        <w:r>
          <w:rPr>
            <w:rStyle w:val="IndexLink"/>
          </w:rPr>
          <w:t>Graf č. 39:</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Rozložení skutečných cen všech mobilních služeb za celé zkoumané období</w:t>
        </w:r>
        <w:r>
          <w:rPr>
            <w:webHidden/>
          </w:rPr>
          <w:fldChar w:fldCharType="begin"/>
        </w:r>
        <w:r>
          <w:rPr>
            <w:webHidden/>
          </w:rPr>
          <w:instrText xml:space="preserve">PAGEREF _Toc229058044 \h</w:instrText>
        </w:r>
        <w:r>
          <w:rPr>
            <w:webHidden/>
          </w:rPr>
          <w:fldChar w:fldCharType="separate"/>
        </w:r>
        <w:r>
          <w:rPr>
            <w:rStyle w:val="IndexLink"/>
            <w:vanish w:val="false"/>
          </w:rPr>
          <w:tab/>
          <w:t>78</w:t>
        </w:r>
        <w:r>
          <w:rPr>
            <w:webHidden/>
          </w:rPr>
          <w:fldChar w:fldCharType="end"/>
        </w:r>
      </w:hyperlink>
    </w:p>
    <w:p>
      <w:pPr>
        <w:pStyle w:val="TableofFigures"/>
        <w:tabs>
          <w:tab w:val="clear" w:pos="708"/>
          <w:tab w:val="left" w:pos="14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8045">
        <w:r>
          <w:rPr>
            <w:rStyle w:val="IndexLink"/>
          </w:rPr>
          <w:t>Graf č. 40:</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Rozložení skutečných cen všech mobilních služeb za celé zkoumané období dle jednotlivých mobilních operátorů</w:t>
        </w:r>
        <w:r>
          <w:rPr>
            <w:webHidden/>
          </w:rPr>
          <w:fldChar w:fldCharType="begin"/>
        </w:r>
        <w:r>
          <w:rPr>
            <w:webHidden/>
          </w:rPr>
          <w:instrText xml:space="preserve">PAGEREF _Toc229058045 \h</w:instrText>
        </w:r>
        <w:r>
          <w:rPr>
            <w:webHidden/>
          </w:rPr>
          <w:fldChar w:fldCharType="separate"/>
        </w:r>
        <w:r>
          <w:rPr>
            <w:rStyle w:val="IndexLink"/>
            <w:vanish w:val="false"/>
          </w:rPr>
          <w:tab/>
          <w:t>78</w:t>
        </w:r>
        <w:r>
          <w:rPr>
            <w:webHidden/>
          </w:rPr>
          <w:fldChar w:fldCharType="end"/>
        </w:r>
      </w:hyperlink>
    </w:p>
    <w:p>
      <w:pPr>
        <w:pStyle w:val="TableofFigures"/>
        <w:tabs>
          <w:tab w:val="clear" w:pos="708"/>
          <w:tab w:val="left" w:pos="14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8046">
        <w:r>
          <w:rPr>
            <w:rStyle w:val="IndexLink"/>
          </w:rPr>
          <w:t>Graf č. 41:</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Podíl nejnižší skutečné ceny na nejvyšší skutečné ceně všech mobilních služeb za celé zkoumané období</w:t>
        </w:r>
        <w:r>
          <w:rPr>
            <w:webHidden/>
          </w:rPr>
          <w:fldChar w:fldCharType="begin"/>
        </w:r>
        <w:r>
          <w:rPr>
            <w:webHidden/>
          </w:rPr>
          <w:instrText xml:space="preserve">PAGEREF _Toc229058046 \h</w:instrText>
        </w:r>
        <w:r>
          <w:rPr>
            <w:webHidden/>
          </w:rPr>
          <w:fldChar w:fldCharType="separate"/>
        </w:r>
        <w:r>
          <w:rPr>
            <w:rStyle w:val="IndexLink"/>
            <w:vanish w:val="false"/>
          </w:rPr>
          <w:tab/>
          <w:t>78</w:t>
        </w:r>
        <w:r>
          <w:rPr>
            <w:webHidden/>
          </w:rPr>
          <w:fldChar w:fldCharType="end"/>
        </w:r>
      </w:hyperlink>
      <w:r>
        <w:rPr>
          <w:rStyle w:val="IndexLink"/>
          <w:vanish w:val="false"/>
        </w:rPr>
        <w:fldChar w:fldCharType="end"/>
      </w:r>
    </w:p>
    <w:p>
      <w:pPr>
        <w:pStyle w:val="Textprost"/>
        <w:rPr/>
      </w:pPr>
      <w:r>
        <w:rPr/>
      </w:r>
    </w:p>
    <w:p>
      <w:pPr>
        <w:pStyle w:val="Textprost"/>
        <w:rPr/>
      </w:pPr>
      <w:r>
        <w:rPr/>
      </w:r>
    </w:p>
    <w:p>
      <w:pPr>
        <w:pStyle w:val="Normal"/>
        <w:spacing w:lineRule="auto" w:line="259" w:before="0" w:after="160"/>
        <w:ind w:left="0" w:right="0"/>
        <w:jc w:val="left"/>
        <w:rPr>
          <w:rFonts w:eastAsia="" w:cs="Calibri" w:cstheme="minorHAnsi" w:eastAsiaTheme="majorEastAsia"/>
          <w:bCs/>
          <w:color w:val="D70C0F"/>
          <w:sz w:val="40"/>
          <w:szCs w:val="32"/>
        </w:rPr>
      </w:pPr>
      <w:r>
        <w:rPr>
          <w:rFonts w:eastAsia="" w:cs="Calibri" w:cstheme="minorHAnsi" w:eastAsiaTheme="majorEastAsia"/>
          <w:bCs/>
          <w:color w:val="D70C0F"/>
          <w:sz w:val="40"/>
          <w:szCs w:val="32"/>
        </w:rPr>
      </w:r>
      <w:r>
        <w:br w:type="page"/>
      </w:r>
    </w:p>
    <w:p>
      <w:pPr>
        <w:pStyle w:val="Textprost"/>
        <w:spacing w:before="0" w:after="160"/>
        <w:rPr/>
      </w:pPr>
      <w:r>
        <w:rPr/>
      </w:r>
    </w:p>
    <w:p>
      <w:pPr>
        <w:pStyle w:val="Heading1"/>
        <w:numPr>
          <w:ilvl w:val="0"/>
          <w:numId w:val="0"/>
        </w:numPr>
        <w:ind w:hanging="0" w:left="0" w:right="284"/>
        <w:rPr/>
      </w:pPr>
      <w:bookmarkStart w:id="287" w:name="_Toc229057935"/>
      <w:r>
        <w:rPr/>
        <w:t>List of Figures</w:t>
      </w:r>
      <w:bookmarkEnd w:id="287"/>
    </w:p>
    <w:p>
      <w:pPr>
        <w:pStyle w:val="TableofFigures"/>
        <w:tabs>
          <w:tab w:val="clear" w:pos="708"/>
          <w:tab w:val="right" w:pos="9061" w:leader="dot"/>
        </w:tabs>
        <w:rPr>
          <w:rFonts w:ascii="Calibri" w:hAnsi="Calibri" w:eastAsia="" w:asciiTheme="minorHAnsi" w:eastAsiaTheme="minorEastAsia" w:hAnsiTheme="minorHAnsi"/>
          <w:kern w:val="2"/>
          <w:sz w:val="24"/>
          <w:szCs w:val="24"/>
          <w:lang w:eastAsia="cs-CZ"/>
          <w14:ligatures w14:val="standardContextual"/>
        </w:rPr>
      </w:pPr>
      <w:r>
        <w:fldChar w:fldCharType="begin"/>
      </w:r>
      <w:r>
        <w:rPr>
          <w:rStyle w:val="IndexLink"/>
          <w:lang w:val="en-GB" w:eastAsia="cs-CZ"/>
        </w:rPr>
        <w:instrText xml:space="preserve"> TOC \c \h \t "Graf v AJ" </w:instrText>
      </w:r>
      <w:r>
        <w:rPr>
          <w:rStyle w:val="IndexLink"/>
          <w:lang w:val="en-GB" w:eastAsia="cs-CZ"/>
        </w:rPr>
        <w:fldChar w:fldCharType="separate"/>
      </w:r>
      <w:hyperlink w:anchor="_Toc226560471">
        <w:r>
          <w:rPr>
            <w:rStyle w:val="IndexLink"/>
            <w:lang w:val="en-GB" w:eastAsia="cs-CZ"/>
          </w:rPr>
          <w:t>Equilibrium of an Imperfectly Competitive Firm</w:t>
        </w:r>
        <w:r>
          <w:rPr>
            <w:webHidden/>
          </w:rPr>
          <w:fldChar w:fldCharType="begin"/>
        </w:r>
        <w:r>
          <w:rPr>
            <w:webHidden/>
          </w:rPr>
          <w:instrText xml:space="preserve">PAGEREF _Toc226560471 \h</w:instrText>
        </w:r>
        <w:r>
          <w:rPr>
            <w:webHidden/>
          </w:rPr>
          <w:fldChar w:fldCharType="separate"/>
        </w:r>
        <w:r>
          <w:rPr>
            <w:rStyle w:val="IndexLink"/>
            <w:vanish w:val="false"/>
          </w:rPr>
          <w:tab/>
          <w:t>18</w:t>
        </w:r>
        <w:r>
          <w:rPr>
            <w:webHidden/>
          </w:rPr>
          <w:fldChar w:fldCharType="end"/>
        </w:r>
      </w:hyperlink>
    </w:p>
    <w:p>
      <w:pPr>
        <w:pStyle w:val="TableofFigures"/>
        <w:tabs>
          <w:tab w:val="clear" w:pos="708"/>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6560472">
        <w:r>
          <w:rPr>
            <w:rStyle w:val="IndexLink"/>
          </w:rPr>
          <w:t>XXX</w:t>
        </w:r>
        <w:r>
          <w:rPr>
            <w:webHidden/>
          </w:rPr>
          <w:fldChar w:fldCharType="begin"/>
        </w:r>
        <w:r>
          <w:rPr>
            <w:webHidden/>
          </w:rPr>
          <w:instrText xml:space="preserve">PAGEREF _Toc226560472 \h</w:instrText>
        </w:r>
        <w:r>
          <w:rPr>
            <w:webHidden/>
          </w:rPr>
          <w:fldChar w:fldCharType="separate"/>
        </w:r>
        <w:r>
          <w:rPr>
            <w:rStyle w:val="IndexLink"/>
            <w:vanish w:val="false"/>
          </w:rPr>
          <w:tab/>
          <w:t>53</w:t>
        </w:r>
        <w:r>
          <w:rPr>
            <w:webHidden/>
          </w:rPr>
          <w:fldChar w:fldCharType="end"/>
        </w:r>
      </w:hyperlink>
      <w:r>
        <w:rPr>
          <w:rStyle w:val="IndexLink"/>
          <w:vanish w:val="false"/>
        </w:rPr>
        <w:fldChar w:fldCharType="end"/>
      </w:r>
    </w:p>
    <w:p>
      <w:pPr>
        <w:pStyle w:val="Textprost"/>
        <w:rPr/>
      </w:pPr>
      <w:r>
        <w:rPr/>
      </w:r>
    </w:p>
    <w:p>
      <w:pPr>
        <w:pStyle w:val="Textprost"/>
        <w:rPr/>
      </w:pPr>
      <w:r>
        <w:rPr/>
      </w:r>
    </w:p>
    <w:p>
      <w:pPr>
        <w:pStyle w:val="Normal"/>
        <w:spacing w:lineRule="auto" w:line="259" w:before="0" w:after="160"/>
        <w:ind w:left="0" w:right="0"/>
        <w:jc w:val="left"/>
        <w:rPr>
          <w:rFonts w:eastAsia="" w:cs="Calibri" w:cstheme="minorHAnsi" w:eastAsiaTheme="majorEastAsia"/>
          <w:bCs/>
          <w:color w:val="D70C0F"/>
          <w:sz w:val="40"/>
          <w:szCs w:val="32"/>
        </w:rPr>
      </w:pPr>
      <w:r>
        <w:rPr>
          <w:rFonts w:eastAsia="" w:cs="Calibri" w:cstheme="minorHAnsi" w:eastAsiaTheme="majorEastAsia"/>
          <w:bCs/>
          <w:color w:val="D70C0F"/>
          <w:sz w:val="40"/>
          <w:szCs w:val="32"/>
        </w:rPr>
      </w:r>
      <w:r>
        <w:br w:type="page"/>
      </w:r>
    </w:p>
    <w:p>
      <w:pPr>
        <w:pStyle w:val="Textprost"/>
        <w:spacing w:before="0" w:after="160"/>
        <w:rPr/>
      </w:pPr>
      <w:r>
        <w:rPr/>
      </w:r>
    </w:p>
    <w:p>
      <w:pPr>
        <w:pStyle w:val="Heading1"/>
        <w:numPr>
          <w:ilvl w:val="0"/>
          <w:numId w:val="0"/>
        </w:numPr>
        <w:ind w:hanging="0" w:left="114" w:right="284"/>
        <w:rPr/>
      </w:pPr>
      <w:bookmarkStart w:id="288" w:name="_Toc229057936"/>
      <w:r>
        <w:rPr/>
        <w:t>Seznam tabulek</w:t>
      </w:r>
      <w:bookmarkEnd w:id="288"/>
    </w:p>
    <w:p>
      <w:pPr>
        <w:pStyle w:val="TableofFigures"/>
        <w:tabs>
          <w:tab w:val="clear" w:pos="708"/>
          <w:tab w:val="left" w:pos="16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r>
        <w:fldChar w:fldCharType="begin"/>
      </w:r>
      <w:r>
        <w:rPr>
          <w:rStyle w:val="IndexLink"/>
        </w:rPr>
        <w:instrText xml:space="preserve"> TOC \c \h \t "Tabulka" </w:instrText>
      </w:r>
      <w:r>
        <w:rPr>
          <w:rStyle w:val="IndexLink"/>
        </w:rPr>
        <w:fldChar w:fldCharType="separate"/>
      </w:r>
      <w:hyperlink w:anchor="_Toc229057967">
        <w:r>
          <w:rPr>
            <w:rStyle w:val="IndexLink"/>
          </w:rPr>
          <w:t>Tabulka č. 1:</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Výplatní matice pro tacitní koluzi při možnosti využití cenové diskriminace nad vlastní zákaznickou bází</w:t>
        </w:r>
        <w:r>
          <w:rPr>
            <w:webHidden/>
          </w:rPr>
          <w:fldChar w:fldCharType="begin"/>
        </w:r>
        <w:r>
          <w:rPr>
            <w:webHidden/>
          </w:rPr>
          <w:instrText xml:space="preserve">PAGEREF _Toc229057967 \h</w:instrText>
        </w:r>
        <w:r>
          <w:rPr>
            <w:webHidden/>
          </w:rPr>
          <w:fldChar w:fldCharType="separate"/>
        </w:r>
        <w:r>
          <w:rPr>
            <w:rStyle w:val="IndexLink"/>
            <w:vanish w:val="false"/>
          </w:rPr>
          <w:tab/>
          <w:t>22</w:t>
        </w:r>
        <w:r>
          <w:rPr>
            <w:webHidden/>
          </w:rPr>
          <w:fldChar w:fldCharType="end"/>
        </w:r>
      </w:hyperlink>
    </w:p>
    <w:p>
      <w:pPr>
        <w:pStyle w:val="TableofFigures"/>
        <w:tabs>
          <w:tab w:val="clear" w:pos="708"/>
          <w:tab w:val="left" w:pos="14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968">
        <w:r>
          <w:rPr>
            <w:rStyle w:val="IndexLink"/>
          </w:rPr>
          <w:t>Tabulka č. 2:</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Popisná statistika dat poskytnutých ČTÚ pro účely posouzení náznaků</w:t>
        </w:r>
        <w:r>
          <w:rPr>
            <w:webHidden/>
          </w:rPr>
          <w:fldChar w:fldCharType="begin"/>
        </w:r>
        <w:r>
          <w:rPr>
            <w:webHidden/>
          </w:rPr>
          <w:instrText xml:space="preserve">PAGEREF _Toc229057968 \h</w:instrText>
        </w:r>
        <w:r>
          <w:rPr>
            <w:webHidden/>
          </w:rPr>
          <w:fldChar w:fldCharType="separate"/>
        </w:r>
        <w:r>
          <w:rPr>
            <w:rStyle w:val="IndexLink"/>
            <w:vanish w:val="false"/>
          </w:rPr>
          <w:tab/>
          <w:t>36</w:t>
        </w:r>
        <w:r>
          <w:rPr>
            <w:webHidden/>
          </w:rPr>
          <w:fldChar w:fldCharType="end"/>
        </w:r>
      </w:hyperlink>
    </w:p>
    <w:p>
      <w:pPr>
        <w:pStyle w:val="TableofFigures"/>
        <w:tabs>
          <w:tab w:val="clear" w:pos="708"/>
          <w:tab w:val="left" w:pos="16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969">
        <w:r>
          <w:rPr>
            <w:rStyle w:val="IndexLink"/>
          </w:rPr>
          <w:t>Tabulka č. 3:</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Popisná statistika dat Eurostatu HICP „Komunikace“ (CP08)</w:t>
        </w:r>
        <w:r>
          <w:rPr>
            <w:webHidden/>
          </w:rPr>
          <w:fldChar w:fldCharType="begin"/>
        </w:r>
        <w:r>
          <w:rPr>
            <w:webHidden/>
          </w:rPr>
          <w:instrText xml:space="preserve">PAGEREF _Toc229057969 \h</w:instrText>
        </w:r>
        <w:r>
          <w:rPr>
            <w:webHidden/>
          </w:rPr>
          <w:fldChar w:fldCharType="separate"/>
        </w:r>
        <w:r>
          <w:rPr>
            <w:rStyle w:val="IndexLink"/>
            <w:vanish w:val="false"/>
          </w:rPr>
          <w:tab/>
          <w:t>36</w:t>
        </w:r>
        <w:r>
          <w:rPr>
            <w:webHidden/>
          </w:rPr>
          <w:fldChar w:fldCharType="end"/>
        </w:r>
      </w:hyperlink>
    </w:p>
    <w:p>
      <w:pPr>
        <w:pStyle w:val="TableofFigures"/>
        <w:tabs>
          <w:tab w:val="clear" w:pos="708"/>
          <w:tab w:val="left" w:pos="16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970">
        <w:r>
          <w:rPr>
            <w:rStyle w:val="IndexLink"/>
          </w:rPr>
          <w:t>Tabulka č. 4:</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Popisná statistika proměnných ze sběru č. 1 ceníkových cen mobilních tarifů v EU</w:t>
        </w:r>
        <w:r>
          <w:rPr>
            <w:webHidden/>
          </w:rPr>
          <w:fldChar w:fldCharType="begin"/>
        </w:r>
        <w:r>
          <w:rPr>
            <w:webHidden/>
          </w:rPr>
          <w:instrText xml:space="preserve">PAGEREF _Toc229057970 \h</w:instrText>
        </w:r>
        <w:r>
          <w:rPr>
            <w:webHidden/>
          </w:rPr>
          <w:fldChar w:fldCharType="separate"/>
        </w:r>
        <w:r>
          <w:rPr>
            <w:rStyle w:val="IndexLink"/>
            <w:vanish w:val="false"/>
          </w:rPr>
          <w:tab/>
          <w:tab/>
          <w:t>37</w:t>
        </w:r>
        <w:r>
          <w:rPr>
            <w:webHidden/>
          </w:rPr>
          <w:fldChar w:fldCharType="end"/>
        </w:r>
      </w:hyperlink>
    </w:p>
    <w:p>
      <w:pPr>
        <w:pStyle w:val="TableofFigures"/>
        <w:tabs>
          <w:tab w:val="clear" w:pos="708"/>
          <w:tab w:val="left" w:pos="16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971">
        <w:r>
          <w:rPr>
            <w:rStyle w:val="IndexLink"/>
          </w:rPr>
          <w:t>Tabulka č. 5:</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Popisná statistika proměnných ze sběru č. 2 ceníkových cen mobilních tarifů v EU</w:t>
        </w:r>
        <w:r>
          <w:rPr>
            <w:webHidden/>
          </w:rPr>
          <w:fldChar w:fldCharType="begin"/>
        </w:r>
        <w:r>
          <w:rPr>
            <w:webHidden/>
          </w:rPr>
          <w:instrText xml:space="preserve">PAGEREF _Toc229057971 \h</w:instrText>
        </w:r>
        <w:r>
          <w:rPr>
            <w:webHidden/>
          </w:rPr>
          <w:fldChar w:fldCharType="separate"/>
        </w:r>
        <w:r>
          <w:rPr>
            <w:rStyle w:val="IndexLink"/>
            <w:vanish w:val="false"/>
          </w:rPr>
          <w:tab/>
          <w:tab/>
          <w:t>37</w:t>
        </w:r>
        <w:r>
          <w:rPr>
            <w:webHidden/>
          </w:rPr>
          <w:fldChar w:fldCharType="end"/>
        </w:r>
      </w:hyperlink>
    </w:p>
    <w:p>
      <w:pPr>
        <w:pStyle w:val="TableofFigures"/>
        <w:tabs>
          <w:tab w:val="clear" w:pos="708"/>
          <w:tab w:val="left" w:pos="14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972">
        <w:r>
          <w:rPr>
            <w:rStyle w:val="IndexLink"/>
          </w:rPr>
          <w:t>Tabulka č. 6:</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OLS odhad lineárního hedonického rozkladu ceníkových cen tarifů ze sběru č. 2</w:t>
        </w:r>
        <w:r>
          <w:rPr>
            <w:webHidden/>
          </w:rPr>
          <w:fldChar w:fldCharType="begin"/>
        </w:r>
        <w:r>
          <w:rPr>
            <w:webHidden/>
          </w:rPr>
          <w:instrText xml:space="preserve">PAGEREF _Toc229057972 \h</w:instrText>
        </w:r>
        <w:r>
          <w:rPr>
            <w:webHidden/>
          </w:rPr>
          <w:fldChar w:fldCharType="separate"/>
        </w:r>
        <w:r>
          <w:rPr>
            <w:rStyle w:val="IndexLink"/>
            <w:vanish w:val="false"/>
          </w:rPr>
          <w:tab/>
          <w:t>39</w:t>
        </w:r>
        <w:r>
          <w:rPr>
            <w:webHidden/>
          </w:rPr>
          <w:fldChar w:fldCharType="end"/>
        </w:r>
      </w:hyperlink>
    </w:p>
    <w:p>
      <w:pPr>
        <w:pStyle w:val="TableofFigures"/>
        <w:tabs>
          <w:tab w:val="clear" w:pos="708"/>
          <w:tab w:val="left" w:pos="16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973">
        <w:r>
          <w:rPr>
            <w:rStyle w:val="IndexLink"/>
          </w:rPr>
          <w:t>Tabulka č. 7:</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OLS odhad lineárního inverzního hedonického rozkladu ceníkových cen tarifů ze sběru č. 2</w:t>
        </w:r>
        <w:r>
          <w:rPr>
            <w:webHidden/>
          </w:rPr>
          <w:fldChar w:fldCharType="begin"/>
        </w:r>
        <w:r>
          <w:rPr>
            <w:webHidden/>
          </w:rPr>
          <w:instrText xml:space="preserve">PAGEREF _Toc229057973 \h</w:instrText>
        </w:r>
        <w:r>
          <w:rPr>
            <w:webHidden/>
          </w:rPr>
          <w:fldChar w:fldCharType="separate"/>
        </w:r>
        <w:r>
          <w:rPr>
            <w:rStyle w:val="IndexLink"/>
            <w:vanish w:val="false"/>
          </w:rPr>
          <w:tab/>
          <w:tab/>
          <w:t>40</w:t>
        </w:r>
        <w:r>
          <w:rPr>
            <w:webHidden/>
          </w:rPr>
          <w:fldChar w:fldCharType="end"/>
        </w:r>
      </w:hyperlink>
    </w:p>
    <w:p>
      <w:pPr>
        <w:pStyle w:val="TableofFigures"/>
        <w:tabs>
          <w:tab w:val="clear" w:pos="708"/>
          <w:tab w:val="left" w:pos="16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974">
        <w:r>
          <w:rPr>
            <w:rStyle w:val="IndexLink"/>
          </w:rPr>
          <w:t>Tabulka č. 8:</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OLS odhad log-lineárního hedonického rozkladu ceníkových cen tarifů ze sběru č. 2</w:t>
        </w:r>
        <w:r>
          <w:rPr>
            <w:webHidden/>
          </w:rPr>
          <w:fldChar w:fldCharType="begin"/>
        </w:r>
        <w:r>
          <w:rPr>
            <w:webHidden/>
          </w:rPr>
          <w:instrText xml:space="preserve">PAGEREF _Toc229057974 \h</w:instrText>
        </w:r>
        <w:r>
          <w:rPr>
            <w:webHidden/>
          </w:rPr>
          <w:fldChar w:fldCharType="separate"/>
        </w:r>
        <w:r>
          <w:rPr>
            <w:rStyle w:val="IndexLink"/>
            <w:vanish w:val="false"/>
          </w:rPr>
          <w:tab/>
          <w:t>40</w:t>
        </w:r>
        <w:r>
          <w:rPr>
            <w:webHidden/>
          </w:rPr>
          <w:fldChar w:fldCharType="end"/>
        </w:r>
      </w:hyperlink>
    </w:p>
    <w:p>
      <w:pPr>
        <w:pStyle w:val="TableofFigures"/>
        <w:tabs>
          <w:tab w:val="clear" w:pos="708"/>
          <w:tab w:val="left" w:pos="16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975">
        <w:r>
          <w:rPr>
            <w:rStyle w:val="IndexLink"/>
          </w:rPr>
          <w:t>Tabulka č. 9:</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OLS odhad log-lineárního inverzního hedonického rozkladu ceníkových cen tarifů ze sběru č. 2</w:t>
        </w:r>
        <w:r>
          <w:rPr>
            <w:webHidden/>
          </w:rPr>
          <w:fldChar w:fldCharType="begin"/>
        </w:r>
        <w:r>
          <w:rPr>
            <w:webHidden/>
          </w:rPr>
          <w:instrText xml:space="preserve">PAGEREF _Toc229057975 \h</w:instrText>
        </w:r>
        <w:r>
          <w:rPr>
            <w:webHidden/>
          </w:rPr>
          <w:fldChar w:fldCharType="separate"/>
        </w:r>
        <w:r>
          <w:rPr>
            <w:rStyle w:val="IndexLink"/>
            <w:vanish w:val="false"/>
          </w:rPr>
          <w:tab/>
          <w:t>40</w:t>
        </w:r>
        <w:r>
          <w:rPr>
            <w:webHidden/>
          </w:rPr>
          <w:fldChar w:fldCharType="end"/>
        </w:r>
      </w:hyperlink>
    </w:p>
    <w:p>
      <w:pPr>
        <w:pStyle w:val="TableofFigures"/>
        <w:tabs>
          <w:tab w:val="clear" w:pos="708"/>
          <w:tab w:val="left" w:pos="16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976">
        <w:r>
          <w:rPr>
            <w:rStyle w:val="IndexLink"/>
          </w:rPr>
          <w:t>Tabulka č. 10:</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Idealizovaný model odhadu odchylky českých ceníkových cen mobilních služeb (lineární forma)</w:t>
        </w:r>
        <w:r>
          <w:rPr>
            <w:webHidden/>
          </w:rPr>
          <w:fldChar w:fldCharType="begin"/>
        </w:r>
        <w:r>
          <w:rPr>
            <w:webHidden/>
          </w:rPr>
          <w:instrText xml:space="preserve">PAGEREF _Toc229057976 \h</w:instrText>
        </w:r>
        <w:r>
          <w:rPr>
            <w:webHidden/>
          </w:rPr>
          <w:fldChar w:fldCharType="separate"/>
        </w:r>
        <w:r>
          <w:rPr>
            <w:rStyle w:val="IndexLink"/>
            <w:vanish w:val="false"/>
          </w:rPr>
          <w:tab/>
          <w:t>58</w:t>
        </w:r>
        <w:r>
          <w:rPr>
            <w:webHidden/>
          </w:rPr>
          <w:fldChar w:fldCharType="end"/>
        </w:r>
      </w:hyperlink>
    </w:p>
    <w:p>
      <w:pPr>
        <w:pStyle w:val="TableofFigures"/>
        <w:tabs>
          <w:tab w:val="clear" w:pos="708"/>
          <w:tab w:val="left" w:pos="16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977">
        <w:r>
          <w:rPr>
            <w:rStyle w:val="IndexLink"/>
          </w:rPr>
          <w:t>Tabulka č. 11:</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Idealizovaný model odhadu odchylky českých ceníkových cen mobilních služeb (log-lineární forma)</w:t>
        </w:r>
        <w:r>
          <w:rPr>
            <w:webHidden/>
          </w:rPr>
          <w:fldChar w:fldCharType="begin"/>
        </w:r>
        <w:r>
          <w:rPr>
            <w:webHidden/>
          </w:rPr>
          <w:instrText xml:space="preserve">PAGEREF _Toc229057977 \h</w:instrText>
        </w:r>
        <w:r>
          <w:rPr>
            <w:webHidden/>
          </w:rPr>
          <w:fldChar w:fldCharType="separate"/>
        </w:r>
        <w:r>
          <w:rPr>
            <w:rStyle w:val="IndexLink"/>
            <w:vanish w:val="false"/>
          </w:rPr>
          <w:tab/>
          <w:t>58</w:t>
        </w:r>
        <w:r>
          <w:rPr>
            <w:webHidden/>
          </w:rPr>
          <w:fldChar w:fldCharType="end"/>
        </w:r>
      </w:hyperlink>
    </w:p>
    <w:p>
      <w:pPr>
        <w:pStyle w:val="TableofFigures"/>
        <w:tabs>
          <w:tab w:val="clear" w:pos="708"/>
          <w:tab w:val="left" w:pos="16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978">
        <w:r>
          <w:rPr>
            <w:rStyle w:val="IndexLink"/>
          </w:rPr>
          <w:t>Tabulka č. 12:</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Finální model předběžného odhadu odchylky českých ceníkových cen mobilních služeb</w:t>
        </w:r>
        <w:r>
          <w:rPr>
            <w:webHidden/>
          </w:rPr>
          <w:fldChar w:fldCharType="begin"/>
        </w:r>
        <w:r>
          <w:rPr>
            <w:webHidden/>
          </w:rPr>
          <w:instrText xml:space="preserve">PAGEREF _Toc229057978 \h</w:instrText>
        </w:r>
        <w:r>
          <w:rPr>
            <w:webHidden/>
          </w:rPr>
          <w:fldChar w:fldCharType="separate"/>
        </w:r>
        <w:r>
          <w:rPr>
            <w:rStyle w:val="IndexLink"/>
            <w:vanish w:val="false"/>
          </w:rPr>
          <w:tab/>
          <w:t>60</w:t>
        </w:r>
        <w:r>
          <w:rPr>
            <w:webHidden/>
          </w:rPr>
          <w:fldChar w:fldCharType="end"/>
        </w:r>
      </w:hyperlink>
    </w:p>
    <w:p>
      <w:pPr>
        <w:pStyle w:val="TableofFigures"/>
        <w:tabs>
          <w:tab w:val="clear" w:pos="708"/>
          <w:tab w:val="left" w:pos="16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979">
        <w:r>
          <w:rPr>
            <w:rStyle w:val="IndexLink"/>
          </w:rPr>
          <w:t>Tabulka č. 13:</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Idealizovaný model finálního odhadu odchylky českých ceníkových cen mobilních služeb (lineární forma)</w:t>
        </w:r>
        <w:r>
          <w:rPr>
            <w:webHidden/>
          </w:rPr>
          <w:fldChar w:fldCharType="begin"/>
        </w:r>
        <w:r>
          <w:rPr>
            <w:webHidden/>
          </w:rPr>
          <w:instrText xml:space="preserve">PAGEREF _Toc229057979 \h</w:instrText>
        </w:r>
        <w:r>
          <w:rPr>
            <w:webHidden/>
          </w:rPr>
          <w:fldChar w:fldCharType="separate"/>
        </w:r>
        <w:r>
          <w:rPr>
            <w:rStyle w:val="IndexLink"/>
            <w:vanish w:val="false"/>
          </w:rPr>
          <w:tab/>
          <w:t>61</w:t>
        </w:r>
        <w:r>
          <w:rPr>
            <w:webHidden/>
          </w:rPr>
          <w:fldChar w:fldCharType="end"/>
        </w:r>
      </w:hyperlink>
    </w:p>
    <w:p>
      <w:pPr>
        <w:pStyle w:val="TableofFigures"/>
        <w:tabs>
          <w:tab w:val="clear" w:pos="708"/>
          <w:tab w:val="left" w:pos="16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980">
        <w:r>
          <w:rPr>
            <w:rStyle w:val="IndexLink"/>
          </w:rPr>
          <w:t>Tabulka č. 14:</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Idealizovaný model finálního odhadu odchylky českých ceníkových cen mobilních služeb (log-lineární forma)</w:t>
        </w:r>
        <w:r>
          <w:rPr>
            <w:webHidden/>
          </w:rPr>
          <w:fldChar w:fldCharType="begin"/>
        </w:r>
        <w:r>
          <w:rPr>
            <w:webHidden/>
          </w:rPr>
          <w:instrText xml:space="preserve">PAGEREF _Toc229057980 \h</w:instrText>
        </w:r>
        <w:r>
          <w:rPr>
            <w:webHidden/>
          </w:rPr>
          <w:fldChar w:fldCharType="separate"/>
        </w:r>
        <w:r>
          <w:rPr>
            <w:rStyle w:val="IndexLink"/>
            <w:vanish w:val="false"/>
          </w:rPr>
          <w:tab/>
          <w:t>62</w:t>
        </w:r>
        <w:r>
          <w:rPr>
            <w:webHidden/>
          </w:rPr>
          <w:fldChar w:fldCharType="end"/>
        </w:r>
      </w:hyperlink>
    </w:p>
    <w:p>
      <w:pPr>
        <w:pStyle w:val="TableofFigures"/>
        <w:tabs>
          <w:tab w:val="clear" w:pos="708"/>
          <w:tab w:val="left" w:pos="16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981">
        <w:r>
          <w:rPr>
            <w:rStyle w:val="IndexLink"/>
          </w:rPr>
          <w:t>Tabulka č. 15:</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Inverzní idealizovaný model finálního odhadu odchylky českých ceníkových cen mobilních služeb (lineární forma)</w:t>
        </w:r>
        <w:r>
          <w:rPr>
            <w:webHidden/>
          </w:rPr>
          <w:fldChar w:fldCharType="begin"/>
        </w:r>
        <w:r>
          <w:rPr>
            <w:webHidden/>
          </w:rPr>
          <w:instrText xml:space="preserve">PAGEREF _Toc229057981 \h</w:instrText>
        </w:r>
        <w:r>
          <w:rPr>
            <w:webHidden/>
          </w:rPr>
          <w:fldChar w:fldCharType="separate"/>
        </w:r>
        <w:r>
          <w:rPr>
            <w:rStyle w:val="IndexLink"/>
            <w:vanish w:val="false"/>
          </w:rPr>
          <w:tab/>
          <w:t>62</w:t>
        </w:r>
        <w:r>
          <w:rPr>
            <w:webHidden/>
          </w:rPr>
          <w:fldChar w:fldCharType="end"/>
        </w:r>
      </w:hyperlink>
    </w:p>
    <w:p>
      <w:pPr>
        <w:pStyle w:val="TableofFigures"/>
        <w:tabs>
          <w:tab w:val="clear" w:pos="708"/>
          <w:tab w:val="left" w:pos="16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982">
        <w:r>
          <w:rPr>
            <w:rStyle w:val="IndexLink"/>
          </w:rPr>
          <w:t>Tabulka č. 16:</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Inverzní idealizovaný model finálního odhadu odchylky českých ceníkových cen mobilních služeb (log-lineární forma)</w:t>
        </w:r>
        <w:r>
          <w:rPr>
            <w:webHidden/>
          </w:rPr>
          <w:fldChar w:fldCharType="begin"/>
        </w:r>
        <w:r>
          <w:rPr>
            <w:webHidden/>
          </w:rPr>
          <w:instrText xml:space="preserve">PAGEREF _Toc229057982 \h</w:instrText>
        </w:r>
        <w:r>
          <w:rPr>
            <w:webHidden/>
          </w:rPr>
          <w:fldChar w:fldCharType="separate"/>
        </w:r>
        <w:r>
          <w:rPr>
            <w:rStyle w:val="IndexLink"/>
            <w:vanish w:val="false"/>
          </w:rPr>
          <w:tab/>
          <w:t>62</w:t>
        </w:r>
        <w:r>
          <w:rPr>
            <w:webHidden/>
          </w:rPr>
          <w:fldChar w:fldCharType="end"/>
        </w:r>
      </w:hyperlink>
    </w:p>
    <w:p>
      <w:pPr>
        <w:pStyle w:val="TableofFigures"/>
        <w:tabs>
          <w:tab w:val="clear" w:pos="708"/>
          <w:tab w:val="left" w:pos="16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983">
        <w:r>
          <w:rPr>
            <w:rStyle w:val="IndexLink"/>
          </w:rPr>
          <w:t>Tabulka č. 17:</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Finální model odhadu odchylky českých ceníkových cen mobilních služeb</w:t>
        </w:r>
        <w:r>
          <w:rPr>
            <w:webHidden/>
          </w:rPr>
          <w:fldChar w:fldCharType="begin"/>
        </w:r>
        <w:r>
          <w:rPr>
            <w:webHidden/>
          </w:rPr>
          <w:instrText xml:space="preserve">PAGEREF _Toc229057983 \h</w:instrText>
        </w:r>
        <w:r>
          <w:rPr>
            <w:webHidden/>
          </w:rPr>
          <w:fldChar w:fldCharType="separate"/>
        </w:r>
        <w:r>
          <w:rPr>
            <w:rStyle w:val="IndexLink"/>
            <w:vanish w:val="false"/>
          </w:rPr>
          <w:tab/>
          <w:t>63</w:t>
        </w:r>
        <w:r>
          <w:rPr>
            <w:webHidden/>
          </w:rPr>
          <w:fldChar w:fldCharType="end"/>
        </w:r>
      </w:hyperlink>
    </w:p>
    <w:p>
      <w:pPr>
        <w:pStyle w:val="TableofFigures"/>
        <w:tabs>
          <w:tab w:val="clear" w:pos="708"/>
          <w:tab w:val="left" w:pos="16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984">
        <w:r>
          <w:rPr>
            <w:rStyle w:val="IndexLink"/>
          </w:rPr>
          <w:t>Tabulka č. 18:</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Inverzní finální model odhadu odchylky českých ceníkových cen mobilních služeb</w:t>
        </w:r>
        <w:r>
          <w:rPr>
            <w:webHidden/>
          </w:rPr>
          <w:fldChar w:fldCharType="begin"/>
        </w:r>
        <w:r>
          <w:rPr>
            <w:webHidden/>
          </w:rPr>
          <w:instrText xml:space="preserve">PAGEREF _Toc229057984 \h</w:instrText>
        </w:r>
        <w:r>
          <w:rPr>
            <w:webHidden/>
          </w:rPr>
          <w:fldChar w:fldCharType="separate"/>
        </w:r>
        <w:r>
          <w:rPr>
            <w:rStyle w:val="IndexLink"/>
            <w:vanish w:val="false"/>
          </w:rPr>
          <w:tab/>
          <w:t>63</w:t>
        </w:r>
        <w:r>
          <w:rPr>
            <w:webHidden/>
          </w:rPr>
          <w:fldChar w:fldCharType="end"/>
        </w:r>
      </w:hyperlink>
    </w:p>
    <w:p>
      <w:pPr>
        <w:pStyle w:val="TableofFigures"/>
        <w:tabs>
          <w:tab w:val="clear" w:pos="708"/>
          <w:tab w:val="left" w:pos="16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985">
        <w:r>
          <w:rPr>
            <w:rStyle w:val="IndexLink"/>
          </w:rPr>
          <w:t>Tabulka č. 19:</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Úřadem modelované ceníkové ceny mobilních služeb (v Kč)</w:t>
        </w:r>
        <w:r>
          <w:rPr>
            <w:webHidden/>
          </w:rPr>
          <w:fldChar w:fldCharType="begin"/>
        </w:r>
        <w:r>
          <w:rPr>
            <w:webHidden/>
          </w:rPr>
          <w:instrText xml:space="preserve">PAGEREF _Toc229057985 \h</w:instrText>
        </w:r>
        <w:r>
          <w:rPr>
            <w:webHidden/>
          </w:rPr>
          <w:fldChar w:fldCharType="separate"/>
        </w:r>
        <w:r>
          <w:rPr>
            <w:rStyle w:val="IndexLink"/>
            <w:vanish w:val="false"/>
          </w:rPr>
          <w:tab/>
          <w:t>63</w:t>
        </w:r>
        <w:r>
          <w:rPr>
            <w:webHidden/>
          </w:rPr>
          <w:fldChar w:fldCharType="end"/>
        </w:r>
      </w:hyperlink>
    </w:p>
    <w:p>
      <w:pPr>
        <w:pStyle w:val="TableofFigures"/>
        <w:tabs>
          <w:tab w:val="clear" w:pos="708"/>
          <w:tab w:val="left" w:pos="1651"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986">
        <w:r>
          <w:rPr>
            <w:rStyle w:val="IndexLink"/>
          </w:rPr>
          <w:t>Tabulka č. 20:</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Nejbližší cenové okolí ceníkově nejdražšího mobilního tarifu společnosti T-Mobile ze sběru ceníkových cen č. 1</w:t>
        </w:r>
        <w:r>
          <w:rPr>
            <w:webHidden/>
          </w:rPr>
          <w:fldChar w:fldCharType="begin"/>
        </w:r>
        <w:r>
          <w:rPr>
            <w:webHidden/>
          </w:rPr>
          <w:instrText xml:space="preserve">PAGEREF _Toc229057986 \h</w:instrText>
        </w:r>
        <w:r>
          <w:rPr>
            <w:webHidden/>
          </w:rPr>
          <w:fldChar w:fldCharType="separate"/>
        </w:r>
        <w:r>
          <w:rPr>
            <w:rStyle w:val="IndexLink"/>
            <w:vanish w:val="false"/>
          </w:rPr>
          <w:tab/>
          <w:t>65</w:t>
        </w:r>
        <w:r>
          <w:rPr>
            <w:webHidden/>
          </w:rPr>
          <w:fldChar w:fldCharType="end"/>
        </w:r>
      </w:hyperlink>
    </w:p>
    <w:p>
      <w:pPr>
        <w:pStyle w:val="TableofFigures"/>
        <w:tabs>
          <w:tab w:val="clear" w:pos="708"/>
          <w:tab w:val="left" w:pos="16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987">
        <w:r>
          <w:rPr>
            <w:rStyle w:val="IndexLink"/>
          </w:rPr>
          <w:t>Tabulka č. 21:</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Nejbližší cenové okolí ceníkově nejdražšího mobilního tarifu společnosti O2 ze sběru ceníkových cen č. 1</w:t>
        </w:r>
        <w:r>
          <w:rPr>
            <w:webHidden/>
          </w:rPr>
          <w:fldChar w:fldCharType="begin"/>
        </w:r>
        <w:r>
          <w:rPr>
            <w:webHidden/>
          </w:rPr>
          <w:instrText xml:space="preserve">PAGEREF _Toc229057987 \h</w:instrText>
        </w:r>
        <w:r>
          <w:rPr>
            <w:webHidden/>
          </w:rPr>
          <w:fldChar w:fldCharType="separate"/>
        </w:r>
        <w:r>
          <w:rPr>
            <w:rStyle w:val="IndexLink"/>
            <w:vanish w:val="false"/>
          </w:rPr>
          <w:tab/>
          <w:t>65</w:t>
        </w:r>
        <w:r>
          <w:rPr>
            <w:webHidden/>
          </w:rPr>
          <w:fldChar w:fldCharType="end"/>
        </w:r>
      </w:hyperlink>
    </w:p>
    <w:p>
      <w:pPr>
        <w:pStyle w:val="TableofFigures"/>
        <w:tabs>
          <w:tab w:val="clear" w:pos="708"/>
          <w:tab w:val="left" w:pos="171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988">
        <w:r>
          <w:rPr>
            <w:rStyle w:val="IndexLink"/>
          </w:rPr>
          <w:t>Tabulka č. 22:</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Nejbližší cenové okolí ceníkově nejdražšího mobilního tarifu společnosti Vodafone ze sběru ceníkových cen č. 1</w:t>
        </w:r>
        <w:r>
          <w:rPr>
            <w:webHidden/>
          </w:rPr>
          <w:fldChar w:fldCharType="begin"/>
        </w:r>
        <w:r>
          <w:rPr>
            <w:webHidden/>
          </w:rPr>
          <w:instrText xml:space="preserve">PAGEREF _Toc229057988 \h</w:instrText>
        </w:r>
        <w:r>
          <w:rPr>
            <w:webHidden/>
          </w:rPr>
          <w:fldChar w:fldCharType="separate"/>
        </w:r>
        <w:r>
          <w:rPr>
            <w:rStyle w:val="IndexLink"/>
            <w:vanish w:val="false"/>
          </w:rPr>
          <w:tab/>
          <w:t>67</w:t>
        </w:r>
        <w:r>
          <w:rPr>
            <w:webHidden/>
          </w:rPr>
          <w:fldChar w:fldCharType="end"/>
        </w:r>
      </w:hyperlink>
    </w:p>
    <w:p>
      <w:pPr>
        <w:pStyle w:val="TableofFigures"/>
        <w:tabs>
          <w:tab w:val="clear" w:pos="708"/>
          <w:tab w:val="left" w:pos="1605"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989">
        <w:r>
          <w:rPr>
            <w:rStyle w:val="IndexLink"/>
          </w:rPr>
          <w:t>Tabulka č. 23:</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Nejbližší cenové okolí ceníkově nejdražšího mobilního paušálu společnosti T-Mobile ze sběru ceníkových cen č. 2</w:t>
        </w:r>
        <w:r>
          <w:rPr>
            <w:webHidden/>
          </w:rPr>
          <w:fldChar w:fldCharType="begin"/>
        </w:r>
        <w:r>
          <w:rPr>
            <w:webHidden/>
          </w:rPr>
          <w:instrText xml:space="preserve">PAGEREF _Toc229057989 \h</w:instrText>
        </w:r>
        <w:r>
          <w:rPr>
            <w:webHidden/>
          </w:rPr>
          <w:fldChar w:fldCharType="separate"/>
        </w:r>
        <w:r>
          <w:rPr>
            <w:rStyle w:val="IndexLink"/>
            <w:vanish w:val="false"/>
          </w:rPr>
          <w:tab/>
          <w:t>68</w:t>
        </w:r>
        <w:r>
          <w:rPr>
            <w:webHidden/>
          </w:rPr>
          <w:fldChar w:fldCharType="end"/>
        </w:r>
      </w:hyperlink>
    </w:p>
    <w:p>
      <w:pPr>
        <w:pStyle w:val="TableofFigures"/>
        <w:tabs>
          <w:tab w:val="clear" w:pos="708"/>
          <w:tab w:val="left" w:pos="16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990">
        <w:r>
          <w:rPr>
            <w:rStyle w:val="IndexLink"/>
          </w:rPr>
          <w:t>Tabulka č. 24:</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Nejbližší cenové okolí ceníkově nejdražšího mobilního paušálu společnosti O2 ze sběru ceníkových cen č. 2</w:t>
        </w:r>
        <w:r>
          <w:rPr>
            <w:webHidden/>
          </w:rPr>
          <w:fldChar w:fldCharType="begin"/>
        </w:r>
        <w:r>
          <w:rPr>
            <w:webHidden/>
          </w:rPr>
          <w:instrText xml:space="preserve">PAGEREF _Toc229057990 \h</w:instrText>
        </w:r>
        <w:r>
          <w:rPr>
            <w:webHidden/>
          </w:rPr>
          <w:fldChar w:fldCharType="separate"/>
        </w:r>
        <w:r>
          <w:rPr>
            <w:rStyle w:val="IndexLink"/>
            <w:vanish w:val="false"/>
          </w:rPr>
          <w:tab/>
          <w:t>68</w:t>
        </w:r>
        <w:r>
          <w:rPr>
            <w:webHidden/>
          </w:rPr>
          <w:fldChar w:fldCharType="end"/>
        </w:r>
      </w:hyperlink>
    </w:p>
    <w:p>
      <w:pPr>
        <w:pStyle w:val="TableofFigures"/>
        <w:tabs>
          <w:tab w:val="clear" w:pos="708"/>
          <w:tab w:val="left" w:pos="1669"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991">
        <w:r>
          <w:rPr>
            <w:rStyle w:val="IndexLink"/>
          </w:rPr>
          <w:t>Tabulka č. 25:</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Nejbližší cenové okolí ceníkově nejdražšího mobilního paušálu společnosti Vodafone ze sběru ceníkových cen č. 2</w:t>
        </w:r>
        <w:r>
          <w:rPr>
            <w:webHidden/>
          </w:rPr>
          <w:fldChar w:fldCharType="begin"/>
        </w:r>
        <w:r>
          <w:rPr>
            <w:webHidden/>
          </w:rPr>
          <w:instrText xml:space="preserve">PAGEREF _Toc229057991 \h</w:instrText>
        </w:r>
        <w:r>
          <w:rPr>
            <w:webHidden/>
          </w:rPr>
          <w:fldChar w:fldCharType="separate"/>
        </w:r>
        <w:r>
          <w:rPr>
            <w:rStyle w:val="IndexLink"/>
            <w:vanish w:val="false"/>
          </w:rPr>
          <w:tab/>
          <w:t>68</w:t>
        </w:r>
        <w:r>
          <w:rPr>
            <w:webHidden/>
          </w:rPr>
          <w:fldChar w:fldCharType="end"/>
        </w:r>
      </w:hyperlink>
    </w:p>
    <w:p>
      <w:pPr>
        <w:pStyle w:val="TableofFigures"/>
        <w:tabs>
          <w:tab w:val="clear" w:pos="708"/>
          <w:tab w:val="left" w:pos="16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992">
        <w:r>
          <w:rPr>
            <w:rStyle w:val="IndexLink"/>
          </w:rPr>
          <w:t>Tabulka č. 26:</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Nejbližší cenové okolí ceníkově nejlevnějšího mobilního paušálu společnosti T-Mobile ze sběru ceníkových cen č. 1</w:t>
        </w:r>
        <w:r>
          <w:rPr>
            <w:webHidden/>
          </w:rPr>
          <w:fldChar w:fldCharType="begin"/>
        </w:r>
        <w:r>
          <w:rPr>
            <w:webHidden/>
          </w:rPr>
          <w:instrText xml:space="preserve">PAGEREF _Toc229057992 \h</w:instrText>
        </w:r>
        <w:r>
          <w:rPr>
            <w:webHidden/>
          </w:rPr>
          <w:fldChar w:fldCharType="separate"/>
        </w:r>
        <w:r>
          <w:rPr>
            <w:rStyle w:val="IndexLink"/>
            <w:vanish w:val="false"/>
          </w:rPr>
          <w:tab/>
          <w:t>68</w:t>
        </w:r>
        <w:r>
          <w:rPr>
            <w:webHidden/>
          </w:rPr>
          <w:fldChar w:fldCharType="end"/>
        </w:r>
      </w:hyperlink>
    </w:p>
    <w:p>
      <w:pPr>
        <w:pStyle w:val="TableofFigures"/>
        <w:tabs>
          <w:tab w:val="clear" w:pos="708"/>
          <w:tab w:val="left" w:pos="16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993">
        <w:r>
          <w:rPr>
            <w:rStyle w:val="IndexLink"/>
          </w:rPr>
          <w:t>Tabulka č. 27:</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Nejbližší cenové okolí ceníkově nejlevnějšího mobilního paušálu společnosti O2 ze sběru ceníkových cen č. 1</w:t>
        </w:r>
        <w:r>
          <w:rPr>
            <w:webHidden/>
          </w:rPr>
          <w:fldChar w:fldCharType="begin"/>
        </w:r>
        <w:r>
          <w:rPr>
            <w:webHidden/>
          </w:rPr>
          <w:instrText xml:space="preserve">PAGEREF _Toc229057993 \h</w:instrText>
        </w:r>
        <w:r>
          <w:rPr>
            <w:webHidden/>
          </w:rPr>
          <w:fldChar w:fldCharType="separate"/>
        </w:r>
        <w:r>
          <w:rPr>
            <w:rStyle w:val="IndexLink"/>
            <w:vanish w:val="false"/>
          </w:rPr>
          <w:tab/>
          <w:t>69</w:t>
        </w:r>
        <w:r>
          <w:rPr>
            <w:webHidden/>
          </w:rPr>
          <w:fldChar w:fldCharType="end"/>
        </w:r>
      </w:hyperlink>
    </w:p>
    <w:p>
      <w:pPr>
        <w:pStyle w:val="TableofFigures"/>
        <w:tabs>
          <w:tab w:val="clear" w:pos="708"/>
          <w:tab w:val="left" w:pos="1635"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994">
        <w:r>
          <w:rPr>
            <w:rStyle w:val="IndexLink"/>
          </w:rPr>
          <w:t>Tabulka č. 28:</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Nejbližší cenové okolí ceníkově nejlevnějšího mobilního paušálu společnosti Vodafone ze sběru ceníkových cen č. 1</w:t>
        </w:r>
        <w:r>
          <w:rPr>
            <w:webHidden/>
          </w:rPr>
          <w:fldChar w:fldCharType="begin"/>
        </w:r>
        <w:r>
          <w:rPr>
            <w:webHidden/>
          </w:rPr>
          <w:instrText xml:space="preserve">PAGEREF _Toc229057994 \h</w:instrText>
        </w:r>
        <w:r>
          <w:rPr>
            <w:webHidden/>
          </w:rPr>
          <w:fldChar w:fldCharType="separate"/>
        </w:r>
        <w:r>
          <w:rPr>
            <w:rStyle w:val="IndexLink"/>
            <w:vanish w:val="false"/>
          </w:rPr>
          <w:tab/>
          <w:t>69</w:t>
        </w:r>
        <w:r>
          <w:rPr>
            <w:webHidden/>
          </w:rPr>
          <w:fldChar w:fldCharType="end"/>
        </w:r>
      </w:hyperlink>
    </w:p>
    <w:p>
      <w:pPr>
        <w:pStyle w:val="TableofFigures"/>
        <w:tabs>
          <w:tab w:val="clear" w:pos="708"/>
          <w:tab w:val="left" w:pos="16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995">
        <w:r>
          <w:rPr>
            <w:rStyle w:val="IndexLink"/>
          </w:rPr>
          <w:t>Tabulka č. 29:</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Nejbližší cenové okolí ceníkově nejlevnějšího mobilního paušálu společnosti T-Mobile ze sběru ceníkových cen č. 2</w:t>
        </w:r>
        <w:r>
          <w:rPr>
            <w:webHidden/>
          </w:rPr>
          <w:fldChar w:fldCharType="begin"/>
        </w:r>
        <w:r>
          <w:rPr>
            <w:webHidden/>
          </w:rPr>
          <w:instrText xml:space="preserve">PAGEREF _Toc229057995 \h</w:instrText>
        </w:r>
        <w:r>
          <w:rPr>
            <w:webHidden/>
          </w:rPr>
          <w:fldChar w:fldCharType="separate"/>
        </w:r>
        <w:r>
          <w:rPr>
            <w:rStyle w:val="IndexLink"/>
            <w:vanish w:val="false"/>
          </w:rPr>
          <w:tab/>
          <w:t>70</w:t>
        </w:r>
        <w:r>
          <w:rPr>
            <w:webHidden/>
          </w:rPr>
          <w:fldChar w:fldCharType="end"/>
        </w:r>
      </w:hyperlink>
    </w:p>
    <w:p>
      <w:pPr>
        <w:pStyle w:val="TableofFigures"/>
        <w:tabs>
          <w:tab w:val="clear" w:pos="708"/>
          <w:tab w:val="left" w:pos="16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996">
        <w:r>
          <w:rPr>
            <w:rStyle w:val="IndexLink"/>
          </w:rPr>
          <w:t>Tabulka č. 30:</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Nejbližší cenové okolí ceníkově nejlevnějšího mobilního paušálu společnosti O2 ze sběru ceníkových cen č. 2</w:t>
        </w:r>
        <w:r>
          <w:rPr>
            <w:webHidden/>
          </w:rPr>
          <w:fldChar w:fldCharType="begin"/>
        </w:r>
        <w:r>
          <w:rPr>
            <w:webHidden/>
          </w:rPr>
          <w:instrText xml:space="preserve">PAGEREF _Toc229057996 \h</w:instrText>
        </w:r>
        <w:r>
          <w:rPr>
            <w:webHidden/>
          </w:rPr>
          <w:fldChar w:fldCharType="separate"/>
        </w:r>
        <w:r>
          <w:rPr>
            <w:rStyle w:val="IndexLink"/>
            <w:vanish w:val="false"/>
          </w:rPr>
          <w:tab/>
          <w:t>70</w:t>
        </w:r>
        <w:r>
          <w:rPr>
            <w:webHidden/>
          </w:rPr>
          <w:fldChar w:fldCharType="end"/>
        </w:r>
      </w:hyperlink>
    </w:p>
    <w:p>
      <w:pPr>
        <w:pStyle w:val="TableofFigures"/>
        <w:tabs>
          <w:tab w:val="clear" w:pos="708"/>
          <w:tab w:val="left" w:pos="1606"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997">
        <w:r>
          <w:rPr>
            <w:rStyle w:val="IndexLink"/>
          </w:rPr>
          <w:t>Tabulka č. 31:</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Nejbližší cenové okolí ceníkově nejlevnějšího mobilního paušálu společnosti Vodafone ze sběru ceníkových cen č. 2</w:t>
        </w:r>
        <w:r>
          <w:rPr>
            <w:webHidden/>
          </w:rPr>
          <w:fldChar w:fldCharType="begin"/>
        </w:r>
        <w:r>
          <w:rPr>
            <w:webHidden/>
          </w:rPr>
          <w:instrText xml:space="preserve">PAGEREF _Toc229057997 \h</w:instrText>
        </w:r>
        <w:r>
          <w:rPr>
            <w:webHidden/>
          </w:rPr>
          <w:fldChar w:fldCharType="separate"/>
        </w:r>
        <w:r>
          <w:rPr>
            <w:rStyle w:val="IndexLink"/>
            <w:vanish w:val="false"/>
          </w:rPr>
          <w:tab/>
          <w:t>70</w:t>
        </w:r>
        <w:r>
          <w:rPr>
            <w:webHidden/>
          </w:rPr>
          <w:fldChar w:fldCharType="end"/>
        </w:r>
      </w:hyperlink>
    </w:p>
    <w:p>
      <w:pPr>
        <w:pStyle w:val="TableofFigures"/>
        <w:tabs>
          <w:tab w:val="clear" w:pos="708"/>
          <w:tab w:val="left" w:pos="16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998">
        <w:r>
          <w:rPr>
            <w:rStyle w:val="IndexLink"/>
          </w:rPr>
          <w:t>Tabulka č. 32:</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Přehled zjištění Úřadu na základě sektorového šetření</w:t>
        </w:r>
        <w:r>
          <w:rPr>
            <w:webHidden/>
          </w:rPr>
          <w:fldChar w:fldCharType="begin"/>
        </w:r>
        <w:r>
          <w:rPr>
            <w:webHidden/>
          </w:rPr>
          <w:instrText xml:space="preserve">PAGEREF _Toc229057998 \h</w:instrText>
        </w:r>
        <w:r>
          <w:rPr>
            <w:webHidden/>
          </w:rPr>
          <w:fldChar w:fldCharType="separate"/>
        </w:r>
        <w:r>
          <w:rPr>
            <w:rStyle w:val="IndexLink"/>
            <w:vanish w:val="false"/>
          </w:rPr>
          <w:tab/>
          <w:t>88</w:t>
        </w:r>
        <w:r>
          <w:rPr>
            <w:webHidden/>
          </w:rPr>
          <w:fldChar w:fldCharType="end"/>
        </w:r>
      </w:hyperlink>
    </w:p>
    <w:p>
      <w:pPr>
        <w:pStyle w:val="TableofFigures"/>
        <w:tabs>
          <w:tab w:val="clear" w:pos="708"/>
          <w:tab w:val="left" w:pos="16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7999">
        <w:r>
          <w:rPr>
            <w:rStyle w:val="IndexLink"/>
          </w:rPr>
          <w:t>Tabulka č. 33:</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Přehled závěrů Úřadu na základě sektorového šetření</w:t>
        </w:r>
        <w:r>
          <w:rPr>
            <w:webHidden/>
          </w:rPr>
          <w:fldChar w:fldCharType="begin"/>
        </w:r>
        <w:r>
          <w:rPr>
            <w:webHidden/>
          </w:rPr>
          <w:instrText xml:space="preserve">PAGEREF _Toc229057999 \h</w:instrText>
        </w:r>
        <w:r>
          <w:rPr>
            <w:webHidden/>
          </w:rPr>
          <w:fldChar w:fldCharType="separate"/>
        </w:r>
        <w:r>
          <w:rPr>
            <w:rStyle w:val="IndexLink"/>
            <w:vanish w:val="false"/>
          </w:rPr>
          <w:tab/>
          <w:t>89</w:t>
        </w:r>
        <w:r>
          <w:rPr>
            <w:webHidden/>
          </w:rPr>
          <w:fldChar w:fldCharType="end"/>
        </w:r>
      </w:hyperlink>
    </w:p>
    <w:p>
      <w:pPr>
        <w:pStyle w:val="TableofFigures"/>
        <w:tabs>
          <w:tab w:val="clear" w:pos="708"/>
          <w:tab w:val="left" w:pos="16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8000">
        <w:r>
          <w:rPr>
            <w:rStyle w:val="IndexLink"/>
          </w:rPr>
          <w:t>Tabulka č. 34:</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Tabulka ceníkových cen mobilních tarifů v EU č. 1</w:t>
        </w:r>
        <w:r>
          <w:rPr>
            <w:webHidden/>
          </w:rPr>
          <w:fldChar w:fldCharType="begin"/>
        </w:r>
        <w:r>
          <w:rPr>
            <w:webHidden/>
          </w:rPr>
          <w:instrText xml:space="preserve">PAGEREF _Toc229058000 \h</w:instrText>
        </w:r>
        <w:r>
          <w:rPr>
            <w:webHidden/>
          </w:rPr>
          <w:fldChar w:fldCharType="separate"/>
        </w:r>
        <w:r>
          <w:rPr>
            <w:rStyle w:val="IndexLink"/>
            <w:vanish w:val="false"/>
          </w:rPr>
          <w:tab/>
          <w:t>xi</w:t>
        </w:r>
        <w:r>
          <w:rPr>
            <w:webHidden/>
          </w:rPr>
          <w:fldChar w:fldCharType="end"/>
        </w:r>
      </w:hyperlink>
    </w:p>
    <w:p>
      <w:pPr>
        <w:pStyle w:val="TableofFigures"/>
        <w:tabs>
          <w:tab w:val="clear" w:pos="708"/>
          <w:tab w:val="left" w:pos="16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8001">
        <w:r>
          <w:rPr>
            <w:rStyle w:val="IndexLink"/>
          </w:rPr>
          <w:t>Tabulka č. 35:</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Tabulka ceníkových cen mobilních tarifů v EU č. 2</w:t>
        </w:r>
        <w:r>
          <w:rPr>
            <w:webHidden/>
          </w:rPr>
          <w:fldChar w:fldCharType="begin"/>
        </w:r>
        <w:r>
          <w:rPr>
            <w:webHidden/>
          </w:rPr>
          <w:instrText xml:space="preserve">PAGEREF _Toc229058001 \h</w:instrText>
        </w:r>
        <w:r>
          <w:rPr>
            <w:webHidden/>
          </w:rPr>
          <w:fldChar w:fldCharType="separate"/>
        </w:r>
        <w:r>
          <w:rPr>
            <w:rStyle w:val="IndexLink"/>
            <w:vanish w:val="false"/>
          </w:rPr>
          <w:tab/>
          <w:t>xii</w:t>
        </w:r>
        <w:r>
          <w:rPr>
            <w:webHidden/>
          </w:rPr>
          <w:fldChar w:fldCharType="end"/>
        </w:r>
      </w:hyperlink>
    </w:p>
    <w:p>
      <w:pPr>
        <w:pStyle w:val="TableofFigures"/>
        <w:tabs>
          <w:tab w:val="clear" w:pos="708"/>
          <w:tab w:val="left" w:pos="16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8002">
        <w:r>
          <w:rPr>
            <w:rStyle w:val="IndexLink"/>
          </w:rPr>
          <w:t>Tabulka č. 36:</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Národní tabulka vyúčtování</w:t>
        </w:r>
        <w:r>
          <w:rPr>
            <w:webHidden/>
          </w:rPr>
          <w:fldChar w:fldCharType="begin"/>
        </w:r>
        <w:r>
          <w:rPr>
            <w:webHidden/>
          </w:rPr>
          <w:instrText xml:space="preserve">PAGEREF _Toc229058002 \h</w:instrText>
        </w:r>
        <w:r>
          <w:rPr>
            <w:webHidden/>
          </w:rPr>
          <w:fldChar w:fldCharType="separate"/>
        </w:r>
        <w:r>
          <w:rPr>
            <w:rStyle w:val="IndexLink"/>
            <w:vanish w:val="false"/>
          </w:rPr>
          <w:tab/>
          <w:t>xii</w:t>
        </w:r>
        <w:r>
          <w:rPr>
            <w:webHidden/>
          </w:rPr>
          <w:fldChar w:fldCharType="end"/>
        </w:r>
      </w:hyperlink>
    </w:p>
    <w:p>
      <w:pPr>
        <w:pStyle w:val="TableofFigures"/>
        <w:tabs>
          <w:tab w:val="clear" w:pos="708"/>
          <w:tab w:val="left" w:pos="16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8003">
        <w:r>
          <w:rPr>
            <w:rStyle w:val="IndexLink"/>
          </w:rPr>
          <w:t>Tabulka č. 37:</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Národní tabulka rozpisu jednotlivých služeb</w:t>
        </w:r>
        <w:r>
          <w:rPr>
            <w:webHidden/>
          </w:rPr>
          <w:fldChar w:fldCharType="begin"/>
        </w:r>
        <w:r>
          <w:rPr>
            <w:webHidden/>
          </w:rPr>
          <w:instrText xml:space="preserve">PAGEREF _Toc229058003 \h</w:instrText>
        </w:r>
        <w:r>
          <w:rPr>
            <w:webHidden/>
          </w:rPr>
          <w:fldChar w:fldCharType="separate"/>
        </w:r>
        <w:r>
          <w:rPr>
            <w:rStyle w:val="IndexLink"/>
            <w:vanish w:val="false"/>
          </w:rPr>
          <w:tab/>
          <w:t>xii</w:t>
        </w:r>
        <w:r>
          <w:rPr>
            <w:webHidden/>
          </w:rPr>
          <w:fldChar w:fldCharType="end"/>
        </w:r>
      </w:hyperlink>
    </w:p>
    <w:p>
      <w:pPr>
        <w:pStyle w:val="TableofFigures"/>
        <w:tabs>
          <w:tab w:val="clear" w:pos="708"/>
          <w:tab w:val="left" w:pos="16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8004">
        <w:r>
          <w:rPr>
            <w:rStyle w:val="IndexLink"/>
          </w:rPr>
          <w:t>Tabulka č. 38:</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Národní tabulka přechodů mezi segmenty domácností a firem</w:t>
        </w:r>
        <w:r>
          <w:rPr>
            <w:webHidden/>
          </w:rPr>
          <w:fldChar w:fldCharType="begin"/>
        </w:r>
        <w:r>
          <w:rPr>
            <w:webHidden/>
          </w:rPr>
          <w:instrText xml:space="preserve">PAGEREF _Toc229058004 \h</w:instrText>
        </w:r>
        <w:r>
          <w:rPr>
            <w:webHidden/>
          </w:rPr>
          <w:fldChar w:fldCharType="separate"/>
        </w:r>
        <w:r>
          <w:rPr>
            <w:rStyle w:val="IndexLink"/>
            <w:vanish w:val="false"/>
          </w:rPr>
          <w:tab/>
          <w:t>xii</w:t>
        </w:r>
        <w:r>
          <w:rPr>
            <w:webHidden/>
          </w:rPr>
          <w:fldChar w:fldCharType="end"/>
        </w:r>
      </w:hyperlink>
    </w:p>
    <w:p>
      <w:pPr>
        <w:pStyle w:val="TableofFigures"/>
        <w:tabs>
          <w:tab w:val="clear" w:pos="708"/>
          <w:tab w:val="left" w:pos="1600" w:leader="none"/>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58005">
        <w:r>
          <w:rPr>
            <w:rStyle w:val="IndexLink"/>
          </w:rPr>
          <w:t>Tabulka č. 39:</w:t>
        </w:r>
        <w:r>
          <w:rPr>
            <w:rStyle w:val="IndexLink"/>
            <w:rFonts w:eastAsia="" w:ascii="Calibri" w:hAnsi="Calibri" w:asciiTheme="minorHAnsi" w:eastAsiaTheme="minorEastAsia" w:hAnsiTheme="minorHAnsi"/>
            <w:kern w:val="2"/>
            <w:sz w:val="24"/>
            <w:szCs w:val="24"/>
            <w:lang w:eastAsia="cs-CZ"/>
            <w14:ligatures w14:val="standardContextual"/>
          </w:rPr>
          <w:tab/>
        </w:r>
        <w:r>
          <w:rPr>
            <w:rStyle w:val="IndexLink"/>
          </w:rPr>
          <w:t>Tabulka účetních údajů</w:t>
        </w:r>
        <w:r>
          <w:rPr>
            <w:webHidden/>
          </w:rPr>
          <w:fldChar w:fldCharType="begin"/>
        </w:r>
        <w:r>
          <w:rPr>
            <w:webHidden/>
          </w:rPr>
          <w:instrText xml:space="preserve">PAGEREF _Toc229058005 \h</w:instrText>
        </w:r>
        <w:r>
          <w:rPr>
            <w:webHidden/>
          </w:rPr>
          <w:fldChar w:fldCharType="separate"/>
        </w:r>
        <w:r>
          <w:rPr>
            <w:rStyle w:val="IndexLink"/>
            <w:vanish w:val="false"/>
          </w:rPr>
          <w:tab/>
          <w:t>xii</w:t>
        </w:r>
        <w:r>
          <w:rPr>
            <w:webHidden/>
          </w:rPr>
          <w:fldChar w:fldCharType="end"/>
        </w:r>
      </w:hyperlink>
      <w:r>
        <w:rPr>
          <w:rStyle w:val="IndexLink"/>
          <w:vanish w:val="false"/>
        </w:rPr>
        <w:fldChar w:fldCharType="end"/>
      </w:r>
    </w:p>
    <w:p>
      <w:pPr>
        <w:pStyle w:val="Textprost"/>
        <w:rPr/>
      </w:pPr>
      <w:r>
        <w:rPr/>
      </w:r>
    </w:p>
    <w:p>
      <w:pPr>
        <w:pStyle w:val="Normal"/>
        <w:spacing w:lineRule="auto" w:line="259" w:before="0" w:after="160"/>
        <w:ind w:left="0" w:right="0"/>
        <w:jc w:val="left"/>
        <w:rPr/>
      </w:pPr>
      <w:r>
        <w:rPr/>
      </w:r>
      <w:r>
        <w:br w:type="page"/>
      </w:r>
    </w:p>
    <w:p>
      <w:pPr>
        <w:pStyle w:val="Textprost"/>
        <w:spacing w:before="0" w:after="160"/>
        <w:rPr/>
      </w:pPr>
      <w:r>
        <w:rPr/>
      </w:r>
    </w:p>
    <w:p>
      <w:pPr>
        <w:pStyle w:val="Heading1"/>
        <w:numPr>
          <w:ilvl w:val="0"/>
          <w:numId w:val="0"/>
        </w:numPr>
        <w:ind w:hanging="0" w:left="114" w:right="284"/>
        <w:rPr/>
      </w:pPr>
      <w:bookmarkStart w:id="289" w:name="_Toc229057937"/>
      <w:r>
        <w:rPr/>
        <w:t>List of Tables</w:t>
      </w:r>
      <w:bookmarkEnd w:id="289"/>
    </w:p>
    <w:p>
      <w:pPr>
        <w:pStyle w:val="TableofFigures"/>
        <w:tabs>
          <w:tab w:val="clear" w:pos="708"/>
          <w:tab w:val="right" w:pos="9061" w:leader="dot"/>
        </w:tabs>
        <w:rPr>
          <w:rFonts w:ascii="Calibri" w:hAnsi="Calibri" w:eastAsia="" w:asciiTheme="minorHAnsi" w:eastAsiaTheme="minorEastAsia" w:hAnsiTheme="minorHAnsi"/>
          <w:kern w:val="2"/>
          <w:sz w:val="24"/>
          <w:szCs w:val="24"/>
          <w:lang w:eastAsia="cs-CZ"/>
          <w14:ligatures w14:val="standardContextual"/>
        </w:rPr>
      </w:pPr>
      <w:r>
        <w:fldChar w:fldCharType="begin"/>
      </w:r>
      <w:r>
        <w:rPr>
          <w:rStyle w:val="IndexLink"/>
        </w:rPr>
        <w:instrText xml:space="preserve"> TOC \c \h \t "Tabulka v AJ" </w:instrText>
      </w:r>
      <w:r>
        <w:rPr>
          <w:rStyle w:val="IndexLink"/>
        </w:rPr>
        <w:fldChar w:fldCharType="separate"/>
      </w:r>
      <w:hyperlink w:anchor="_Toc229060841">
        <w:r>
          <w:rPr>
            <w:rStyle w:val="IndexLink"/>
          </w:rPr>
          <w:t>Descriptive statistics of data provided by the CTU for the purpose of assessing indications of potential concerns</w:t>
        </w:r>
        <w:r>
          <w:rPr>
            <w:webHidden/>
          </w:rPr>
          <w:fldChar w:fldCharType="begin"/>
        </w:r>
        <w:r>
          <w:rPr>
            <w:webHidden/>
          </w:rPr>
          <w:instrText xml:space="preserve">PAGEREF _Toc229060841 \h</w:instrText>
        </w:r>
        <w:r>
          <w:rPr>
            <w:webHidden/>
          </w:rPr>
          <w:fldChar w:fldCharType="separate"/>
        </w:r>
        <w:r>
          <w:rPr>
            <w:rStyle w:val="IndexLink"/>
            <w:vanish w:val="false"/>
          </w:rPr>
          <w:tab/>
          <w:t>36</w:t>
        </w:r>
        <w:r>
          <w:rPr>
            <w:webHidden/>
          </w:rPr>
          <w:fldChar w:fldCharType="end"/>
        </w:r>
      </w:hyperlink>
    </w:p>
    <w:p>
      <w:pPr>
        <w:pStyle w:val="TableofFigures"/>
        <w:tabs>
          <w:tab w:val="clear" w:pos="708"/>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60842">
        <w:r>
          <w:rPr>
            <w:rStyle w:val="IndexLink"/>
          </w:rPr>
          <w:t>Descriptive statistics of Eurostat HICP data for the “Communications” category (CP08)</w:t>
        </w:r>
        <w:r>
          <w:rPr>
            <w:webHidden/>
          </w:rPr>
          <w:fldChar w:fldCharType="begin"/>
        </w:r>
        <w:r>
          <w:rPr>
            <w:webHidden/>
          </w:rPr>
          <w:instrText xml:space="preserve">PAGEREF _Toc229060842 \h</w:instrText>
        </w:r>
        <w:r>
          <w:rPr>
            <w:webHidden/>
          </w:rPr>
          <w:fldChar w:fldCharType="separate"/>
        </w:r>
        <w:r>
          <w:rPr>
            <w:rStyle w:val="IndexLink"/>
            <w:vanish w:val="false"/>
          </w:rPr>
          <w:tab/>
          <w:t>36</w:t>
        </w:r>
        <w:r>
          <w:rPr>
            <w:webHidden/>
          </w:rPr>
          <w:fldChar w:fldCharType="end"/>
        </w:r>
      </w:hyperlink>
    </w:p>
    <w:p>
      <w:pPr>
        <w:pStyle w:val="TableofFigures"/>
        <w:tabs>
          <w:tab w:val="clear" w:pos="708"/>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60843">
        <w:r>
          <w:rPr>
            <w:rStyle w:val="IndexLink"/>
          </w:rPr>
          <w:t>Descriptive statistics of variables from data collection No. 1 on mobile tariff list prices in the EU</w:t>
        </w:r>
        <w:r>
          <w:rPr>
            <w:webHidden/>
          </w:rPr>
          <w:fldChar w:fldCharType="begin"/>
        </w:r>
        <w:r>
          <w:rPr>
            <w:webHidden/>
          </w:rPr>
          <w:instrText xml:space="preserve">PAGEREF _Toc229060843 \h</w:instrText>
        </w:r>
        <w:r>
          <w:rPr>
            <w:webHidden/>
          </w:rPr>
          <w:fldChar w:fldCharType="separate"/>
        </w:r>
        <w:r>
          <w:rPr>
            <w:rStyle w:val="IndexLink"/>
            <w:vanish w:val="false"/>
          </w:rPr>
          <w:tab/>
          <w:t>37</w:t>
        </w:r>
        <w:r>
          <w:rPr>
            <w:webHidden/>
          </w:rPr>
          <w:fldChar w:fldCharType="end"/>
        </w:r>
      </w:hyperlink>
    </w:p>
    <w:p>
      <w:pPr>
        <w:pStyle w:val="TableofFigures"/>
        <w:tabs>
          <w:tab w:val="clear" w:pos="708"/>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60844">
        <w:r>
          <w:rPr>
            <w:rStyle w:val="IndexLink"/>
          </w:rPr>
          <w:t>Descriptive statistics of variables from data collection No. 2 on mobile tariff list prices in the EU</w:t>
        </w:r>
        <w:r>
          <w:rPr>
            <w:webHidden/>
          </w:rPr>
          <w:fldChar w:fldCharType="begin"/>
        </w:r>
        <w:r>
          <w:rPr>
            <w:webHidden/>
          </w:rPr>
          <w:instrText xml:space="preserve">PAGEREF _Toc229060844 \h</w:instrText>
        </w:r>
        <w:r>
          <w:rPr>
            <w:webHidden/>
          </w:rPr>
          <w:fldChar w:fldCharType="separate"/>
        </w:r>
        <w:r>
          <w:rPr>
            <w:rStyle w:val="IndexLink"/>
            <w:vanish w:val="false"/>
          </w:rPr>
          <w:tab/>
          <w:t>38</w:t>
        </w:r>
        <w:r>
          <w:rPr>
            <w:webHidden/>
          </w:rPr>
          <w:fldChar w:fldCharType="end"/>
        </w:r>
      </w:hyperlink>
    </w:p>
    <w:p>
      <w:pPr>
        <w:pStyle w:val="TableofFigures"/>
        <w:tabs>
          <w:tab w:val="clear" w:pos="708"/>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60856">
        <w:r>
          <w:rPr>
            <w:rStyle w:val="IndexLink"/>
          </w:rPr>
          <w:t>Final Model of the Estimate of the Deviation of Czech List Prices for Mobile Services</w:t>
        </w:r>
        <w:r>
          <w:rPr>
            <w:webHidden/>
          </w:rPr>
          <w:fldChar w:fldCharType="begin"/>
        </w:r>
        <w:r>
          <w:rPr>
            <w:webHidden/>
          </w:rPr>
          <w:instrText xml:space="preserve">PAGEREF _Toc229060856 \h</w:instrText>
        </w:r>
        <w:r>
          <w:rPr>
            <w:webHidden/>
          </w:rPr>
          <w:fldChar w:fldCharType="separate"/>
        </w:r>
        <w:r>
          <w:rPr>
            <w:rStyle w:val="IndexLink"/>
            <w:vanish w:val="false"/>
          </w:rPr>
          <w:tab/>
          <w:t>63</w:t>
        </w:r>
        <w:r>
          <w:rPr>
            <w:webHidden/>
          </w:rPr>
          <w:fldChar w:fldCharType="end"/>
        </w:r>
      </w:hyperlink>
    </w:p>
    <w:p>
      <w:pPr>
        <w:pStyle w:val="TableofFigures"/>
        <w:tabs>
          <w:tab w:val="clear" w:pos="708"/>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60857">
        <w:r>
          <w:rPr>
            <w:rStyle w:val="IndexLink"/>
          </w:rPr>
          <w:t>Inverse Final Model of the Estimate of the Deviation of Czech List Prices for Mobile Services</w:t>
        </w:r>
        <w:r>
          <w:rPr>
            <w:webHidden/>
          </w:rPr>
          <w:fldChar w:fldCharType="begin"/>
        </w:r>
        <w:r>
          <w:rPr>
            <w:webHidden/>
          </w:rPr>
          <w:instrText xml:space="preserve">PAGEREF _Toc229060857 \h</w:instrText>
        </w:r>
        <w:r>
          <w:rPr>
            <w:webHidden/>
          </w:rPr>
          <w:fldChar w:fldCharType="separate"/>
        </w:r>
        <w:r>
          <w:rPr>
            <w:rStyle w:val="IndexLink"/>
            <w:vanish w:val="false"/>
          </w:rPr>
          <w:tab/>
          <w:t>63</w:t>
        </w:r>
        <w:r>
          <w:rPr>
            <w:webHidden/>
          </w:rPr>
          <w:fldChar w:fldCharType="end"/>
        </w:r>
      </w:hyperlink>
    </w:p>
    <w:p>
      <w:pPr>
        <w:pStyle w:val="TableofFigures"/>
        <w:tabs>
          <w:tab w:val="clear" w:pos="708"/>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60858">
        <w:r>
          <w:rPr>
            <w:rStyle w:val="IndexLink"/>
          </w:rPr>
          <w:t>The Closest Price Environment of T</w:t>
          <w:noBreakHyphen/>
          <w:t>Mobile’s Most Expensive Listed Mobile Tariff from Price List Collection No. 1</w:t>
        </w:r>
        <w:r>
          <w:rPr>
            <w:webHidden/>
          </w:rPr>
          <w:fldChar w:fldCharType="begin"/>
        </w:r>
        <w:r>
          <w:rPr>
            <w:webHidden/>
          </w:rPr>
          <w:instrText xml:space="preserve">PAGEREF _Toc229060858 \h</w:instrText>
        </w:r>
        <w:r>
          <w:rPr>
            <w:webHidden/>
          </w:rPr>
          <w:fldChar w:fldCharType="separate"/>
        </w:r>
        <w:r>
          <w:rPr>
            <w:rStyle w:val="IndexLink"/>
            <w:vanish w:val="false"/>
          </w:rPr>
          <w:tab/>
          <w:t>65</w:t>
        </w:r>
        <w:r>
          <w:rPr>
            <w:webHidden/>
          </w:rPr>
          <w:fldChar w:fldCharType="end"/>
        </w:r>
      </w:hyperlink>
    </w:p>
    <w:p>
      <w:pPr>
        <w:pStyle w:val="TableofFigures"/>
        <w:tabs>
          <w:tab w:val="clear" w:pos="708"/>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60859">
        <w:r>
          <w:rPr>
            <w:rStyle w:val="IndexLink"/>
          </w:rPr>
          <w:t>The Closest Price Environment of O2’s Most Expensive Listed Mobile Tariff from Price List Collection No. 1</w:t>
        </w:r>
        <w:r>
          <w:rPr>
            <w:webHidden/>
          </w:rPr>
          <w:fldChar w:fldCharType="begin"/>
        </w:r>
        <w:r>
          <w:rPr>
            <w:webHidden/>
          </w:rPr>
          <w:instrText xml:space="preserve">PAGEREF _Toc229060859 \h</w:instrText>
        </w:r>
        <w:r>
          <w:rPr>
            <w:webHidden/>
          </w:rPr>
          <w:fldChar w:fldCharType="separate"/>
        </w:r>
        <w:r>
          <w:rPr>
            <w:rStyle w:val="IndexLink"/>
            <w:vanish w:val="false"/>
          </w:rPr>
          <w:tab/>
          <w:t>65</w:t>
        </w:r>
        <w:r>
          <w:rPr>
            <w:webHidden/>
          </w:rPr>
          <w:fldChar w:fldCharType="end"/>
        </w:r>
      </w:hyperlink>
    </w:p>
    <w:p>
      <w:pPr>
        <w:pStyle w:val="TableofFigures"/>
        <w:tabs>
          <w:tab w:val="clear" w:pos="708"/>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60860">
        <w:r>
          <w:rPr>
            <w:rStyle w:val="IndexLink"/>
          </w:rPr>
          <w:t>The Closest Price Environment of Vodafone’s Most Expensive Listed Mobile Tariff from Price List Collection No. 1</w:t>
        </w:r>
        <w:r>
          <w:rPr>
            <w:webHidden/>
          </w:rPr>
          <w:fldChar w:fldCharType="begin"/>
        </w:r>
        <w:r>
          <w:rPr>
            <w:webHidden/>
          </w:rPr>
          <w:instrText xml:space="preserve">PAGEREF _Toc229060860 \h</w:instrText>
        </w:r>
        <w:r>
          <w:rPr>
            <w:webHidden/>
          </w:rPr>
          <w:fldChar w:fldCharType="separate"/>
        </w:r>
        <w:r>
          <w:rPr>
            <w:rStyle w:val="IndexLink"/>
            <w:vanish w:val="false"/>
          </w:rPr>
          <w:tab/>
          <w:t>67</w:t>
        </w:r>
        <w:r>
          <w:rPr>
            <w:webHidden/>
          </w:rPr>
          <w:fldChar w:fldCharType="end"/>
        </w:r>
      </w:hyperlink>
    </w:p>
    <w:p>
      <w:pPr>
        <w:pStyle w:val="TableofFigures"/>
        <w:tabs>
          <w:tab w:val="clear" w:pos="708"/>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60861">
        <w:r>
          <w:rPr>
            <w:rStyle w:val="IndexLink"/>
          </w:rPr>
          <w:t>The Closest Price Environment of T</w:t>
          <w:noBreakHyphen/>
          <w:t>Mobile’s Most Expensive Listed Mobile Tariff from Price List Collection No. 1</w:t>
        </w:r>
        <w:r>
          <w:rPr>
            <w:webHidden/>
          </w:rPr>
          <w:fldChar w:fldCharType="begin"/>
        </w:r>
        <w:r>
          <w:rPr>
            <w:webHidden/>
          </w:rPr>
          <w:instrText xml:space="preserve">PAGEREF _Toc229060861 \h</w:instrText>
        </w:r>
        <w:r>
          <w:rPr>
            <w:webHidden/>
          </w:rPr>
          <w:fldChar w:fldCharType="separate"/>
        </w:r>
        <w:r>
          <w:rPr>
            <w:rStyle w:val="IndexLink"/>
            <w:vanish w:val="false"/>
          </w:rPr>
          <w:tab/>
          <w:t>68</w:t>
        </w:r>
        <w:r>
          <w:rPr>
            <w:webHidden/>
          </w:rPr>
          <w:fldChar w:fldCharType="end"/>
        </w:r>
      </w:hyperlink>
    </w:p>
    <w:p>
      <w:pPr>
        <w:pStyle w:val="TableofFigures"/>
        <w:tabs>
          <w:tab w:val="clear" w:pos="708"/>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60862">
        <w:r>
          <w:rPr>
            <w:rStyle w:val="IndexLink"/>
          </w:rPr>
          <w:t>Table of List Prices of Mobile Tariffs in the EU No. 1</w:t>
        </w:r>
        <w:r>
          <w:rPr>
            <w:webHidden/>
          </w:rPr>
          <w:fldChar w:fldCharType="begin"/>
        </w:r>
        <w:r>
          <w:rPr>
            <w:webHidden/>
          </w:rPr>
          <w:instrText xml:space="preserve">PAGEREF _Toc229060862 \h</w:instrText>
        </w:r>
        <w:r>
          <w:rPr>
            <w:webHidden/>
          </w:rPr>
          <w:fldChar w:fldCharType="separate"/>
        </w:r>
        <w:r>
          <w:rPr>
            <w:rStyle w:val="IndexLink"/>
            <w:vanish w:val="false"/>
          </w:rPr>
          <w:tab/>
          <w:t>xi</w:t>
        </w:r>
        <w:r>
          <w:rPr>
            <w:webHidden/>
          </w:rPr>
          <w:fldChar w:fldCharType="end"/>
        </w:r>
      </w:hyperlink>
    </w:p>
    <w:p>
      <w:pPr>
        <w:pStyle w:val="TableofFigures"/>
        <w:tabs>
          <w:tab w:val="clear" w:pos="708"/>
          <w:tab w:val="right" w:pos="9061" w:leader="dot"/>
        </w:tabs>
        <w:rPr>
          <w:rFonts w:ascii="Calibri" w:hAnsi="Calibri" w:eastAsia="" w:asciiTheme="minorHAnsi" w:eastAsiaTheme="minorEastAsia" w:hAnsiTheme="minorHAnsi"/>
          <w:kern w:val="2"/>
          <w:sz w:val="24"/>
          <w:szCs w:val="24"/>
          <w:lang w:eastAsia="cs-CZ"/>
          <w14:ligatures w14:val="standardContextual"/>
        </w:rPr>
      </w:pPr>
      <w:hyperlink w:anchor="_Toc229060863">
        <w:r>
          <w:rPr>
            <w:rStyle w:val="IndexLink"/>
          </w:rPr>
          <w:t>Table of List Prices of Mobile Tariffs in the EU No. 2</w:t>
        </w:r>
        <w:r>
          <w:rPr>
            <w:webHidden/>
          </w:rPr>
          <w:fldChar w:fldCharType="begin"/>
        </w:r>
        <w:r>
          <w:rPr>
            <w:webHidden/>
          </w:rPr>
          <w:instrText xml:space="preserve">PAGEREF _Toc229060863 \h</w:instrText>
        </w:r>
        <w:r>
          <w:rPr>
            <w:webHidden/>
          </w:rPr>
          <w:fldChar w:fldCharType="separate"/>
        </w:r>
        <w:r>
          <w:rPr>
            <w:rStyle w:val="IndexLink"/>
            <w:vanish w:val="false"/>
          </w:rPr>
          <w:tab/>
          <w:t>xii</w:t>
        </w:r>
        <w:r>
          <w:rPr>
            <w:webHidden/>
          </w:rPr>
          <w:fldChar w:fldCharType="end"/>
        </w:r>
      </w:hyperlink>
      <w:r>
        <w:rPr>
          <w:rStyle w:val="IndexLink"/>
          <w:vanish w:val="false"/>
        </w:rPr>
        <w:fldChar w:fldCharType="end"/>
      </w:r>
    </w:p>
    <w:p>
      <w:pPr>
        <w:pStyle w:val="Textprost"/>
        <w:rPr/>
      </w:pPr>
      <w:r>
        <w:rPr/>
      </w:r>
    </w:p>
    <w:p>
      <w:pPr>
        <w:pStyle w:val="Textprost"/>
        <w:rPr/>
      </w:pPr>
      <w:r>
        <w:rPr/>
      </w:r>
    </w:p>
    <w:p>
      <w:pPr>
        <w:pStyle w:val="Textprost"/>
        <w:rPr/>
      </w:pPr>
      <w:r>
        <w:rPr/>
      </w:r>
      <w:r>
        <w:br w:type="page"/>
      </w:r>
    </w:p>
    <w:p>
      <w:pPr>
        <w:pStyle w:val="Normal"/>
        <w:spacing w:lineRule="auto" w:line="259" w:before="0" w:after="160"/>
        <w:ind w:left="0" w:right="0"/>
        <w:jc w:val="left"/>
        <w:rPr/>
      </w:pPr>
      <w:r>
        <w:rPr/>
      </w:r>
    </w:p>
    <w:p>
      <w:pPr>
        <w:pStyle w:val="Heading1"/>
        <w:numPr>
          <w:ilvl w:val="0"/>
          <w:numId w:val="0"/>
        </w:numPr>
        <w:ind w:hanging="0" w:left="114" w:right="284"/>
        <w:rPr>
          <w:i/>
          <w:i/>
          <w:iCs/>
          <w:sz w:val="36"/>
          <w:szCs w:val="36"/>
        </w:rPr>
      </w:pPr>
      <w:bookmarkStart w:id="290" w:name="_Toc229057938"/>
      <w:r>
        <w:rPr/>
        <w:t>Zdroje /</w:t>
        <w:br/>
      </w:r>
      <w:r>
        <w:rPr>
          <w:i/>
          <w:iCs/>
          <w:sz w:val="36"/>
          <w:szCs w:val="36"/>
        </w:rPr>
        <w:t>Sources</w:t>
      </w:r>
      <w:bookmarkEnd w:id="290"/>
    </w:p>
    <w:p>
      <w:pPr>
        <w:pStyle w:val="Literatura"/>
        <w:numPr>
          <w:ilvl w:val="0"/>
          <w:numId w:val="5"/>
        </w:numPr>
        <w:ind w:hanging="992" w:left="141" w:right="284"/>
        <w:rPr/>
      </w:pPr>
      <w:r>
        <w:rPr/>
        <w:t xml:space="preserve">AIMENE, L., JEANJEAN, F. a LIANG, J. 2021. Impact of mobile operator consolidation on unit prices. </w:t>
      </w:r>
      <w:r>
        <w:rPr>
          <w:i/>
          <w:iCs/>
        </w:rPr>
        <w:t>Telecommunications Policy</w:t>
      </w:r>
      <w:r>
        <w:rPr/>
        <w:t xml:space="preserve">, Vol. 45, No. 4, 102107. Dostupné na: </w:t>
      </w:r>
      <w:hyperlink r:id="rId31">
        <w:r>
          <w:rPr>
            <w:rStyle w:val="Hyperlink"/>
          </w:rPr>
          <w:t>https://www.sciencedirect.com/science/article/abs/pii/S0308596121000124</w:t>
        </w:r>
      </w:hyperlink>
      <w:r>
        <w:rPr/>
        <w:t>.</w:t>
      </w:r>
    </w:p>
    <w:p>
      <w:pPr>
        <w:pStyle w:val="Literatura"/>
        <w:numPr>
          <w:ilvl w:val="0"/>
          <w:numId w:val="5"/>
        </w:numPr>
        <w:ind w:hanging="992" w:left="141" w:right="284"/>
        <w:rPr/>
      </w:pPr>
      <w:r>
        <w:rPr/>
        <w:t xml:space="preserve">ASCARZA, E. 2018. Retention Futility: Targeting High-Risk Customers Might Be Ineffective. </w:t>
      </w:r>
      <w:r>
        <w:rPr>
          <w:i/>
          <w:iCs/>
        </w:rPr>
        <w:t>Journal of Marketing Research</w:t>
      </w:r>
      <w:r>
        <w:rPr/>
        <w:t xml:space="preserve">, Vol. LV, pp. 80-98. Dostupné na: </w:t>
      </w:r>
      <w:hyperlink r:id="rId32">
        <w:r>
          <w:rPr>
            <w:rStyle w:val="Hyperlink"/>
          </w:rPr>
          <w:t>https://www.hbs.edu/ris/Publication%20Files/ascarza_jmr_18_783d54d4-e548-41ed-b1d7-8a180f1ae85a.pdf</w:t>
        </w:r>
      </w:hyperlink>
      <w:r>
        <w:rPr/>
        <w:t>.</w:t>
      </w:r>
    </w:p>
    <w:p>
      <w:pPr>
        <w:pStyle w:val="Literatura"/>
        <w:numPr>
          <w:ilvl w:val="0"/>
          <w:numId w:val="5"/>
        </w:numPr>
        <w:ind w:hanging="992" w:left="141" w:right="284"/>
        <w:rPr/>
      </w:pPr>
      <w:r>
        <w:rPr/>
        <w:t xml:space="preserve">CALZADA, J., GARCÍA-MARINOSO, B. a SUÁREZ, D. 2023. Do telecommunications prices depend on consumer engagement? </w:t>
      </w:r>
      <w:r>
        <w:rPr>
          <w:i/>
          <w:iCs/>
        </w:rPr>
        <w:t>Information Economics and Policy</w:t>
      </w:r>
      <w:r>
        <w:rPr/>
        <w:t xml:space="preserve">, Vol. 62, 101018. Dostupné na: </w:t>
      </w:r>
      <w:hyperlink r:id="rId33">
        <w:r>
          <w:rPr>
            <w:rStyle w:val="Hyperlink"/>
          </w:rPr>
          <w:t>https://doi.org/10.1016/j.infoecopol.2023.101018</w:t>
        </w:r>
      </w:hyperlink>
      <w:r>
        <w:rPr/>
        <w:t>.</w:t>
      </w:r>
    </w:p>
    <w:p>
      <w:pPr>
        <w:pStyle w:val="Literatura"/>
        <w:numPr>
          <w:ilvl w:val="0"/>
          <w:numId w:val="5"/>
        </w:numPr>
        <w:ind w:hanging="992" w:left="141" w:right="284"/>
        <w:rPr/>
      </w:pPr>
      <w:r>
        <w:rPr/>
        <w:t xml:space="preserve">CAPPONI, G., CORROCHERr, N. a ZIRULIA, L. 2021. Personalized pricing for customer retention: Theory and evidence from mobile communication. </w:t>
      </w:r>
      <w:r>
        <w:rPr>
          <w:i/>
          <w:iCs/>
        </w:rPr>
        <w:t>Telecommunications Policy</w:t>
      </w:r>
      <w:r>
        <w:rPr/>
        <w:t xml:space="preserve">, Vol. 45, 102069. Dostupné na: </w:t>
      </w:r>
      <w:hyperlink r:id="rId34">
        <w:r>
          <w:rPr>
            <w:rStyle w:val="Hyperlink"/>
          </w:rPr>
          <w:t>https://doi.org/10.1016/j.telpol.2020.102069</w:t>
        </w:r>
      </w:hyperlink>
      <w:r>
        <w:rPr/>
        <w:t>.</w:t>
      </w:r>
    </w:p>
    <w:p>
      <w:pPr>
        <w:pStyle w:val="Literatura"/>
        <w:numPr>
          <w:ilvl w:val="0"/>
          <w:numId w:val="5"/>
        </w:numPr>
        <w:ind w:hanging="992" w:left="141" w:right="284"/>
        <w:rPr/>
      </w:pPr>
      <w:r>
        <w:rPr/>
        <w:t xml:space="preserve">DAVIS, P. a GARCÉS, E. 2010. </w:t>
      </w:r>
      <w:r>
        <w:rPr>
          <w:i/>
          <w:iCs/>
        </w:rPr>
        <w:t>Quantitative Techniques for Competition and Antitrust Analysis.</w:t>
      </w:r>
      <w:r>
        <w:rPr/>
        <w:t xml:space="preserve"> Princeton University Press: Princeton. ISBN 978-0-691-14257-9.</w:t>
      </w:r>
    </w:p>
    <w:p>
      <w:pPr>
        <w:pStyle w:val="Literatura"/>
        <w:numPr>
          <w:ilvl w:val="0"/>
          <w:numId w:val="5"/>
        </w:numPr>
        <w:ind w:hanging="992" w:left="141" w:right="284"/>
        <w:rPr/>
      </w:pPr>
      <w:r>
        <w:rPr/>
        <w:t xml:space="preserve">DWYER, L. a kol. 2010. </w:t>
      </w:r>
      <w:r>
        <w:rPr>
          <w:i/>
          <w:iCs/>
        </w:rPr>
        <w:t>Tourism Economics and Policy</w:t>
      </w:r>
      <w:r>
        <w:rPr/>
        <w:t>. Channel View Publications: Bristol. ISBN 978-1-184541-152-0.</w:t>
      </w:r>
    </w:p>
    <w:p>
      <w:pPr>
        <w:pStyle w:val="Literatura"/>
        <w:numPr>
          <w:ilvl w:val="0"/>
          <w:numId w:val="5"/>
        </w:numPr>
        <w:ind w:hanging="992" w:left="141" w:right="284"/>
        <w:rPr/>
      </w:pPr>
      <w:r>
        <w:rPr/>
        <w:t xml:space="preserve">GENAKOS, Ch., VALLETTI, T a VERBOVEN, F. 2017. </w:t>
      </w:r>
      <w:r>
        <w:rPr>
          <w:i/>
          <w:iCs/>
        </w:rPr>
        <w:t>Evaluating Market Consolidation in Mobile Communications</w:t>
      </w:r>
      <w:r>
        <w:rPr/>
        <w:t xml:space="preserve">. Centre for Economic Performance: London School of Economics and Political Science, London. Discussion paper No. 1486. ISSN 2042-2695. Dostupné na: </w:t>
      </w:r>
      <w:hyperlink r:id="rId35">
        <w:r>
          <w:rPr>
            <w:rStyle w:val="Hyperlink"/>
          </w:rPr>
          <w:t>https://cep.lse.ac.uk/pubs/download/dp1486.pdf</w:t>
        </w:r>
      </w:hyperlink>
      <w:r>
        <w:rPr/>
        <w:t>.</w:t>
      </w:r>
    </w:p>
    <w:p>
      <w:pPr>
        <w:pStyle w:val="Literatura"/>
        <w:numPr>
          <w:ilvl w:val="0"/>
          <w:numId w:val="5"/>
        </w:numPr>
        <w:ind w:hanging="992" w:left="141" w:right="284"/>
        <w:rPr/>
      </w:pPr>
      <w:r>
        <w:rPr/>
        <w:t xml:space="preserve">GRZYBOWSKI, L., NICOLLE, A. a ZUELEHNER, Ch. 2017. </w:t>
      </w:r>
      <w:r>
        <w:rPr>
          <w:i/>
          <w:iCs/>
        </w:rPr>
        <w:t>Impact of competition and regulation on prices of mobile services: Evidence from France</w:t>
      </w:r>
      <w:r>
        <w:rPr/>
        <w:t xml:space="preserve">. 28th European Regional Conference of the International Telecommunications Society (ITS). Dostupné na: </w:t>
      </w:r>
      <w:hyperlink r:id="rId36">
        <w:r>
          <w:rPr>
            <w:rStyle w:val="Hyperlink"/>
          </w:rPr>
          <w:t>https://www.econstor.eu/bitstream/10419/169465/1/Grzybowski-et-al.pdf</w:t>
        </w:r>
      </w:hyperlink>
      <w:r>
        <w:rPr/>
        <w:t>.</w:t>
      </w:r>
    </w:p>
    <w:p>
      <w:pPr>
        <w:pStyle w:val="Literatura"/>
        <w:numPr>
          <w:ilvl w:val="0"/>
          <w:numId w:val="5"/>
        </w:numPr>
        <w:ind w:hanging="992" w:left="141" w:right="284"/>
        <w:rPr/>
      </w:pPr>
      <w:r>
        <w:rPr/>
        <w:t xml:space="preserve">KIM, H.-S. a YOON, Ch-H. 2004. Determinants of subsriber churn and customer loyalty in the Korean mobile telephony market. </w:t>
      </w:r>
      <w:r>
        <w:rPr>
          <w:i/>
          <w:iCs/>
        </w:rPr>
        <w:t>Telecommunications Policy</w:t>
      </w:r>
      <w:r>
        <w:rPr/>
        <w:t xml:space="preserve">, Vol. 28, No. 9-10, pp. 751-765. Dostupné na: </w:t>
      </w:r>
      <w:hyperlink r:id="rId37">
        <w:r>
          <w:rPr>
            <w:rStyle w:val="Hyperlink"/>
          </w:rPr>
          <w:t>https://www.sciencedirect.com/science/article/abs/pii/S0308596104000783</w:t>
        </w:r>
      </w:hyperlink>
      <w:r>
        <w:rPr/>
        <w:t>.</w:t>
      </w:r>
    </w:p>
    <w:p>
      <w:pPr>
        <w:pStyle w:val="Literatura"/>
        <w:numPr>
          <w:ilvl w:val="0"/>
          <w:numId w:val="5"/>
        </w:numPr>
        <w:ind w:hanging="992" w:left="141" w:right="284"/>
        <w:rPr/>
      </w:pPr>
      <w:r>
        <w:rPr/>
        <w:t xml:space="preserve">MACÁKOVÁ, L. a kol. 2010. </w:t>
      </w:r>
      <w:r>
        <w:rPr>
          <w:i/>
          <w:iCs/>
        </w:rPr>
        <w:t>Mikroekonomie: základní kurs</w:t>
      </w:r>
      <w:r>
        <w:rPr/>
        <w:t>. Melandrium: Praha. ISBN 978-80-86175-70-6.</w:t>
      </w:r>
    </w:p>
    <w:p>
      <w:pPr>
        <w:pStyle w:val="Literatura"/>
        <w:numPr>
          <w:ilvl w:val="0"/>
          <w:numId w:val="5"/>
        </w:numPr>
        <w:ind w:hanging="992" w:left="141" w:right="284"/>
        <w:rPr/>
      </w:pPr>
      <w:r>
        <w:rPr/>
        <w:t xml:space="preserve">SCHULTZ, Ch. 2014. Consumer poaching, brand switching, and price transparency. </w:t>
      </w:r>
      <w:r>
        <w:rPr>
          <w:i/>
          <w:iCs/>
        </w:rPr>
        <w:t>Economic Letters</w:t>
      </w:r>
      <w:r>
        <w:rPr/>
        <w:t xml:space="preserve">, Vol. 123, No. 3, pp. 266-269. Dostupné na: </w:t>
      </w:r>
      <w:hyperlink r:id="rId38">
        <w:r>
          <w:rPr>
            <w:rStyle w:val="Hyperlink"/>
          </w:rPr>
          <w:t>https://www.sciencedirect.com/science/article/abs/pii/S0165176514000883</w:t>
        </w:r>
      </w:hyperlink>
      <w:r>
        <w:rPr/>
        <w:t>.</w:t>
      </w:r>
    </w:p>
    <w:p>
      <w:pPr>
        <w:pStyle w:val="Literatura"/>
        <w:numPr>
          <w:ilvl w:val="0"/>
          <w:numId w:val="5"/>
        </w:numPr>
        <w:ind w:hanging="992" w:left="141" w:right="284"/>
        <w:rPr/>
      </w:pPr>
      <w:r>
        <w:rPr/>
        <w:t xml:space="preserve">SRAFFA, P. 1926. The Laws of Returns under Competitive Conditions. </w:t>
      </w:r>
      <w:r>
        <w:rPr>
          <w:i/>
          <w:iCs/>
        </w:rPr>
        <w:t>The Economic Journal</w:t>
      </w:r>
      <w:r>
        <w:rPr/>
        <w:t xml:space="preserve">, Vol. 36, No. 144, pp. 535-550. Dostupné na: </w:t>
      </w:r>
      <w:hyperlink r:id="rId39">
        <w:r>
          <w:rPr>
            <w:rStyle w:val="Hyperlink"/>
          </w:rPr>
          <w:t>https://doi.org/10.2307/2959866</w:t>
        </w:r>
      </w:hyperlink>
      <w:r>
        <w:rPr/>
        <w:t>.</w:t>
      </w:r>
    </w:p>
    <w:p>
      <w:pPr>
        <w:pStyle w:val="Literatura"/>
        <w:numPr>
          <w:ilvl w:val="0"/>
          <w:numId w:val="5"/>
        </w:numPr>
        <w:ind w:hanging="992" w:left="141" w:right="284"/>
        <w:rPr/>
      </w:pPr>
      <w:r>
        <w:rPr/>
        <w:t xml:space="preserve">DUPUIT, J. 1844. On the Measurement of the Utility of Public Works. Translated in: </w:t>
      </w:r>
      <w:r>
        <w:rPr>
          <w:i/>
          <w:iCs/>
        </w:rPr>
        <w:t xml:space="preserve">International Economic Papers </w:t>
      </w:r>
      <w:r>
        <w:rPr/>
        <w:t>(1952), No. 2, pp. 83-110.</w:t>
      </w:r>
    </w:p>
    <w:p>
      <w:pPr>
        <w:pStyle w:val="Literatura"/>
        <w:numPr>
          <w:ilvl w:val="0"/>
          <w:numId w:val="5"/>
        </w:numPr>
        <w:ind w:hanging="992" w:left="141" w:right="284"/>
        <w:rPr/>
      </w:pPr>
      <w:r>
        <w:rPr/>
        <w:t xml:space="preserve">SCHUMPETER, J. A. 1942. </w:t>
      </w:r>
      <w:r>
        <w:rPr>
          <w:i/>
          <w:iCs/>
        </w:rPr>
        <w:t>Capitalism, Socialism and Democracy</w:t>
      </w:r>
      <w:r>
        <w:rPr/>
        <w:t>. Harper and Brothers, New York.</w:t>
      </w:r>
    </w:p>
    <w:p>
      <w:pPr>
        <w:pStyle w:val="Literatura"/>
        <w:numPr>
          <w:ilvl w:val="0"/>
          <w:numId w:val="5"/>
        </w:numPr>
        <w:ind w:hanging="992" w:left="141" w:right="284"/>
        <w:rPr/>
      </w:pPr>
      <w:r>
        <w:rPr/>
        <w:t>Xxx a</w:t>
      </w:r>
    </w:p>
    <w:p>
      <w:pPr>
        <w:pStyle w:val="Literatura"/>
        <w:numPr>
          <w:ilvl w:val="0"/>
          <w:numId w:val="5"/>
        </w:numPr>
        <w:ind w:hanging="992" w:left="141" w:right="284"/>
        <w:rPr/>
      </w:pPr>
      <w:r>
        <w:rPr/>
        <w:t>Xxx</w:t>
      </w:r>
    </w:p>
    <w:p>
      <w:pPr>
        <w:pStyle w:val="Literatura"/>
        <w:numPr>
          <w:ilvl w:val="0"/>
          <w:numId w:val="5"/>
        </w:numPr>
        <w:ind w:hanging="992" w:left="141" w:right="284"/>
        <w:rPr/>
      </w:pPr>
      <w:r>
        <w:rPr/>
      </w:r>
    </w:p>
    <w:p>
      <w:pPr>
        <w:pStyle w:val="Normal"/>
        <w:spacing w:lineRule="auto" w:line="259" w:before="0" w:after="160"/>
        <w:ind w:left="0" w:right="0"/>
        <w:jc w:val="left"/>
        <w:rPr/>
      </w:pPr>
      <w:r>
        <w:rPr/>
      </w:r>
      <w:r>
        <w:br w:type="page"/>
      </w:r>
    </w:p>
    <w:p>
      <w:pPr>
        <w:pStyle w:val="Normal"/>
        <w:spacing w:lineRule="auto" w:line="259" w:before="0" w:after="160"/>
        <w:ind w:left="0" w:right="0"/>
        <w:jc w:val="left"/>
        <w:rPr/>
      </w:pPr>
      <w:r>
        <w:rPr/>
      </w:r>
    </w:p>
    <w:p>
      <w:pPr>
        <w:pStyle w:val="Heading1"/>
        <w:numPr>
          <w:ilvl w:val="0"/>
          <w:numId w:val="0"/>
        </w:numPr>
        <w:ind w:hanging="0" w:left="114" w:right="284"/>
        <w:rPr/>
      </w:pPr>
      <w:bookmarkStart w:id="291" w:name="_Toc229057939"/>
      <w:r>
        <w:rPr/>
        <w:t>Přílohy /</w:t>
        <w:br/>
      </w:r>
      <w:r>
        <w:rPr>
          <w:i/>
          <w:iCs/>
          <w:sz w:val="36"/>
          <w:szCs w:val="36"/>
        </w:rPr>
        <w:t>Annexes</w:t>
      </w:r>
      <w:bookmarkEnd w:id="291"/>
    </w:p>
    <w:p>
      <w:pPr>
        <w:pStyle w:val="Heading2"/>
        <w:numPr>
          <w:ilvl w:val="0"/>
          <w:numId w:val="0"/>
        </w:numPr>
        <w:ind w:hanging="0" w:left="114" w:right="284"/>
        <w:rPr/>
      </w:pPr>
      <w:bookmarkStart w:id="292" w:name="_Toc229057940"/>
      <w:r>
        <w:rPr/>
        <w:t>A. Vyžádání podkladů a informací od mobilních operátorů</w:t>
      </w:r>
      <w:bookmarkEnd w:id="292"/>
    </w:p>
    <w:p>
      <w:pPr>
        <w:pStyle w:val="TextprostkdynenAJ"/>
        <w:rPr/>
      </w:pPr>
      <w:r>
        <w:rPr/>
        <w:t>Úřad od mobilních operátorů vyžádal tyto podklady a informace:</w:t>
      </w:r>
    </w:p>
    <w:p>
      <w:pPr>
        <w:pStyle w:val="TextslovankdynenAJ"/>
        <w:numPr>
          <w:ilvl w:val="0"/>
          <w:numId w:val="6"/>
        </w:numPr>
        <w:ind w:hanging="360" w:left="720" w:right="0"/>
        <w:rPr/>
      </w:pPr>
      <w:r>
        <w:rPr/>
        <w:t>Poskytněte prosím Úřadu úplnou kopii Vašich dat a databází</w:t>
      </w:r>
      <w:r>
        <w:rPr>
          <w:rStyle w:val="FootnoteReference"/>
          <w:vertAlign w:val="superscript"/>
        </w:rPr>
        <w:footnoteReference w:id="142"/>
      </w:r>
      <w:r>
        <w:rPr/>
        <w:t xml:space="preserve"> obsahujících podkladová data pro jednotlivé transakční záznamy a sloužících k vystavení </w:t>
      </w:r>
      <w:r>
        <w:rPr>
          <w:b/>
          <w:bCs/>
        </w:rPr>
        <w:t>vyúčtování Vámi poskytovaných mobilních služeb a ostatních služeb nacházejících se na takovém vyúčtování</w:t>
      </w:r>
      <w:r>
        <w:rPr>
          <w:rStyle w:val="FootnoteReference"/>
          <w:b/>
          <w:bCs/>
          <w:vertAlign w:val="superscript"/>
        </w:rPr>
        <w:footnoteReference w:id="143"/>
      </w:r>
      <w:r>
        <w:rPr/>
        <w:t xml:space="preserve"> Vašim zákazníkům, fyzickým osobám, za období od 1. 1. 2018 do 31. 10. 2025 s odstraněním jména, příjmení, ulice a popisného a orientačního čísla adresy bydliště a fakturační adresy. Pro vyloučení veškerých pochybností po Vás Úřad žádá úplnou kopii údajů, které se zobrazují ve vyúčtování služeb za dané období</w:t>
      </w:r>
      <w:r>
        <w:rPr>
          <w:rStyle w:val="FootnoteReference"/>
          <w:vertAlign w:val="superscript"/>
        </w:rPr>
        <w:footnoteReference w:id="144"/>
      </w:r>
      <w:r>
        <w:rPr/>
        <w:t xml:space="preserve"> a které v sobě zahrnují vyúčtování za služby mobilních elektronických komunikací, a to vč. všech jiných než mobilních služeb nacházejících se na takovém vyúčtování. U všech zákazníků, fyzických osob, dále poskytněte údaj o roku narození, věku nebo prvních 2 číslicích rodného čísla a pohlaví, pokud těmito údaji disponujete, a PSČ adresy bydliště a fakturační adresy.</w:t>
      </w:r>
    </w:p>
    <w:p>
      <w:pPr>
        <w:pStyle w:val="TextslovankdynenAJ"/>
        <w:numPr>
          <w:ilvl w:val="0"/>
          <w:numId w:val="6"/>
        </w:numPr>
        <w:ind w:hanging="360" w:left="720" w:right="0"/>
        <w:rPr/>
      </w:pPr>
      <w:r>
        <w:rPr/>
        <w:t>Poskytněte Úřadu úplnou kopii Vašich dat a databází</w:t>
      </w:r>
      <w:r>
        <w:rPr>
          <w:rStyle w:val="FootnoteReference"/>
          <w:vertAlign w:val="superscript"/>
        </w:rPr>
        <w:footnoteReference w:id="145"/>
      </w:r>
      <w:r>
        <w:rPr/>
        <w:t xml:space="preserve"> obsahujících podkladová data pro </w:t>
      </w:r>
      <w:r>
        <w:rPr>
          <w:b/>
          <w:bCs/>
        </w:rPr>
        <w:t>rozpis vyúčtování za všechny služby</w:t>
      </w:r>
      <w:r>
        <w:rPr>
          <w:rStyle w:val="FootnoteReference"/>
          <w:b/>
          <w:bCs/>
          <w:vertAlign w:val="superscript"/>
        </w:rPr>
        <w:footnoteReference w:id="146"/>
      </w:r>
      <w:r>
        <w:rPr/>
        <w:t xml:space="preserve"> uvedené na vyúčtováních předložených v rámci předchozího bodu za období, po které vyžádanými informacemi disponujete, v období od 1. 1. 2018 do 31. 10. 2025 s odstraněním jména, příjmení, ulice a adres fyzických osob při současném ponechání identifikátoru umožňujícího propojení tabulek vyžádaných v tomto a předchozím bodě.</w:t>
      </w:r>
    </w:p>
    <w:p>
      <w:pPr>
        <w:pStyle w:val="TextslovankdynenAJ"/>
        <w:numPr>
          <w:ilvl w:val="0"/>
          <w:numId w:val="6"/>
        </w:numPr>
        <w:ind w:hanging="360" w:left="720" w:right="0"/>
        <w:rPr/>
      </w:pPr>
      <w:r>
        <w:rPr/>
        <w:t>Poskytněte Úřadu obdobné údaje z Vašich dat a databází vyžádané v písm. a) a b) i pro předplacené mobilní telekomunikační služby, tj. např. (měsíční) vyúčtování, název a rozpis využitých služeb, záznam o předplacení služeb, upozornění na vyčerpání kreditu atp.</w:t>
      </w:r>
    </w:p>
    <w:p>
      <w:pPr>
        <w:pStyle w:val="TextslovankdynenAJ"/>
        <w:numPr>
          <w:ilvl w:val="0"/>
          <w:numId w:val="6"/>
        </w:numPr>
        <w:ind w:hanging="360" w:left="720" w:right="0"/>
        <w:rPr/>
      </w:pPr>
      <w:r>
        <w:rPr/>
        <w:t>Předložte Úřadu:</w:t>
      </w:r>
    </w:p>
    <w:p>
      <w:pPr>
        <w:pStyle w:val="TextspsmenkykdynenAJ"/>
        <w:numPr>
          <w:ilvl w:val="0"/>
          <w:numId w:val="7"/>
        </w:numPr>
        <w:ind w:hanging="360" w:left="1080" w:right="0"/>
        <w:rPr/>
      </w:pPr>
      <w:r>
        <w:rPr/>
        <w:t>kompletní obratové předvahy</w:t>
      </w:r>
      <w:r>
        <w:rPr>
          <w:rStyle w:val="FootnoteReference"/>
          <w:vertAlign w:val="superscript"/>
        </w:rPr>
        <w:footnoteReference w:id="147"/>
      </w:r>
      <w:r>
        <w:rPr/>
        <w:t xml:space="preserve"> dostupné z Vašich účetních systémů na úrovni syntetických a analytických účtů pro každé účetní období zvlášť za roky 2018</w:t>
      </w:r>
      <w:r>
        <w:rPr>
          <w:rStyle w:val="FootnoteReference"/>
          <w:vertAlign w:val="superscript"/>
        </w:rPr>
        <w:footnoteReference w:id="148"/>
      </w:r>
      <w:r>
        <w:rPr/>
        <w:t xml:space="preserve"> až 2024 a za období roku 2025 do 31. 10. 2025, a to za činnosti pokrývající a související s výstavbou a provozováním mobilních sítí a poskytováním mobilních telekomunikačních služeb,</w:t>
      </w:r>
    </w:p>
    <w:p>
      <w:pPr>
        <w:pStyle w:val="TextspsmenkykdynenAJ"/>
        <w:numPr>
          <w:ilvl w:val="0"/>
          <w:numId w:val="7"/>
        </w:numPr>
        <w:ind w:hanging="360" w:left="1080" w:right="0"/>
        <w:rPr/>
      </w:pPr>
      <w:r>
        <w:rPr/>
        <w:t>účtový rozvrh Vaší společnosti v podrobnosti členění dle syntetických a analytických účtů a specifikace jejich slovního názvu a</w:t>
      </w:r>
    </w:p>
    <w:p>
      <w:pPr>
        <w:pStyle w:val="TextspsmenkykdynenAJ"/>
        <w:numPr>
          <w:ilvl w:val="0"/>
          <w:numId w:val="7"/>
        </w:numPr>
        <w:ind w:hanging="360" w:left="1080" w:right="0"/>
        <w:rPr/>
      </w:pPr>
      <w:r>
        <w:rPr/>
        <w:t>vymezte účetní období, pokud nejsou zřejmá z obratových předvah</w:t>
      </w:r>
      <w:r>
        <w:rPr>
          <w:rStyle w:val="FootnoteReference"/>
          <w:vertAlign w:val="superscript"/>
        </w:rPr>
        <w:footnoteReference w:id="149"/>
      </w:r>
      <w:r>
        <w:rPr/>
        <w:t>.</w:t>
      </w:r>
    </w:p>
    <w:p>
      <w:pPr>
        <w:pStyle w:val="TextslovankdynenAJ"/>
        <w:numPr>
          <w:ilvl w:val="0"/>
          <w:numId w:val="6"/>
        </w:numPr>
        <w:ind w:hanging="360" w:left="720" w:right="0"/>
        <w:rPr/>
      </w:pPr>
      <w:r>
        <w:rPr/>
        <w:t>Za období od 1. 1. 2018 do 31. 10. 2025 poskytněte seznam telefonních čísel, u kterých:</w:t>
      </w:r>
    </w:p>
    <w:p>
      <w:pPr>
        <w:pStyle w:val="TextspsmenkykdynenAJ"/>
        <w:numPr>
          <w:ilvl w:val="0"/>
          <w:numId w:val="56"/>
        </w:numPr>
        <w:ind w:hanging="360" w:left="1080" w:right="0"/>
        <w:rPr/>
      </w:pPr>
      <w:r>
        <w:rPr/>
        <w:t>se změnil odběratel mobilních telekomunikačních služeb z fyzické osoby na právnickou osobu a</w:t>
      </w:r>
    </w:p>
    <w:p>
      <w:pPr>
        <w:pStyle w:val="TextspsmenkykdynenAJ"/>
        <w:numPr>
          <w:ilvl w:val="0"/>
          <w:numId w:val="7"/>
        </w:numPr>
        <w:ind w:hanging="360" w:left="1080" w:right="0"/>
        <w:rPr/>
      </w:pPr>
      <w:r>
        <w:rPr/>
        <w:t>se změnil odběratel mobilních telekomunikačních služeb z právnické osoby na fyzickou osobu, a to včetně uvedení data, ke kterému ke změně došlo.</w:t>
      </w:r>
    </w:p>
    <w:p>
      <w:pPr>
        <w:pStyle w:val="TextslovankdynenAJ"/>
        <w:numPr>
          <w:ilvl w:val="0"/>
          <w:numId w:val="6"/>
        </w:numPr>
        <w:ind w:hanging="360" w:left="720" w:right="0"/>
        <w:rPr/>
      </w:pPr>
      <w:r>
        <w:rPr/>
        <w:t>Předložte prosím všechny kompletní ceníky mobilních telekomunikačních služeb, příp. včetně jim odpovídajících uplatňovaných slevových schémat, platné ve sledovaném období a uveďte období jejich platnosti, pokud to bude možné ve strojově čitelném a zpracovatelném formátu.</w:t>
      </w:r>
    </w:p>
    <w:p>
      <w:pPr>
        <w:pStyle w:val="TextslovankdynenAJ"/>
        <w:numPr>
          <w:ilvl w:val="0"/>
          <w:numId w:val="6"/>
        </w:numPr>
        <w:ind w:hanging="360" w:left="720" w:right="0"/>
        <w:rPr/>
      </w:pPr>
      <w:r>
        <w:rPr/>
        <w:t>Předložte kompletní pokyny, metodiky nebo podklady používané při Vaší obchodní činnosti Vašimi zaměstnanci a obchodními zástupci nebo zaměstnanci a obchodními zástupci třetích stran nabízejícími Vaše mobilní telekomunikační služby při sjednávání neceníkových nabídek a používaných ve sledovaném období.</w:t>
      </w:r>
    </w:p>
    <w:p>
      <w:pPr>
        <w:pStyle w:val="Heading2"/>
        <w:numPr>
          <w:ilvl w:val="0"/>
          <w:numId w:val="0"/>
        </w:numPr>
        <w:ind w:hanging="0" w:left="114" w:right="284"/>
        <w:rPr>
          <w:lang w:eastAsia="cs-CZ"/>
        </w:rPr>
      </w:pPr>
      <w:bookmarkStart w:id="293" w:name="_Toc229057941"/>
      <w:r>
        <w:rPr>
          <w:lang w:eastAsia="cs-CZ"/>
        </w:rPr>
        <w:t>B. Upravené vyžádání podkladů a informací</w:t>
      </w:r>
      <w:bookmarkEnd w:id="293"/>
    </w:p>
    <w:p>
      <w:pPr>
        <w:pStyle w:val="TextprostkdynenAJ"/>
        <w:rPr/>
      </w:pPr>
      <w:r>
        <w:rPr/>
        <w:t>Úřad od mobilních operátorů vyžádal tyto podklady a informace reformulovanými otázkami:</w:t>
      </w:r>
    </w:p>
    <w:p>
      <w:pPr>
        <w:pStyle w:val="TextslovankdynenAJ"/>
        <w:numPr>
          <w:ilvl w:val="0"/>
          <w:numId w:val="57"/>
        </w:numPr>
        <w:ind w:hanging="360" w:left="720" w:right="0"/>
        <w:rPr>
          <w:i/>
          <w:i/>
          <w:iCs/>
        </w:rPr>
      </w:pPr>
      <w:r>
        <w:rPr/>
        <w:t>Poskytněte Úřadu údaje</w:t>
      </w:r>
      <w:r>
        <w:rPr>
          <w:rStyle w:val="FootnoteReference"/>
          <w:vertAlign w:val="superscript"/>
        </w:rPr>
        <w:footnoteReference w:id="150"/>
      </w:r>
      <w:r>
        <w:rPr/>
        <w:t xml:space="preserve"> z vystavených vyúčtování Vašim zákazníkům (fyzickým osobám) v období od 1. 1. 2018 do 31. 10. 2025 a vybrané údaje o těchto zákaznících, a to konkrétně:</w:t>
      </w:r>
    </w:p>
    <w:p>
      <w:pPr>
        <w:pStyle w:val="TextspsmenkykdynenAJ"/>
        <w:numPr>
          <w:ilvl w:val="0"/>
          <w:numId w:val="58"/>
        </w:numPr>
        <w:ind w:hanging="360" w:left="1080" w:right="0"/>
        <w:rPr/>
      </w:pPr>
      <w:r>
        <w:rPr/>
        <w:t>mobilní telefonní číslo a k němu poskytnuté mobilní telekomunikační služby, včetně všech dalších služeb na dotčeném vyúčtování a úplat za ně, v daném zúčtovacím období,</w:t>
      </w:r>
    </w:p>
    <w:p>
      <w:pPr>
        <w:pStyle w:val="TextspsmenkykdynenAJ"/>
        <w:numPr>
          <w:ilvl w:val="0"/>
          <w:numId w:val="7"/>
        </w:numPr>
        <w:ind w:hanging="360" w:left="1080" w:right="0"/>
        <w:rPr/>
      </w:pPr>
      <w:r>
        <w:rPr/>
        <w:t>úplaty/platby za tyto mobilní telekomunikační služby,</w:t>
      </w:r>
    </w:p>
    <w:p>
      <w:pPr>
        <w:pStyle w:val="TextspsmenkykdynenAJ"/>
        <w:numPr>
          <w:ilvl w:val="0"/>
          <w:numId w:val="7"/>
        </w:numPr>
        <w:ind w:hanging="360" w:left="1080" w:right="0"/>
        <w:rPr/>
      </w:pPr>
      <w:r>
        <w:rPr/>
        <w:t>jejich přesný rozpis,</w:t>
      </w:r>
    </w:p>
    <w:p>
      <w:pPr>
        <w:pStyle w:val="TextspsmenkykdynenAJ"/>
        <w:numPr>
          <w:ilvl w:val="0"/>
          <w:numId w:val="7"/>
        </w:numPr>
        <w:ind w:hanging="360" w:left="1080" w:right="0"/>
        <w:rPr/>
      </w:pPr>
      <w:r>
        <w:rPr/>
        <w:t>ID zákazníka a datum a ID vyúčtování,</w:t>
      </w:r>
    </w:p>
    <w:p>
      <w:pPr>
        <w:pStyle w:val="TextspsmenkykdynenAJ"/>
        <w:numPr>
          <w:ilvl w:val="0"/>
          <w:numId w:val="7"/>
        </w:numPr>
        <w:ind w:hanging="360" w:left="1080" w:right="0"/>
        <w:rPr/>
      </w:pPr>
      <w:r>
        <w:rPr/>
        <w:t>poštovní směrovací číslo bydliště a fakturační adresy zákazníka,</w:t>
      </w:r>
    </w:p>
    <w:p>
      <w:pPr>
        <w:pStyle w:val="TextspsmenkykdynenAJ"/>
        <w:numPr>
          <w:ilvl w:val="0"/>
          <w:numId w:val="7"/>
        </w:numPr>
        <w:ind w:hanging="360" w:left="1080" w:right="0"/>
        <w:rPr/>
      </w:pPr>
      <w:r>
        <w:rPr/>
        <w:t>věk, rok narození nebo první dvě číslice rodného čísla zákazníka a</w:t>
      </w:r>
    </w:p>
    <w:p>
      <w:pPr>
        <w:pStyle w:val="TextspsmenkykdynenAJ"/>
        <w:numPr>
          <w:ilvl w:val="0"/>
          <w:numId w:val="7"/>
        </w:numPr>
        <w:ind w:hanging="360" w:left="1080" w:right="0"/>
        <w:rPr/>
      </w:pPr>
      <w:r>
        <w:rPr/>
        <w:t>jeho pohlaví.</w:t>
      </w:r>
    </w:p>
    <w:p>
      <w:pPr>
        <w:pStyle w:val="TextslovankdynenAJ"/>
        <w:numPr>
          <w:ilvl w:val="0"/>
          <w:numId w:val="6"/>
        </w:numPr>
        <w:ind w:hanging="360" w:left="720" w:right="0"/>
        <w:rPr/>
      </w:pPr>
      <w:r>
        <w:rPr/>
        <w:t>Obdobné údaje, jaké jsou požadovány v bodu 1, poskytněte také pro zákazníky s předplacenými mobilními telekomunikačními službami, které jste ve sledovaném období poskytovali.</w:t>
      </w:r>
    </w:p>
    <w:p>
      <w:pPr>
        <w:pStyle w:val="Heading2"/>
        <w:numPr>
          <w:ilvl w:val="0"/>
          <w:numId w:val="0"/>
        </w:numPr>
        <w:ind w:hanging="0" w:left="114" w:right="284"/>
        <w:rPr>
          <w:rFonts w:eastAsia="Times New Roman"/>
          <w:lang w:eastAsia="cs-CZ"/>
        </w:rPr>
      </w:pPr>
      <w:bookmarkStart w:id="294" w:name="_Toc229057942"/>
      <w:r>
        <w:rPr>
          <w:lang w:eastAsia="cs-CZ"/>
        </w:rPr>
        <w:t>C. Vyžádání podkladů a informací od virtuálních operátorů</w:t>
      </w:r>
      <w:bookmarkEnd w:id="294"/>
    </w:p>
    <w:p>
      <w:pPr>
        <w:pStyle w:val="TextprostkdynenAJ"/>
        <w:rPr/>
      </w:pPr>
      <w:r>
        <w:rPr/>
        <w:t>Sdf</w:t>
      </w:r>
    </w:p>
    <w:p>
      <w:pPr>
        <w:pStyle w:val="Heading2"/>
        <w:numPr>
          <w:ilvl w:val="0"/>
          <w:numId w:val="0"/>
        </w:numPr>
        <w:ind w:hanging="0" w:left="114" w:right="284"/>
        <w:rPr/>
      </w:pPr>
      <w:bookmarkStart w:id="295" w:name="_Toc229057943"/>
      <w:r>
        <w:rPr/>
        <w:t>X. Seznam proměnných shromážděných v sektorovém šetření /</w:t>
        <w:br/>
      </w:r>
      <w:r>
        <w:rPr>
          <w:i/>
          <w:iCs/>
          <w:sz w:val="24"/>
          <w:szCs w:val="24"/>
          <w:lang w:val="en-GB"/>
        </w:rPr>
        <w:t>List of variables assembled in the sector inquiry</w:t>
      </w:r>
      <w:bookmarkEnd w:id="295"/>
    </w:p>
    <w:p>
      <w:pPr>
        <w:pStyle w:val="Textkol"/>
        <w:rPr/>
      </w:pPr>
      <w:r>
        <w:rPr/>
        <w:t>XXX tady uvést tabulku všech proměnných shromážděných v šetření + základní popisná statistika (zkratka_název_vysvětlení; N, typ proměnné – string, NO., MM:HH DD/MM/RRRR,…) v rozdělení po tabulkách</w:t>
      </w:r>
    </w:p>
    <w:p>
      <w:pPr>
        <w:pStyle w:val="Tabulka"/>
        <w:numPr>
          <w:ilvl w:val="0"/>
          <w:numId w:val="3"/>
        </w:numPr>
        <w:ind w:hanging="1560" w:left="1560" w:right="0"/>
        <w:rPr/>
      </w:pPr>
      <w:bookmarkStart w:id="296" w:name="_Toc229058000"/>
      <w:r>
        <w:rPr/>
        <w:t>Tabulka ceníkových cen mobilních tarifů v EU č. 1</w:t>
      </w:r>
      <w:bookmarkEnd w:id="296"/>
    </w:p>
    <w:p>
      <w:pPr>
        <w:pStyle w:val="TabulkavAJ"/>
        <w:ind w:hanging="0" w:left="1560" w:right="0"/>
        <w:rPr/>
      </w:pPr>
      <w:bookmarkStart w:id="297" w:name="_Toc229060862"/>
      <w:r>
        <w:rPr/>
        <w:t>Table of List Prices of Mobile Tariffs in the EU No. 1</w:t>
      </w:r>
      <w:bookmarkEnd w:id="297"/>
    </w:p>
    <w:p>
      <w:pPr>
        <w:pStyle w:val="Textkol"/>
        <w:rPr/>
      </w:pPr>
      <w:r>
        <w:rPr/>
        <w:t>Poprosím vložit příkaz</w:t>
      </w:r>
    </w:p>
    <w:p>
      <w:pPr>
        <w:pStyle w:val="Textkol"/>
        <w:rPr/>
      </w:pPr>
      <w:r>
        <w:rPr/>
        <w:t>Název proměnné, N, Min, max, průměr, medián, počet nul/chybějících pozorování?</w:t>
      </w:r>
    </w:p>
    <w:p>
      <w:pPr>
        <w:pStyle w:val="Zdroj"/>
        <w:rPr/>
      </w:pPr>
      <w:r>
        <w:rPr/>
        <w:t xml:space="preserve">Zdroj / Source: vlastní sběr Úřadu / </w:t>
      </w:r>
      <w:r>
        <w:rPr>
          <w:lang w:val="en-GB"/>
        </w:rPr>
        <w:t>primary data collected by the Office</w:t>
      </w:r>
      <w:r>
        <w:rPr/>
        <w:t>.</w:t>
      </w:r>
    </w:p>
    <w:p>
      <w:pPr>
        <w:pStyle w:val="Tabulka"/>
        <w:numPr>
          <w:ilvl w:val="0"/>
          <w:numId w:val="3"/>
        </w:numPr>
        <w:ind w:hanging="1560" w:left="1560" w:right="0"/>
        <w:rPr/>
      </w:pPr>
      <w:bookmarkStart w:id="298" w:name="_Toc229058001"/>
      <w:r>
        <w:rPr/>
        <w:t>Tabulka ceníkových cen mobilních tarifů v EU č. 2</w:t>
      </w:r>
      <w:bookmarkEnd w:id="298"/>
    </w:p>
    <w:p>
      <w:pPr>
        <w:pStyle w:val="TabulkavAJ"/>
        <w:ind w:hanging="0" w:left="1560" w:right="0"/>
        <w:rPr/>
      </w:pPr>
      <w:bookmarkStart w:id="299" w:name="_Toc229060863"/>
      <w:r>
        <w:rPr/>
        <w:t>Table of List Prices of Mobile Tariffs in the EU No. 2</w:t>
      </w:r>
      <w:bookmarkEnd w:id="299"/>
    </w:p>
    <w:p>
      <w:pPr>
        <w:pStyle w:val="Textkol"/>
        <w:rPr/>
      </w:pPr>
      <w:r>
        <w:rPr/>
        <w:t>Poprosím vložit příkaz</w:t>
      </w:r>
    </w:p>
    <w:p>
      <w:pPr>
        <w:pStyle w:val="Zdroj"/>
        <w:rPr/>
      </w:pPr>
      <w:r>
        <w:rPr/>
        <w:t xml:space="preserve">Zdroj / Source: vlastní sběr Úřadu / </w:t>
      </w:r>
      <w:r>
        <w:rPr>
          <w:lang w:val="en-GB"/>
        </w:rPr>
        <w:t>primary data collected by the Office</w:t>
      </w:r>
      <w:r>
        <w:rPr/>
        <w:t>.</w:t>
      </w:r>
    </w:p>
    <w:p>
      <w:pPr>
        <w:pStyle w:val="Tabulka"/>
        <w:numPr>
          <w:ilvl w:val="0"/>
          <w:numId w:val="3"/>
        </w:numPr>
        <w:ind w:hanging="1560" w:left="1560" w:right="0"/>
        <w:rPr/>
      </w:pPr>
      <w:bookmarkStart w:id="300" w:name="_Toc229058002"/>
      <w:r>
        <w:rPr/>
        <w:t>Národní tabulka vyúčtování</w:t>
      </w:r>
      <w:bookmarkEnd w:id="300"/>
    </w:p>
    <w:p>
      <w:pPr>
        <w:pStyle w:val="Textkol"/>
        <w:rPr/>
      </w:pPr>
      <w:r>
        <w:rPr/>
        <w:t>Poprosím vložit seznam proměnných</w:t>
      </w:r>
    </w:p>
    <w:p>
      <w:pPr>
        <w:pStyle w:val="Zdroj"/>
        <w:rPr/>
      </w:pPr>
      <w:r>
        <w:rPr/>
        <w:t>Zdroj: vlastní zpracování Úřadu.</w:t>
      </w:r>
    </w:p>
    <w:p>
      <w:pPr>
        <w:pStyle w:val="Tabulka"/>
        <w:numPr>
          <w:ilvl w:val="0"/>
          <w:numId w:val="3"/>
        </w:numPr>
        <w:ind w:hanging="1560" w:left="1560" w:right="0"/>
        <w:rPr/>
      </w:pPr>
      <w:bookmarkStart w:id="301" w:name="_Toc229058003"/>
      <w:r>
        <w:rPr/>
        <w:t>Národní tabulka rozpisu jednotlivých služeb</w:t>
      </w:r>
      <w:bookmarkEnd w:id="301"/>
    </w:p>
    <w:p>
      <w:pPr>
        <w:pStyle w:val="Textkol"/>
        <w:rPr/>
      </w:pPr>
      <w:r>
        <w:rPr/>
        <w:t>Tabulka</w:t>
      </w:r>
    </w:p>
    <w:p>
      <w:pPr>
        <w:pStyle w:val="Zdroj"/>
        <w:rPr/>
      </w:pPr>
      <w:r>
        <w:rPr/>
        <w:t>Zdroj: vlastní zpracování Úřadu.</w:t>
      </w:r>
    </w:p>
    <w:p>
      <w:pPr>
        <w:pStyle w:val="Tabulka"/>
        <w:numPr>
          <w:ilvl w:val="0"/>
          <w:numId w:val="3"/>
        </w:numPr>
        <w:ind w:hanging="1560" w:left="1560" w:right="0"/>
        <w:rPr/>
      </w:pPr>
      <w:bookmarkStart w:id="302" w:name="_Toc229058004"/>
      <w:r>
        <w:rPr/>
        <w:t>Národní tabulka přechodů mezi segmenty domácností a firem</w:t>
      </w:r>
      <w:bookmarkEnd w:id="302"/>
    </w:p>
    <w:p>
      <w:pPr>
        <w:pStyle w:val="Textkol"/>
        <w:rPr/>
      </w:pPr>
      <w:r>
        <w:rPr/>
        <w:t>Tabulka</w:t>
      </w:r>
    </w:p>
    <w:p>
      <w:pPr>
        <w:pStyle w:val="Zdroj"/>
        <w:rPr/>
      </w:pPr>
      <w:r>
        <w:rPr/>
        <w:t>Zdroj: vlastní zpracování Úřadu.</w:t>
      </w:r>
    </w:p>
    <w:p>
      <w:pPr>
        <w:pStyle w:val="Tabulka"/>
        <w:numPr>
          <w:ilvl w:val="0"/>
          <w:numId w:val="3"/>
        </w:numPr>
        <w:ind w:hanging="1560" w:left="1560" w:right="0"/>
        <w:rPr/>
      </w:pPr>
      <w:bookmarkStart w:id="303" w:name="_Toc229058005"/>
      <w:r>
        <w:rPr/>
        <w:t>Tabulka účetních údajů</w:t>
      </w:r>
      <w:bookmarkEnd w:id="303"/>
    </w:p>
    <w:p>
      <w:pPr>
        <w:pStyle w:val="Textkol"/>
        <w:rPr/>
      </w:pPr>
      <w:r>
        <w:rPr/>
        <w:t>Tabulka</w:t>
      </w:r>
    </w:p>
    <w:p>
      <w:pPr>
        <w:pStyle w:val="Zdroj"/>
        <w:rPr/>
      </w:pPr>
      <w:r>
        <w:rPr/>
        <w:t>Zdroj: vlastní zpracování Úřadu.</w:t>
      </w:r>
    </w:p>
    <w:p>
      <w:pPr>
        <w:pStyle w:val="Normal"/>
        <w:rPr/>
      </w:pPr>
      <w:r>
        <w:rPr/>
      </w:r>
    </w:p>
    <w:p>
      <w:pPr>
        <w:pStyle w:val="Normal"/>
        <w:rPr/>
      </w:pPr>
      <w:r>
        <w:rPr/>
      </w:r>
      <w:r>
        <w:br w:type="page"/>
      </w:r>
    </w:p>
    <w:p>
      <w:pPr>
        <w:pStyle w:val="Normal"/>
        <w:spacing w:lineRule="auto" w:line="259" w:before="0" w:after="160"/>
        <w:ind w:left="0" w:right="0"/>
        <w:jc w:val="left"/>
        <w:rPr/>
      </w:pPr>
      <w:r>
        <w:rPr/>
        <mc:AlternateContent>
          <mc:Choice Requires="wps">
            <w:drawing>
              <wp:anchor behindDoc="1" distT="6350" distB="6350" distL="6350" distR="6350" simplePos="0" locked="0" layoutInCell="0" allowOverlap="1" relativeHeight="8" wp14:anchorId="279F9C31">
                <wp:simplePos x="0" y="0"/>
                <wp:positionH relativeFrom="margin">
                  <wp:align>center</wp:align>
                </wp:positionH>
                <wp:positionV relativeFrom="paragraph">
                  <wp:posOffset>-603885</wp:posOffset>
                </wp:positionV>
                <wp:extent cx="7600950" cy="10801350"/>
                <wp:effectExtent l="6350" t="6350" r="6350" b="6350"/>
                <wp:wrapNone/>
                <wp:docPr id="9" name="Obdélník 2"/>
                <a:graphic xmlns:a="http://schemas.openxmlformats.org/drawingml/2006/main">
                  <a:graphicData uri="http://schemas.microsoft.com/office/word/2010/wordprocessingShape">
                    <wps:wsp>
                      <wps:cNvSpPr/>
                      <wps:spPr>
                        <a:xfrm>
                          <a:off x="0" y="0"/>
                          <a:ext cx="7601040" cy="10801440"/>
                        </a:xfrm>
                        <a:prstGeom prst="rect">
                          <a:avLst/>
                        </a:prstGeom>
                        <a:solidFill>
                          <a:srgbClr val="0c1838"/>
                        </a:solidFill>
                        <a:ln>
                          <a:solidFill>
                            <a:srgbClr val="0c1838"/>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ect id="shape_0" ID="Obdélník 2" path="m0,0l-2147483645,0l-2147483645,-2147483646l0,-2147483646xe" fillcolor="#0c1838" stroked="t" o:allowincell="f" style="position:absolute;margin-left:-72.5pt;margin-top:-47.55pt;width:598.45pt;height:850.45pt;mso-wrap-style:none;v-text-anchor:middle;mso-position-horizontal:center;mso-position-horizontal-relative:margin" wp14:anchorId="279F9C31">
                <v:fill o:detectmouseclick="t" type="solid" color2="#f3e7c7"/>
                <v:stroke color="#0c1838" weight="12600" joinstyle="miter" endcap="flat"/>
                <w10:wrap type="none"/>
              </v:rect>
            </w:pict>
          </mc:Fallback>
        </mc:AlternateContent>
      </w:r>
    </w:p>
    <w:p>
      <w:pPr>
        <w:pStyle w:val="Normal"/>
        <w:spacing w:lineRule="auto" w:line="259" w:before="0" w:after="160"/>
        <w:ind w:left="0" w:right="0"/>
        <w:jc w:val="left"/>
        <w:rPr/>
      </w:pPr>
      <w:r>
        <w:rPr/>
        <w:drawing>
          <wp:anchor behindDoc="1" distT="0" distB="0" distL="0" distR="0" simplePos="0" locked="0" layoutInCell="0" allowOverlap="1" relativeHeight="9">
            <wp:simplePos x="0" y="0"/>
            <wp:positionH relativeFrom="margin">
              <wp:align>center</wp:align>
            </wp:positionH>
            <wp:positionV relativeFrom="paragraph">
              <wp:posOffset>4043680</wp:posOffset>
            </wp:positionV>
            <wp:extent cx="1985010" cy="791845"/>
            <wp:effectExtent l="0" t="0" r="0" b="0"/>
            <wp:wrapNone/>
            <wp:docPr id="10" name="Image4" descr="Obsah obrázku text, Písmo, Grafika, snímek obrazovky&#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 descr="Obsah obrázku text, Písmo, Grafika, snímek obrazovky&#10;&#10;Obsah generovaný pomocí AI může být nesprávný."/>
                    <pic:cNvPicPr>
                      <a:picLocks noChangeAspect="1" noChangeArrowheads="1"/>
                    </pic:cNvPicPr>
                  </pic:nvPicPr>
                  <pic:blipFill>
                    <a:blip r:embed="rId40"/>
                    <a:stretch>
                      <a:fillRect/>
                    </a:stretch>
                  </pic:blipFill>
                  <pic:spPr bwMode="auto">
                    <a:xfrm>
                      <a:off x="0" y="0"/>
                      <a:ext cx="1985010" cy="791845"/>
                    </a:xfrm>
                    <a:prstGeom prst="rect">
                      <a:avLst/>
                    </a:prstGeom>
                  </pic:spPr>
                </pic:pic>
              </a:graphicData>
            </a:graphic>
          </wp:anchor>
        </w:drawing>
      </w:r>
    </w:p>
    <w:sectPr>
      <w:headerReference w:type="default" r:id="rId41"/>
      <w:headerReference w:type="first" r:id="rId42"/>
      <w:footerReference w:type="default" r:id="rId43"/>
      <w:footerReference w:type="first" r:id="rId44"/>
      <w:footnotePr>
        <w:numFmt w:val="decimal"/>
      </w:footnotePr>
      <w:type w:val="nextPage"/>
      <w:pgSz w:w="11906" w:h="16838"/>
      <w:pgMar w:left="1474" w:right="1361" w:gutter="0" w:header="709" w:top="766" w:footer="709" w:bottom="766"/>
      <w:pgNumType w:start="1" w:fmt="lowerRoman"/>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Machay Martin" w:date="2026-04-24T14:42:00Z" w:initials="MM">
    <w:p>
      <w:pPr>
        <w:overflowPunct w:val="true"/>
        <w:spacing w:before="0" w:after="0"/>
        <w:jc w:val="left"/>
        <w:rPr/>
      </w:pPr>
      <w:r>
        <w:rPr>
          <w:rFonts w:ascii="Liberation Serif" w:hAnsi="Liberation Serif" w:eastAsia="DejaVu Sans" w:cs="Noto Sans Arabic"/>
          <w:sz w:val="24"/>
          <w:szCs w:val="24"/>
          <w:lang w:val="en-US" w:eastAsia="en-US" w:bidi="en-US"/>
        </w:rPr>
        <w:t>V manažerském shrnutí skutečně jen odstavec odrážející měsíce práce😃</w:t>
      </w:r>
    </w:p>
  </w:comment>
  <w:comment w:id="1" w:author="Machay Martin" w:date="2026-03-11T09:46:00Z" w:initials="MM">
    <w:p>
      <w:pPr>
        <w:overflowPunct w:val="false"/>
        <w:spacing w:before="0" w:after="0"/>
        <w:jc w:val="left"/>
        <w:rPr/>
      </w:pPr>
      <w:r>
        <w:rPr>
          <w:rFonts w:ascii="Liberation Serif" w:hAnsi="Liberation Serif" w:eastAsia="DejaVu Sans" w:cs="Noto Sans Arabic"/>
          <w:sz w:val="24"/>
          <w:szCs w:val="24"/>
          <w:lang w:val="en-US" w:eastAsia="en-US" w:bidi="en-US"/>
        </w:rPr>
        <w:t>Zvážil bych uvést pouze tady. Tím by manažerské shrnutí bylo nejdůležitější částí zprávy, protože text dále „jen“ vysvětluje a odůvodňuje. Byl by to ekvivalent např. OOP ČTÚ = nejdřív právní hmota a za ní zavěšené důvody</w:t>
      </w:r>
    </w:p>
  </w:comment>
  <w:comment w:id="2" w:author="Machay Martin" w:date="2026-02-27T13:58:00Z" w:initials="MM">
    <w:p>
      <w:pPr>
        <w:overflowPunct w:val="false"/>
        <w:spacing w:before="0" w:after="0"/>
        <w:jc w:val="left"/>
        <w:rPr/>
      </w:pPr>
      <w:r>
        <w:rPr>
          <w:rFonts w:ascii="Liberation Serif" w:hAnsi="Liberation Serif" w:eastAsia="DejaVu Sans" w:cs="Noto Sans Arabic"/>
          <w:sz w:val="24"/>
          <w:szCs w:val="24"/>
          <w:lang w:val="en-US" w:eastAsia="en-US" w:bidi="en-US"/>
        </w:rPr>
        <w:t>Zatím jen zadefinované styly</w:t>
      </w:r>
    </w:p>
  </w:comment>
  <w:comment w:id="3" w:author="Habartová Julie" w:date="2026-05-11T09:45:00Z" w:initials="JH">
    <w:p>
      <w:pPr>
        <w:overflowPunct w:val="false"/>
        <w:spacing w:before="0" w:after="0"/>
        <w:jc w:val="left"/>
        <w:rPr/>
      </w:pPr>
      <w:r>
        <w:rPr>
          <w:rFonts w:ascii="Liberation Serif" w:hAnsi="Liberation Serif" w:eastAsia="DejaVu Sans" w:cs="Noto Sans Arabic"/>
          <w:sz w:val="24"/>
          <w:szCs w:val="24"/>
          <w:lang w:val="en-US" w:eastAsia="en-US" w:bidi="en-US"/>
        </w:rPr>
        <w:t>Přesunula jsem k první zmínce.</w:t>
      </w:r>
    </w:p>
  </w:comment>
  <w:comment w:id="4" w:author="Machay Martin" w:date="2026-03-08T09:57:00Z" w:initials="MM">
    <w:p>
      <w:pPr>
        <w:overflowPunct w:val="true"/>
        <w:spacing w:before="0" w:after="0"/>
        <w:jc w:val="left"/>
        <w:rPr/>
      </w:pPr>
      <w:r>
        <w:rPr>
          <w:rFonts w:ascii="Liberation Serif" w:hAnsi="Liberation Serif" w:eastAsia="DejaVu Sans" w:cs="Noto Sans Arabic"/>
          <w:sz w:val="24"/>
          <w:szCs w:val="24"/>
          <w:lang w:val="en-US" w:eastAsia="en-US" w:bidi="en-US"/>
        </w:rPr>
        <w:t>Předchozí část první graf</w:t>
      </w:r>
    </w:p>
  </w:comment>
  <w:comment w:id="5" w:author="Machay Martin" w:date="2026-05-07T13:59:00Z" w:initials="MM">
    <w:p>
      <w:pPr>
        <w:overflowPunct w:val="false"/>
        <w:spacing w:before="0" w:after="0"/>
        <w:jc w:val="left"/>
        <w:rPr/>
      </w:pPr>
      <w:r>
        <w:rPr>
          <w:rFonts w:ascii="Liberation Serif" w:hAnsi="Liberation Serif" w:eastAsia="DejaVu Sans" w:cs="Noto Sans Arabic"/>
          <w:sz w:val="24"/>
          <w:szCs w:val="24"/>
          <w:lang w:val="en-US" w:eastAsia="en-US" w:bidi="en-US"/>
        </w:rPr>
        <w:t>Poprosím někde ve výročkách ČTÚ dohledat proporci mezi pre paid a post paid mobilními službami (ideálně v segmentu domácností - když ne tak za celou ČR)</w:t>
      </w:r>
    </w:p>
  </w:comment>
  <w:comment w:id="7" w:author="Habartová Julie" w:date="2026-03-26T10:08:00Z" w:initials="JH">
    <w:p w14:paraId="01000000">
      <w:pPr>
        <w:overflowPunct w:val="false"/>
        <w:spacing w:before="0" w:after="0"/>
        <w:jc w:val="left"/>
        <w:rPr/>
      </w:pPr>
      <w:r>
        <w:rPr>
          <w:rFonts w:ascii="Liberation Serif" w:hAnsi="Liberation Serif" w:eastAsia="DejaVu Sans" w:cs="Noto Sans Arabic"/>
          <w:sz w:val="24"/>
          <w:szCs w:val="24"/>
          <w:lang w:val="en-US" w:eastAsia="en-US" w:bidi="en-US"/>
        </w:rPr>
        <w:t>Tady bych si dala pozor na to, aby to nesklouzlo k podobě diplomové práce nebo k učebnici. Za mě bych uváděla, z čeho vycházíme a stručně souvislosti. První dva odst. mi např. přijdou trochu zbytečné, i když chápu, že je zde snaha to zasadit do určitého kontextu.</w:t>
      </w:r>
    </w:p>
  </w:comment>
  <w:comment w:id="6" w:author="Machay Martin" w:date="2026-04-08T17:28:00Z" w:initials="MM">
    <w:p w14:paraId="02000000">
      <w:pPr>
        <w:overflowPunct w:val="false"/>
        <w:spacing w:before="0" w:after="0"/>
        <w:jc w:val="left"/>
        <w:rPr/>
      </w:pPr>
      <w:r>
        <w:rPr>
          <w:rFonts w:ascii="Liberation Serif" w:hAnsi="Liberation Serif" w:eastAsia="DejaVu Sans" w:cs="Noto Sans Arabic"/>
          <w:sz w:val="24"/>
          <w:szCs w:val="24"/>
          <w:lang w:val="en-US" w:eastAsia="en-US" w:bidi="en-US"/>
        </w:rPr>
        <w:t>Až to dotextuju, tak uvidím, jestli se to použije… jen musím hodit na papír P0 a PE, které budeme používat jako test. Kdyby pak bylo něco nadbytečného vyhodíme☺️</w:t>
      </w:r>
    </w:p>
  </w:comment>
  <w:comment w:id="8" w:author="Machay Martin" w:date="2026-04-23T13:28:00Z" w:initials="MM">
    <w:p>
      <w:pPr>
        <w:overflowPunct w:val="true"/>
        <w:spacing w:before="0" w:after="0"/>
        <w:jc w:val="left"/>
        <w:rPr/>
      </w:pPr>
      <w:r>
        <w:rPr>
          <w:rFonts w:ascii="Liberation Serif" w:hAnsi="Liberation Serif" w:eastAsia="DejaVu Sans" w:cs="Noto Sans Arabic"/>
          <w:sz w:val="24"/>
          <w:szCs w:val="24"/>
          <w:lang w:val="en-US" w:eastAsia="en-US" w:bidi="en-US"/>
        </w:rPr>
        <w:t>Odčerpaný přebytek</w:t>
      </w:r>
    </w:p>
  </w:comment>
  <w:comment w:id="9" w:author="Machay Martin" w:date="2026-04-30T15:57:00Z" w:initials="MM">
    <w:p>
      <w:pPr>
        <w:overflowPunct w:val="false"/>
        <w:spacing w:before="0" w:after="0"/>
        <w:jc w:val="left"/>
        <w:rPr/>
      </w:pPr>
      <w:r>
        <w:rPr>
          <w:rFonts w:ascii="Liberation Serif" w:hAnsi="Liberation Serif" w:eastAsia="DejaVu Sans" w:cs="Noto Sans Arabic"/>
          <w:sz w:val="24"/>
          <w:szCs w:val="24"/>
          <w:lang w:val="en-US" w:eastAsia="en-US" w:bidi="en-US"/>
        </w:rPr>
        <w:t>Ještě se musí promyslet</w:t>
      </w:r>
    </w:p>
  </w:comment>
  <w:comment w:id="10" w:author="Machay Martin" w:date="2026-05-07T15:12:00Z" w:initials="MM">
    <w:p>
      <w:pPr>
        <w:overflowPunct w:val="false"/>
        <w:spacing w:before="0" w:after="0"/>
        <w:jc w:val="left"/>
        <w:rPr/>
      </w:pPr>
      <w:r>
        <w:rPr>
          <w:rFonts w:ascii="Liberation Serif" w:hAnsi="Liberation Serif" w:eastAsia="DejaVu Sans" w:cs="Noto Sans Arabic"/>
          <w:sz w:val="24"/>
          <w:szCs w:val="24"/>
          <w:lang w:val="en-US" w:eastAsia="en-US" w:bidi="en-US"/>
        </w:rPr>
        <w:t>Tohle mi přijde zbytečné</w:t>
      </w:r>
    </w:p>
  </w:comment>
  <w:comment w:id="11" w:author="Machay Martin" w:date="2026-05-07T15:16:00Z" w:initials="MM">
    <w:p>
      <w:pPr>
        <w:overflowPunct w:val="true"/>
        <w:spacing w:before="0" w:after="0"/>
        <w:jc w:val="left"/>
        <w:rPr/>
      </w:pPr>
      <w:r>
        <w:rPr>
          <w:rFonts w:ascii="Liberation Serif" w:hAnsi="Liberation Serif" w:eastAsia="DejaVu Sans" w:cs="Noto Sans Arabic"/>
          <w:sz w:val="24"/>
          <w:szCs w:val="24"/>
          <w:lang w:val="en-US" w:eastAsia="en-US" w:bidi="en-US"/>
        </w:rPr>
        <w:t>Poprosím o doplnění citace (čj.) a toho bodu, ve kterém mluví o transakčních datech jako o „agregovaných“ - tam de facto potvrzuje, že taková data jsou přijatelná.</w:t>
      </w:r>
    </w:p>
  </w:comment>
  <w:comment w:id="13" w:author="Machay Martin" w:date="2026-04-30T15:41:00Z" w:initials="MM">
    <w:p w14:paraId="03000000">
      <w:pPr>
        <w:overflowPunct w:val="false"/>
        <w:spacing w:before="0" w:after="0"/>
        <w:jc w:val="left"/>
        <w:rPr/>
      </w:pPr>
      <w:r>
        <w:rPr>
          <w:rFonts w:ascii="Liberation Serif" w:hAnsi="Liberation Serif" w:eastAsia="DejaVu Sans" w:cs="Noto Sans Arabic"/>
          <w:sz w:val="24"/>
          <w:szCs w:val="24"/>
          <w:lang w:val="en-US" w:eastAsia="en-US" w:bidi="en-US"/>
        </w:rPr>
        <w:t>Upravil jsem název</w:t>
      </w:r>
    </w:p>
  </w:comment>
  <w:comment w:id="12" w:author="Machay Martin" w:date="2026-04-30T15:44:00Z" w:initials="MM">
    <w:p w14:paraId="04000000">
      <w:pPr>
        <w:overflowPunct w:val="false"/>
        <w:spacing w:before="0" w:after="0"/>
        <w:jc w:val="left"/>
        <w:rPr/>
      </w:pPr>
      <w:r>
        <w:rPr>
          <w:rFonts w:ascii="Liberation Serif" w:hAnsi="Liberation Serif" w:eastAsia="DejaVu Sans" w:cs="Noto Sans Arabic"/>
          <w:sz w:val="24"/>
          <w:szCs w:val="24"/>
          <w:lang w:val="en-US" w:eastAsia="en-US" w:bidi="en-US"/>
        </w:rPr>
        <w:t>Za mě super</w:t>
      </w:r>
    </w:p>
  </w:comment>
  <w:comment w:id="14" w:author="Machay Martin" w:date="2026-04-30T15:45:00Z" w:initials="MM">
    <w:p>
      <w:pPr>
        <w:overflowPunct w:val="true"/>
        <w:spacing w:before="0" w:after="0"/>
        <w:jc w:val="left"/>
        <w:rPr/>
      </w:pPr>
      <w:r>
        <w:rPr>
          <w:rFonts w:ascii="Liberation Serif" w:hAnsi="Liberation Serif" w:eastAsia="DejaVu Sans" w:cs="Noto Sans Arabic"/>
          <w:sz w:val="24"/>
          <w:szCs w:val="24"/>
          <w:lang w:val="en-US" w:eastAsia="en-US" w:bidi="en-US"/>
        </w:rPr>
        <w:t>Tohle už máme výše</w:t>
      </w:r>
    </w:p>
  </w:comment>
  <w:comment w:id="15" w:author="Habartová Julie" w:date="2026-04-15T09:36:00Z" w:initials="JH">
    <w:p>
      <w:pPr>
        <w:overflowPunct w:val="false"/>
        <w:spacing w:before="0" w:after="0"/>
        <w:jc w:val="left"/>
        <w:rPr/>
      </w:pPr>
      <w:r>
        <w:rPr>
          <w:rFonts w:ascii="Liberation Serif" w:hAnsi="Liberation Serif" w:eastAsia="DejaVu Sans" w:cs="Noto Sans Arabic"/>
          <w:sz w:val="24"/>
          <w:szCs w:val="24"/>
          <w:lang w:val="en-US" w:eastAsia="en-US" w:bidi="en-US"/>
        </w:rPr>
        <w:t>Asi bych nakonec zkratkovala jako ÚOHS, ať je to jednoznačnější.</w:t>
      </w:r>
    </w:p>
    <w:p>
      <w:pPr>
        <w:overflowPunct w:val="false"/>
        <w:spacing w:before="0" w:after="0"/>
        <w:jc w:val="left"/>
        <w:rPr/>
      </w:pPr>
      <w:r>
        <w:rPr>
          <w:rFonts w:ascii="Liberation Serif" w:hAnsi="Liberation Serif" w:eastAsia="DejaVu Sans" w:cs="Noto Sans Arabic"/>
          <w:sz w:val="24"/>
          <w:szCs w:val="24"/>
          <w:lang w:val="en-US" w:eastAsia="en-US" w:bidi="en-US"/>
        </w:rPr>
      </w:r>
    </w:p>
    <w:p>
      <w:pPr>
        <w:overflowPunct w:val="false"/>
        <w:spacing w:before="0" w:after="0"/>
        <w:jc w:val="left"/>
        <w:rPr/>
      </w:pPr>
      <w:r>
        <w:rPr>
          <w:rFonts w:ascii="Liberation Serif" w:hAnsi="Liberation Serif" w:eastAsia="DejaVu Sans" w:cs="Noto Sans Arabic"/>
          <w:sz w:val="24"/>
          <w:szCs w:val="24"/>
          <w:lang w:val="en-US" w:eastAsia="en-US" w:bidi="en-US"/>
        </w:rPr>
        <w:t>Zatím tuto část nechávám takto, průběžné ještě doplním.</w:t>
      </w:r>
    </w:p>
  </w:comment>
  <w:comment w:id="16" w:author="Machay Martin" w:date="2026-03-29T12:36:00Z" w:initials="MM">
    <w:p>
      <w:pPr>
        <w:overflowPunct w:val="true"/>
        <w:spacing w:before="0" w:after="0"/>
        <w:jc w:val="left"/>
        <w:rPr/>
      </w:pPr>
      <w:r>
        <w:rPr>
          <w:rFonts w:ascii="Liberation Serif" w:hAnsi="Liberation Serif" w:eastAsia="DejaVu Sans" w:cs="Noto Sans Arabic"/>
          <w:sz w:val="24"/>
          <w:szCs w:val="24"/>
          <w:lang w:val="en-US" w:eastAsia="en-US" w:bidi="en-US"/>
        </w:rPr>
        <w:t>Ještě budu přepisovat podle finální struktury kapitoly</w:t>
      </w:r>
    </w:p>
  </w:comment>
  <w:comment w:id="17" w:author="Machay Martin" w:date="2026-03-29T12:10:00Z" w:initials="MM">
    <w:p>
      <w:pPr>
        <w:overflowPunct w:val="true"/>
        <w:spacing w:before="0" w:after="0"/>
        <w:jc w:val="left"/>
        <w:rPr/>
      </w:pPr>
      <w:r>
        <w:rPr>
          <w:rFonts w:ascii="Liberation Serif" w:hAnsi="Liberation Serif" w:eastAsia="DejaVu Sans" w:cs="Noto Sans Arabic"/>
          <w:sz w:val="24"/>
          <w:szCs w:val="24"/>
          <w:lang w:val="en-US" w:eastAsia="en-US" w:bidi="en-US"/>
        </w:rPr>
        <w:t>Náznaky - relativní cenový vývoj, 2.1.3?</w:t>
      </w:r>
    </w:p>
  </w:comment>
  <w:comment w:id="18" w:author="Machay Martin" w:date="2026-03-29T11:52:00Z" w:initials="MM">
    <w:p>
      <w:pPr>
        <w:overflowPunct w:val="true"/>
        <w:spacing w:before="0" w:after="0"/>
        <w:jc w:val="left"/>
        <w:rPr/>
      </w:pPr>
      <w:r>
        <w:rPr>
          <w:rFonts w:ascii="Liberation Serif" w:hAnsi="Liberation Serif" w:eastAsia="DejaVu Sans" w:cs="Noto Sans Arabic"/>
          <w:sz w:val="24"/>
          <w:szCs w:val="24"/>
          <w:lang w:val="en-US" w:eastAsia="en-US" w:bidi="en-US"/>
        </w:rPr>
        <w:t>Eurostat nemá data pro ČR… popřemýšlím, jak to obejít</w:t>
      </w:r>
    </w:p>
  </w:comment>
  <w:comment w:id="19" w:author="Machay Martin" w:date="2026-03-06T11:31:00Z" w:initials="MM">
    <w:p>
      <w:pPr>
        <w:overflowPunct w:val="true"/>
        <w:spacing w:before="0" w:after="0"/>
        <w:jc w:val="left"/>
        <w:rPr/>
      </w:pPr>
      <w:r>
        <w:rPr>
          <w:rFonts w:ascii="Liberation Serif" w:hAnsi="Liberation Serif" w:eastAsia="DejaVu Sans" w:cs="Noto Sans Arabic"/>
          <w:sz w:val="24"/>
          <w:szCs w:val="24"/>
          <w:lang w:val="en-US" w:eastAsia="en-US" w:bidi="en-US"/>
        </w:rPr>
        <w:t>Trh a dílčí trh pro ekonomické trhy; relevantní trh jako termín až v soutěžní rovině</w:t>
      </w:r>
    </w:p>
  </w:comment>
  <w:comment w:id="20" w:author="Machay Martin" w:date="2026-02-28T10:29:00Z" w:initials="MM">
    <w:p>
      <w:pPr>
        <w:overflowPunct w:val="true"/>
        <w:spacing w:before="0" w:after="0"/>
        <w:jc w:val="left"/>
        <w:rPr/>
      </w:pPr>
      <w:r>
        <w:rPr>
          <w:rFonts w:ascii="Liberation Serif" w:hAnsi="Liberation Serif" w:eastAsia="DejaVu Sans" w:cs="Noto Sans Arabic"/>
          <w:sz w:val="24"/>
          <w:szCs w:val="24"/>
          <w:lang w:val="en-US" w:eastAsia="en-US" w:bidi="en-US"/>
        </w:rPr>
        <w:t>V náznacích podkapitola k vysokým cenám v ČR</w:t>
      </w:r>
    </w:p>
  </w:comment>
  <w:comment w:id="21" w:author="Machay Martin" w:date="2026-02-28T10:28:00Z" w:initials="MM">
    <w:p>
      <w:pPr>
        <w:overflowPunct w:val="true"/>
        <w:spacing w:before="0" w:after="0"/>
        <w:jc w:val="left"/>
        <w:rPr/>
      </w:pPr>
      <w:r>
        <w:rPr>
          <w:rFonts w:ascii="Liberation Serif" w:hAnsi="Liberation Serif" w:eastAsia="DejaVu Sans" w:cs="Noto Sans Arabic"/>
          <w:sz w:val="24"/>
          <w:szCs w:val="24"/>
          <w:lang w:val="en-US" w:eastAsia="en-US" w:bidi="en-US"/>
        </w:rPr>
        <w:t>Dělá se až na úplný závěr po odsouhlasení textu, struktury atp. Jinak bychom to museli x krát ručně přepisovat. Nicméně u kapitol je potřeba dělat poznámky, která kapitola/část se tím myslela</w:t>
      </w:r>
    </w:p>
  </w:comment>
  <w:comment w:id="22" w:author="Machay Martin" w:date="2026-02-28T10:27:00Z" w:initials="MM">
    <w:p w14:paraId="05000000">
      <w:pPr>
        <w:overflowPunct w:val="true"/>
        <w:spacing w:before="0" w:after="0"/>
        <w:jc w:val="left"/>
        <w:rPr/>
      </w:pPr>
      <w:r>
        <w:rPr>
          <w:rFonts w:ascii="Liberation Serif" w:hAnsi="Liberation Serif" w:eastAsia="DejaVu Sans" w:cs="Noto Sans Arabic"/>
          <w:sz w:val="24"/>
          <w:szCs w:val="24"/>
          <w:lang w:val="en-US" w:eastAsia="en-US" w:bidi="en-US"/>
        </w:rPr>
        <w:t>Poznámky pod čarou se dělají jen v českém jazyce. AJ poznámky pod čarou je v ní. V AJ textu se až úplně na závěr dělají horní indexy s prostým číslem</w:t>
      </w:r>
    </w:p>
  </w:comment>
  <w:comment w:id="23" w:author="Machay Martin" w:date="2026-03-06T11:59:00Z" w:initials="MM">
    <w:p w14:paraId="06000000">
      <w:pPr>
        <w:overflowPunct w:val="true"/>
        <w:spacing w:before="0" w:after="0"/>
        <w:jc w:val="left"/>
        <w:rPr/>
      </w:pPr>
      <w:r>
        <w:rPr>
          <w:rFonts w:ascii="Liberation Serif" w:hAnsi="Liberation Serif" w:eastAsia="DejaVu Sans" w:cs="Noto Sans Arabic"/>
          <w:sz w:val="24"/>
          <w:szCs w:val="24"/>
          <w:shd w:fill="FFFF00" w:val="clear"/>
          <w:lang w:val="en-US" w:eastAsia="en-US" w:bidi="en-US"/>
        </w:rPr>
        <w:t>K odkazům na spis… pokud něco tvrdíme, tak bychom to měli podložit - já jsem za zachování odkazů na podklady ve spisu a to zejména z toho důvodu, že předpokládám dlouhé soudní spory na několik let dopředu; minimálně v interní verzi zprávy bych je ponechal - do verze bez obchodního tajemství lze zvážit jejich odstatnění, ale 1) všem je zjevné, že vedeme spis a 2) při zveřejnění zprávy bude vice méně jasné, zda lze spis prolomit nebo ne.</w:t>
      </w:r>
    </w:p>
  </w:comment>
  <w:comment w:id="24" w:author="Machay Martin" w:date="2026-02-27T14:55:00Z" w:initials="MM">
    <w:p>
      <w:pPr>
        <w:overflowPunct w:val="false"/>
        <w:spacing w:before="0" w:after="0"/>
        <w:jc w:val="left"/>
        <w:rPr/>
      </w:pPr>
      <w:r>
        <w:rPr>
          <w:rFonts w:ascii="Liberation Serif" w:hAnsi="Liberation Serif" w:eastAsia="DejaVu Sans" w:cs="Noto Sans Arabic"/>
          <w:sz w:val="24"/>
          <w:szCs w:val="24"/>
          <w:lang w:val="en-US" w:eastAsia="en-US" w:bidi="en-US"/>
        </w:rPr>
        <w:t>Budeme to dělat takhle dvakrát - idealizovaný model - jeho nedostatky - finální model, když budeme odhadovat. Mezikroky dávat nebudeme. Stačí začátek a konec</w:t>
      </w:r>
    </w:p>
  </w:comment>
  <w:comment w:id="25" w:author="Machay Martin" w:date="2026-03-06T13:12:00Z" w:initials="MM">
    <w:p>
      <w:pPr>
        <w:overflowPunct w:val="true"/>
        <w:spacing w:before="0" w:after="0"/>
        <w:jc w:val="left"/>
        <w:rPr/>
      </w:pPr>
      <w:r>
        <w:rPr>
          <w:rFonts w:ascii="Liberation Serif" w:hAnsi="Liberation Serif" w:eastAsia="DejaVu Sans" w:cs="Noto Sans Arabic"/>
          <w:sz w:val="24"/>
          <w:szCs w:val="24"/>
          <w:lang w:val="en-US" w:eastAsia="en-US" w:bidi="en-US"/>
        </w:rPr>
        <w:t>Finální model nikoliv inverzní</w:t>
      </w:r>
    </w:p>
  </w:comment>
  <w:comment w:id="26" w:author="Machay Martin" w:date="2026-04-24T13:54:00Z" w:initials="MM">
    <w:p>
      <w:pPr>
        <w:overflowPunct w:val="false"/>
        <w:spacing w:before="0" w:after="0"/>
        <w:jc w:val="left"/>
        <w:rPr/>
      </w:pPr>
      <w:r>
        <w:rPr>
          <w:rFonts w:ascii="Liberation Serif" w:hAnsi="Liberation Serif" w:eastAsia="DejaVu Sans" w:cs="Noto Sans Arabic"/>
          <w:sz w:val="24"/>
          <w:szCs w:val="24"/>
          <w:lang w:val="en-US" w:eastAsia="en-US" w:bidi="en-US"/>
        </w:rPr>
        <w:t>Tady nepůjde použít čistě hedonický rozklad cen… budeme muset modelovat na finálním tomově modelu</w:t>
      </w:r>
    </w:p>
  </w:comment>
  <w:comment w:id="27" w:author="Machay Martin" w:date="2026-03-06T13:19:00Z" w:initials="MM">
    <w:p>
      <w:pPr>
        <w:overflowPunct w:val="true"/>
        <w:spacing w:before="0" w:after="0"/>
        <w:jc w:val="left"/>
        <w:rPr/>
      </w:pPr>
      <w:r>
        <w:rPr>
          <w:rFonts w:ascii="Liberation Serif" w:hAnsi="Liberation Serif" w:eastAsia="DejaVu Sans" w:cs="Noto Sans Arabic"/>
          <w:sz w:val="24"/>
          <w:szCs w:val="24"/>
          <w:lang w:val="en-US" w:eastAsia="en-US" w:bidi="en-US"/>
        </w:rPr>
        <w:t>Část s grafem nedoko firmy a excesivní cenou výše</w:t>
      </w:r>
    </w:p>
  </w:comment>
  <w:comment w:id="28" w:author="Machay Martin" w:date="2026-03-06T13:55:00Z" w:initials="MM">
    <w:p>
      <w:pPr>
        <w:overflowPunct w:val="true"/>
        <w:spacing w:before="0" w:after="0"/>
        <w:jc w:val="left"/>
        <w:rPr/>
      </w:pPr>
      <w:r>
        <w:rPr>
          <w:rFonts w:ascii="Liberation Serif" w:hAnsi="Liberation Serif" w:eastAsia="DejaVu Sans" w:cs="Noto Sans Arabic"/>
          <w:sz w:val="24"/>
          <w:szCs w:val="24"/>
          <w:lang w:val="en-US" w:eastAsia="en-US" w:bidi="en-US"/>
        </w:rPr>
        <w:t>Možná si excesivnost schovat až za kvalitu a tady mluvit o vyšších nominálních cenách</w:t>
      </w:r>
    </w:p>
  </w:comment>
  <w:comment w:id="29" w:author="Machay Martin" w:date="2026-03-06T13:38:00Z" w:initials="MM">
    <w:p>
      <w:pPr>
        <w:overflowPunct w:val="true"/>
        <w:spacing w:before="0" w:after="0"/>
        <w:jc w:val="left"/>
        <w:rPr/>
      </w:pPr>
      <w:r>
        <w:rPr>
          <w:rFonts w:ascii="Liberation Serif" w:hAnsi="Liberation Serif" w:eastAsia="DejaVu Sans" w:cs="Noto Sans Arabic"/>
          <w:sz w:val="24"/>
          <w:szCs w:val="24"/>
          <w:lang w:val="en-US" w:eastAsia="en-US" w:bidi="en-US"/>
        </w:rPr>
        <w:t>Hospodářské výsledky</w:t>
      </w:r>
    </w:p>
  </w:comment>
  <w:comment w:id="30" w:author="Machay Martin" w:date="2026-03-01T09:42:00Z" w:initials="MM">
    <w:p>
      <w:pPr>
        <w:overflowPunct w:val="true"/>
        <w:spacing w:before="0" w:after="0"/>
        <w:jc w:val="left"/>
        <w:rPr/>
      </w:pPr>
      <w:r>
        <w:rPr>
          <w:rFonts w:ascii="Liberation Serif" w:hAnsi="Liberation Serif" w:eastAsia="DejaVu Sans" w:cs="Noto Sans Arabic"/>
          <w:sz w:val="24"/>
          <w:szCs w:val="24"/>
          <w:lang w:val="en-US" w:eastAsia="en-US" w:bidi="en-US"/>
        </w:rPr>
        <w:t>Podkapitoly hedonického rozkladu ceníkových cen</w:t>
      </w:r>
    </w:p>
  </w:comment>
  <w:comment w:id="31" w:author="Machay Martin" w:date="2026-03-06T09:10:00Z" w:initials="MM">
    <w:p>
      <w:pPr>
        <w:overflowPunct w:val="true"/>
        <w:spacing w:before="0" w:after="0"/>
        <w:jc w:val="left"/>
        <w:rPr/>
      </w:pPr>
      <w:r>
        <w:rPr>
          <w:rFonts w:ascii="Liberation Serif" w:hAnsi="Liberation Serif" w:eastAsia="DejaVu Sans" w:cs="Noto Sans Arabic"/>
          <w:sz w:val="24"/>
          <w:szCs w:val="24"/>
          <w:lang w:val="en-US" w:eastAsia="en-US" w:bidi="en-US"/>
        </w:rPr>
        <w:t>Význam určitě nechat byť přeformulovat lze. Je potřeba mít rozesetá semínka pochybností o fungování HS v textu. Úplně bych to však ještě neoznačoval za indicii - to si nechme až na závěr části do „zjištění“</w:t>
      </w:r>
    </w:p>
  </w:comment>
  <w:comment w:id="32" w:author="Machay Martin" w:date="2026-03-06T09:15:00Z" w:initials="MM">
    <w:p>
      <w:pPr>
        <w:overflowPunct w:val="true"/>
        <w:spacing w:before="0" w:after="0"/>
        <w:jc w:val="left"/>
        <w:rPr/>
      </w:pPr>
      <w:r>
        <w:rPr>
          <w:rFonts w:ascii="Liberation Serif" w:hAnsi="Liberation Serif" w:eastAsia="DejaVu Sans" w:cs="Noto Sans Arabic"/>
          <w:sz w:val="24"/>
          <w:szCs w:val="24"/>
          <w:lang w:val="en-US" w:eastAsia="en-US" w:bidi="en-US"/>
        </w:rPr>
        <w:t>Dvě tabulky výše</w:t>
      </w:r>
    </w:p>
  </w:comment>
  <w:comment w:id="33" w:author="Machay Martin" w:date="2026-03-01T19:21:00Z" w:initials="MM">
    <w:p>
      <w:pPr>
        <w:overflowPunct w:val="true"/>
        <w:spacing w:before="0" w:after="0"/>
        <w:jc w:val="left"/>
        <w:rPr/>
      </w:pPr>
      <w:r>
        <w:rPr>
          <w:rFonts w:ascii="Liberation Serif" w:hAnsi="Liberation Serif" w:eastAsia="DejaVu Sans" w:cs="Noto Sans Arabic"/>
          <w:sz w:val="24"/>
          <w:szCs w:val="24"/>
          <w:lang w:val="en-US" w:eastAsia="en-US" w:bidi="en-US"/>
        </w:rPr>
        <w:t>Výše evropská regulace a směrnice o účtování roamingu</w:t>
      </w:r>
    </w:p>
  </w:comment>
  <w:comment w:id="34" w:author="Machay Martin" w:date="2026-03-06T09:24:00Z" w:initials="MM">
    <w:p>
      <w:pPr>
        <w:overflowPunct w:val="true"/>
        <w:spacing w:before="0" w:after="0"/>
        <w:jc w:val="left"/>
        <w:rPr/>
      </w:pPr>
      <w:r>
        <w:rPr>
          <w:rFonts w:ascii="Liberation Serif" w:hAnsi="Liberation Serif" w:eastAsia="DejaVu Sans" w:cs="Noto Sans Arabic"/>
          <w:sz w:val="24"/>
          <w:szCs w:val="24"/>
          <w:shd w:fill="FFFF00" w:val="clear"/>
          <w:lang w:val="en-US" w:eastAsia="en-US" w:bidi="en-US"/>
        </w:rPr>
        <w:t>Poprosím prověřit ve screenech, jestli jde skutečně o zahraničí nebo jen o EU - dost podstatné.</w:t>
      </w:r>
    </w:p>
  </w:comment>
  <w:comment w:id="35" w:author="Machay Martin" w:date="2026-03-08T11:16:00Z" w:initials="MM">
    <w:p>
      <w:pPr>
        <w:overflowPunct w:val="false"/>
        <w:spacing w:before="0" w:after="0"/>
        <w:jc w:val="left"/>
        <w:rPr/>
      </w:pPr>
      <w:r>
        <w:rPr>
          <w:rFonts w:ascii="Liberation Serif" w:hAnsi="Liberation Serif" w:eastAsia="DejaVu Sans" w:cs="Noto Sans Arabic"/>
          <w:sz w:val="24"/>
          <w:szCs w:val="24"/>
          <w:lang w:val="en-US" w:eastAsia="en-US" w:bidi="en-US"/>
        </w:rPr>
        <w:t>Držíme odděleně, protože excese roste s rozsahem služeb = při nejlevnějších to tak úplně křiklavé nebude</w:t>
      </w:r>
    </w:p>
  </w:comment>
  <w:comment w:id="36" w:author="Machay Martin" w:date="2026-03-06T10:03:00Z" w:initials="MM">
    <w:p>
      <w:pPr>
        <w:overflowPunct w:val="true"/>
        <w:spacing w:before="0" w:after="0"/>
        <w:jc w:val="left"/>
        <w:rPr/>
      </w:pPr>
      <w:r>
        <w:rPr>
          <w:rFonts w:ascii="Liberation Serif" w:hAnsi="Liberation Serif" w:eastAsia="DejaVu Sans" w:cs="Noto Sans Arabic"/>
          <w:sz w:val="24"/>
          <w:szCs w:val="24"/>
          <w:lang w:val="en-US" w:eastAsia="en-US" w:bidi="en-US"/>
        </w:rPr>
        <w:t>Až po poslední z druhého sběru</w:t>
      </w:r>
    </w:p>
  </w:comment>
  <w:comment w:id="37" w:author="Machay Martin" w:date="2026-03-01T19:40:00Z" w:initials="MM">
    <w:p>
      <w:pPr>
        <w:overflowPunct w:val="true"/>
        <w:spacing w:before="0" w:after="0"/>
        <w:jc w:val="left"/>
        <w:rPr/>
      </w:pPr>
      <w:r>
        <w:rPr>
          <w:rFonts w:ascii="Liberation Serif" w:hAnsi="Liberation Serif" w:eastAsia="DejaVu Sans" w:cs="Noto Sans Arabic"/>
          <w:sz w:val="24"/>
          <w:szCs w:val="24"/>
          <w:lang w:val="en-US" w:eastAsia="en-US" w:bidi="en-US"/>
        </w:rPr>
        <w:t>Část o výsledcích hospodaření</w:t>
      </w:r>
    </w:p>
  </w:comment>
  <w:comment w:id="38" w:author="Machay Martin" w:date="2026-03-29T12:50:00Z" w:initials="MM">
    <w:p>
      <w:pPr>
        <w:overflowPunct w:val="false"/>
        <w:spacing w:before="0" w:after="0"/>
        <w:jc w:val="left"/>
        <w:rPr/>
      </w:pPr>
      <w:r>
        <w:rPr>
          <w:rFonts w:ascii="Liberation Serif" w:hAnsi="Liberation Serif" w:eastAsia="DejaVu Sans" w:cs="Noto Sans Arabic"/>
          <w:sz w:val="24"/>
          <w:szCs w:val="24"/>
          <w:lang w:val="en-US" w:eastAsia="en-US" w:bidi="en-US"/>
        </w:rPr>
        <w:t>Nakonec uděláme i tohle☹️</w:t>
      </w:r>
    </w:p>
  </w:comment>
  <w:comment w:id="39" w:author="Machay Martin" w:date="2026-04-30T13:07:00Z" w:initials="MM">
    <w:p>
      <w:pPr>
        <w:overflowPunct w:val="true"/>
        <w:spacing w:before="0" w:after="0"/>
        <w:jc w:val="left"/>
        <w:rPr/>
      </w:pPr>
      <w:r>
        <w:rPr>
          <w:rFonts w:ascii="Liberation Serif" w:hAnsi="Liberation Serif" w:eastAsia="DejaVu Sans" w:cs="Noto Sans Arabic"/>
          <w:sz w:val="24"/>
          <w:szCs w:val="24"/>
          <w:lang w:val="en-US" w:eastAsia="en-US" w:bidi="en-US"/>
        </w:rPr>
        <w:t>Kvalitativní srovnání mobilních tarifů</w:t>
      </w:r>
    </w:p>
  </w:comment>
  <w:comment w:id="40" w:author="Machay Martin" w:date="2026-03-01T10:33:00Z" w:initials="MM">
    <w:p>
      <w:pPr>
        <w:overflowPunct w:val="false"/>
        <w:spacing w:before="0" w:after="0"/>
        <w:jc w:val="left"/>
        <w:rPr/>
      </w:pPr>
      <w:r>
        <w:rPr>
          <w:rFonts w:ascii="Liberation Serif" w:hAnsi="Liberation Serif" w:eastAsia="DejaVu Sans" w:cs="Noto Sans Arabic"/>
          <w:sz w:val="24"/>
          <w:szCs w:val="24"/>
          <w:lang w:val="en-US" w:eastAsia="en-US" w:bidi="en-US"/>
        </w:rPr>
        <w:t>Možná se bude víc hodit do kapitoly ke spotřebiteli… takhle bychom měli dva kvalitativní aspekty ve dvou kapitolách</w:t>
      </w:r>
    </w:p>
  </w:comment>
  <w:comment w:id="41" w:author="Machay Martin" w:date="2026-03-01T09:46:00Z" w:initials="MM">
    <w:p>
      <w:pPr>
        <w:overflowPunct w:val="false"/>
        <w:spacing w:before="0" w:after="0"/>
        <w:jc w:val="left"/>
        <w:rPr/>
      </w:pPr>
      <w:r>
        <w:rPr>
          <w:rFonts w:ascii="Liberation Serif" w:hAnsi="Liberation Serif" w:eastAsia="DejaVu Sans" w:cs="Noto Sans Arabic"/>
          <w:sz w:val="24"/>
          <w:szCs w:val="24"/>
          <w:lang w:val="en-US" w:eastAsia="en-US" w:bidi="en-US"/>
        </w:rPr>
        <w:t>Ještě promyslím, jestli neuděláme i nějaké relativní srovnání pokrytí, výpadky atp...</w:t>
      </w:r>
    </w:p>
  </w:comment>
  <w:comment w:id="43" w:author="Machay Martin" w:date="2026-04-24T13:50:00Z" w:initials="MM">
    <w:p w14:paraId="07000000">
      <w:pPr>
        <w:overflowPunct w:val="false"/>
        <w:spacing w:before="0" w:after="0"/>
        <w:jc w:val="left"/>
        <w:rPr/>
      </w:pPr>
      <w:r>
        <w:rPr>
          <w:rFonts w:ascii="Liberation Serif" w:hAnsi="Liberation Serif" w:eastAsia="DejaVu Sans" w:cs="Noto Sans Arabic"/>
          <w:sz w:val="24"/>
          <w:szCs w:val="24"/>
          <w:lang w:val="en-US" w:eastAsia="en-US" w:bidi="en-US"/>
        </w:rPr>
        <w:t>Měli bychom relevantní trhy nějak konzistentně číslovat (viz čtú)</w:t>
      </w:r>
    </w:p>
  </w:comment>
  <w:comment w:id="42" w:author="Machay Martin" w:date="2026-04-24T13:52:00Z" w:initials="MM">
    <w:p w14:paraId="08000000">
      <w:pPr>
        <w:overflowPunct w:val="false"/>
        <w:spacing w:before="0" w:after="0"/>
        <w:jc w:val="left"/>
        <w:rPr/>
      </w:pPr>
      <w:r>
        <w:rPr>
          <w:rFonts w:ascii="Liberation Serif" w:hAnsi="Liberation Serif" w:eastAsia="DejaVu Sans" w:cs="Noto Sans Arabic"/>
          <w:sz w:val="24"/>
          <w:szCs w:val="24"/>
          <w:lang w:val="en-US" w:eastAsia="en-US" w:bidi="en-US"/>
        </w:rPr>
        <w:t>Navrhuji pořadové číslo sektorovky a používat písmenka - asi nevymezíme v sektorovce víc neš cca 30 relevantních trhů😃</w:t>
      </w:r>
    </w:p>
  </w:comment>
  <w:comment w:id="44" w:author="Machay Martin" w:date="2026-02-27T13:32:00Z" w:initials="MM">
    <w:p>
      <w:pPr>
        <w:overflowPunct w:val="false"/>
        <w:spacing w:before="0" w:after="0"/>
        <w:jc w:val="left"/>
        <w:rPr/>
      </w:pPr>
      <w:r>
        <w:rPr>
          <w:rFonts w:ascii="Liberation Serif" w:hAnsi="Liberation Serif" w:eastAsia="DejaVu Sans" w:cs="Noto Sans Arabic"/>
          <w:sz w:val="24"/>
          <w:szCs w:val="24"/>
          <w:lang w:val="en-US" w:eastAsia="en-US" w:bidi="en-US"/>
        </w:rPr>
        <w:t>Z dobíječek - ignorovat. Zatím to tu je jen pro školení. Pak vymažu.</w:t>
      </w:r>
    </w:p>
  </w:comment>
  <w:comment w:id="45" w:author="Machay Martin" w:date="2026-02-27T13:33:00Z" w:initials="MM">
    <w:p>
      <w:pPr>
        <w:overflowPunct w:val="false"/>
        <w:spacing w:before="0" w:after="0"/>
        <w:jc w:val="left"/>
        <w:rPr/>
      </w:pPr>
      <w:r>
        <w:rPr>
          <w:rFonts w:ascii="Liberation Serif" w:hAnsi="Liberation Serif" w:eastAsia="DejaVu Sans" w:cs="Noto Sans Arabic"/>
          <w:sz w:val="24"/>
          <w:szCs w:val="24"/>
          <w:lang w:val="en-US" w:eastAsia="en-US" w:bidi="en-US"/>
        </w:rPr>
        <w:t>obdobně</w:t>
      </w:r>
    </w:p>
  </w:comment>
  <w:comment w:id="46" w:author="Machay Martin" w:date="2026-03-01T10:51:00Z" w:initials="MM">
    <w:p>
      <w:pPr>
        <w:overflowPunct w:val="false"/>
        <w:spacing w:before="0" w:after="0"/>
        <w:jc w:val="left"/>
        <w:rPr/>
      </w:pPr>
      <w:r>
        <w:rPr>
          <w:rFonts w:ascii="Liberation Serif" w:hAnsi="Liberation Serif" w:eastAsia="DejaVu Sans" w:cs="Noto Sans Arabic"/>
          <w:sz w:val="24"/>
          <w:szCs w:val="24"/>
          <w:lang w:val="en-US" w:eastAsia="en-US" w:bidi="en-US"/>
        </w:rPr>
        <w:t>Ještě promyslím, jestli je vůbec nutné… můžeme mít klidně desítky zjištění… to by pak bylo rozumnější dát tu tabulku spíš do příloh</w:t>
      </w:r>
    </w:p>
  </w:comment>
</w:comments>
</file>

<file path=word/commentsExtended.xml><?xml version="1.0" encoding="utf-8"?>
<w15:commentsEx xmlns:mc="http://schemas.openxmlformats.org/markup-compatibility/2006" xmlns:w15="http://schemas.microsoft.com/office/word/2012/wordml" mc:Ignorable="w15">
  <w15:commentEx w15:paraId="02000000" w15:paraIdParent="01000000"/>
  <w15:commentEx w15:paraId="04000000" w15:paraIdParent="03000000"/>
  <w15:commentEx w15:paraId="06000000" w15:paraIdParent="05000000"/>
  <w15:commentEx w15:paraId="08000000" w15:paraIdParent="07000000"/>
</w15:commentsEx>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zechia Sans">
    <w:charset w:val="01"/>
    <w:family w:val="roman"/>
    <w:pitch w:val="variable"/>
  </w:font>
  <w:font w:name="Calibri Light">
    <w:charset w:val="01"/>
    <w:family w:val="roman"/>
    <w:pitch w:val="variable"/>
  </w:font>
  <w:font w:name="Arial">
    <w:charset w:val="01"/>
    <w:family w:val="roman"/>
    <w:pitch w:val="variable"/>
  </w:font>
  <w:font w:name="Liberation Sans">
    <w:altName w:val="Arial"/>
    <w:charset w:val="01"/>
    <w:family w:val="roman"/>
    <w:pitch w:val="variable"/>
  </w:font>
  <w:font w:name="Fira Code">
    <w:altName w:val="Cascadia Code"/>
    <w:charset w:val="01"/>
    <w:family w:val="auto"/>
    <w:pitch w:val="default"/>
  </w:font>
  <w:font w:name="Cambria Math">
    <w:charset w:val="01"/>
    <w:family w:val="roman"/>
    <w:pitch w:val="variable"/>
  </w:font>
  <w:font w:name="Segoe UI Emoji">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841586291"/>
    </w:sdtPr>
    <w:sdtContent>
      <w:p>
        <w:pPr>
          <w:pStyle w:val="Footer"/>
          <w:spacing w:before="200" w:after="0"/>
          <w:ind w:left="0" w:right="-1"/>
          <w:jc w:val="center"/>
          <w:rPr>
            <w:color w:val="A7A9B4"/>
            <w:sz w:val="16"/>
            <w:szCs w:val="16"/>
          </w:rPr>
        </w:pPr>
        <w:r>
          <w:rPr>
            <w:color w:val="A7A9B4"/>
            <w:sz w:val="16"/>
            <w:szCs w:val="16"/>
          </w:rPr>
          <w:fldChar w:fldCharType="begin"/>
        </w:r>
        <w:r>
          <w:rPr>
            <w:sz w:val="16"/>
            <w:szCs w:val="16"/>
            <w:color w:val="A7A9B4"/>
          </w:rPr>
          <w:instrText xml:space="preserve"> PAGE </w:instrText>
        </w:r>
        <w:r>
          <w:rPr>
            <w:sz w:val="16"/>
            <w:szCs w:val="16"/>
            <w:color w:val="A7A9B4"/>
          </w:rPr>
          <w:fldChar w:fldCharType="separate"/>
        </w:r>
        <w:r>
          <w:rPr>
            <w:sz w:val="16"/>
            <w:szCs w:val="16"/>
            <w:color w:val="A7A9B4"/>
          </w:rPr>
          <w:t>i</w:t>
        </w:r>
        <w:r>
          <w:rPr>
            <w:sz w:val="16"/>
            <w:szCs w:val="16"/>
            <w:color w:val="A7A9B4"/>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841586291"/>
    </w:sdtPr>
    <w:sdtContent>
      <w:p>
        <w:pPr>
          <w:pStyle w:val="Footer"/>
          <w:spacing w:before="200" w:after="0"/>
          <w:ind w:left="0" w:right="-1"/>
          <w:jc w:val="center"/>
          <w:rPr>
            <w:color w:val="A7A9B4"/>
            <w:sz w:val="16"/>
            <w:szCs w:val="16"/>
          </w:rPr>
        </w:pPr>
        <w:r>
          <w:rPr>
            <w:color w:val="A7A9B4"/>
            <w:sz w:val="16"/>
            <w:szCs w:val="16"/>
          </w:rPr>
          <w:fldChar w:fldCharType="begin"/>
        </w:r>
        <w:r>
          <w:rPr>
            <w:sz w:val="16"/>
            <w:szCs w:val="16"/>
            <w:color w:val="A7A9B4"/>
          </w:rPr>
          <w:instrText xml:space="preserve"> PAGE </w:instrText>
        </w:r>
        <w:r>
          <w:rPr>
            <w:sz w:val="16"/>
            <w:szCs w:val="16"/>
            <w:color w:val="A7A9B4"/>
          </w:rPr>
          <w:fldChar w:fldCharType="separate"/>
        </w:r>
        <w:r>
          <w:rPr>
            <w:sz w:val="16"/>
            <w:szCs w:val="16"/>
            <w:color w:val="A7A9B4"/>
          </w:rPr>
          <w:t>i</w:t>
        </w:r>
        <w:r>
          <w:rPr>
            <w:sz w:val="16"/>
            <w:szCs w:val="16"/>
            <w:color w:val="A7A9B4"/>
          </w:rPr>
          <w:fldChar w:fldCharType="end"/>
        </w:r>
      </w:p>
    </w:sdtContent>
  </w:sdt>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10209897"/>
    </w:sdtPr>
    <w:sdtContent>
      <w:p>
        <w:pPr>
          <w:pStyle w:val="Footer"/>
          <w:spacing w:before="200" w:after="0"/>
          <w:ind w:left="0" w:right="-1"/>
          <w:jc w:val="center"/>
          <w:rPr>
            <w:color w:val="A7A9B4"/>
            <w:sz w:val="16"/>
            <w:szCs w:val="16"/>
          </w:rPr>
        </w:pPr>
        <w:r>
          <w:rPr/>
          <w:fldChar w:fldCharType="begin"/>
        </w:r>
        <w:r>
          <w:rPr/>
          <w:instrText xml:space="preserve"> PAGE </w:instrText>
        </w:r>
        <w:r>
          <w:rPr/>
          <w:fldChar w:fldCharType="separate"/>
        </w:r>
        <w:r>
          <w:rPr/>
          <w:t>xi</w:t>
        </w:r>
        <w:r>
          <w:rPr/>
          <w:fldChar w:fldCharType="end"/>
        </w:r>
      </w:p>
    </w:sdtContent>
  </w:sdt>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37806472"/>
    </w:sdtPr>
    <w:sdtContent>
      <w:p>
        <w:pPr>
          <w:pStyle w:val="Footer"/>
          <w:spacing w:before="200" w:after="0"/>
          <w:ind w:left="0" w:right="-1"/>
          <w:jc w:val="center"/>
          <w:rPr>
            <w:color w:val="A7A9B4"/>
            <w:sz w:val="16"/>
            <w:szCs w:val="16"/>
          </w:rPr>
        </w:pPr>
        <w:r>
          <w:rPr/>
          <w:fldChar w:fldCharType="begin"/>
        </w:r>
        <w:r>
          <w:rPr/>
          <w:instrText xml:space="preserve"> PAGE </w:instrText>
        </w:r>
        <w:r>
          <w:rPr/>
          <w:fldChar w:fldCharType="separate"/>
        </w:r>
        <w:r>
          <w:rPr/>
          <w:t>92</w:t>
        </w:r>
        <w:r>
          <w:rPr/>
          <w:fldChar w:fldCharType="end"/>
        </w:r>
      </w:p>
    </w:sdtContent>
  </w:sdt>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847947292"/>
    </w:sdtPr>
    <w:sdtContent>
      <w:p>
        <w:pPr>
          <w:pStyle w:val="Footer"/>
          <w:spacing w:before="200" w:after="0"/>
          <w:ind w:left="284" w:right="284"/>
          <w:jc w:val="center"/>
          <w:rPr>
            <w:color w:val="A7A9B4"/>
            <w:sz w:val="16"/>
            <w:szCs w:val="16"/>
          </w:rPr>
        </w:pPr>
        <w:r>
          <w:rPr/>
          <w:fldChar w:fldCharType="begin"/>
        </w:r>
        <w:r>
          <w:rPr/>
          <w:instrText xml:space="preserve"> PAGE </w:instrText>
        </w:r>
        <w:r>
          <w:rPr/>
          <w:fldChar w:fldCharType="separate"/>
        </w:r>
        <w:r>
          <w:rPr/>
          <w:t>xii</w:t>
        </w:r>
        <w:r>
          <w:rPr/>
          <w:fldChar w:fldCharType="end"/>
        </w:r>
      </w:p>
    </w:sdtContent>
  </w:sdt>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pp"/>
        <w:spacing w:before="0" w:after="40"/>
        <w:jc w:val="both"/>
        <w:rPr/>
      </w:pPr>
      <w:r>
        <w:rPr>
          <w:rStyle w:val="FootnoteCharacters"/>
        </w:rPr>
        <w:footnoteRef/>
      </w:r>
      <w:r>
        <w:rPr/>
        <w:t xml:space="preserve"> </w:t>
      </w:r>
      <w:r>
        <w:rPr/>
        <w:t>Viz Důvodovou zprávu k zákonu č. 155/2009 Sb., kterým se mění zákon č. 143/2001 Sb., o ochraně hospodářské soutěže a o změně některých zákonů (zákon o ochraně hospodářské soutěže), ve znění pozdějších předpisů, II. Zvláštní část, K bodu 28 (§ 20 odst. 2).</w:t>
      </w:r>
    </w:p>
  </w:footnote>
  <w:footnote w:id="3">
    <w:p>
      <w:pPr>
        <w:pStyle w:val="pp"/>
        <w:spacing w:before="0" w:after="40"/>
        <w:jc w:val="both"/>
        <w:rPr/>
      </w:pPr>
      <w:r>
        <w:rPr>
          <w:rStyle w:val="FootnoteCharacters"/>
        </w:rPr>
        <w:footnoteRef/>
      </w:r>
      <w:r>
        <w:rPr/>
        <w:t xml:space="preserve"> </w:t>
      </w:r>
      <w:r>
        <w:rPr/>
        <w:t>Účtovaných domácnostem na maloobchodním trhu společně s vyúčtováním mobilních telekomunikačních služeb.</w:t>
      </w:r>
    </w:p>
  </w:footnote>
  <w:footnote w:id="4">
    <w:p>
      <w:pPr>
        <w:pStyle w:val="pp"/>
        <w:spacing w:before="0" w:after="40"/>
        <w:jc w:val="both"/>
        <w:rPr/>
      </w:pPr>
      <w:r>
        <w:rPr>
          <w:rStyle w:val="FootnoteCharacters"/>
        </w:rPr>
        <w:footnoteRef/>
      </w:r>
      <w:r>
        <w:rPr/>
        <w:t xml:space="preserve"> </w:t>
      </w:r>
      <w:r>
        <w:rPr/>
        <w:t>Daná analýza byla zveřejněna společně s tiskovou zprávou o zahájení sektorového šetření (dále jen „</w:t>
      </w:r>
      <w:r>
        <w:rPr>
          <w:b/>
          <w:bCs/>
        </w:rPr>
        <w:t>Společná analýza</w:t>
      </w:r>
      <w:r>
        <w:rPr/>
        <w:t xml:space="preserve">“). Dostupná na: </w:t>
      </w:r>
      <w:hyperlink r:id="rId1">
        <w:r>
          <w:rPr>
            <w:rStyle w:val="Hyperlink"/>
          </w:rPr>
          <w:t>https://uohs.gov.cz/cs/informacni-centrum/tiskove-zpravy/hospodarska-soutez/4377-urad-proveri-fungovani-hospodarske-souteze-v-oblasti-poskytovani-mobilnich-sluzeb.html</w:t>
        </w:r>
      </w:hyperlink>
      <w:r>
        <w:rPr/>
        <w:t>.</w:t>
      </w:r>
    </w:p>
  </w:footnote>
  <w:footnote w:id="5">
    <w:p>
      <w:pPr>
        <w:pStyle w:val="pp"/>
        <w:spacing w:before="0" w:after="40"/>
        <w:jc w:val="both"/>
        <w:rPr/>
      </w:pPr>
      <w:r>
        <w:rPr>
          <w:rStyle w:val="FootnoteCharacters"/>
        </w:rPr>
        <w:footnoteRef/>
      </w:r>
      <w:r>
        <w:rPr/>
        <w:t xml:space="preserve"> </w:t>
      </w:r>
      <w:r>
        <w:rPr/>
        <w:t>Zkratka anglického „</w:t>
      </w:r>
      <w:r>
        <w:rPr>
          <w:i/>
          <w:iCs/>
        </w:rPr>
        <w:t>average revenue per user</w:t>
      </w:r>
      <w:r>
        <w:rPr/>
        <w:t>“.</w:t>
      </w:r>
    </w:p>
  </w:footnote>
  <w:footnote w:id="6">
    <w:p>
      <w:pPr>
        <w:pStyle w:val="pp"/>
        <w:spacing w:before="0" w:after="40"/>
        <w:ind w:left="142" w:right="284"/>
        <w:jc w:val="left"/>
        <w:rPr/>
      </w:pPr>
      <w:r>
        <w:rPr>
          <w:rStyle w:val="FootnoteCharacters"/>
        </w:rPr>
        <w:footnoteRef/>
      </w:r>
      <w:r>
        <w:rPr/>
        <w:t xml:space="preserve"> </w:t>
      </w:r>
      <w:r>
        <w:rPr/>
        <w:t xml:space="preserve">Dostupné na / </w:t>
      </w:r>
      <w:r>
        <w:rPr>
          <w:i/>
          <w:iCs/>
        </w:rPr>
        <w:t>Available at</w:t>
      </w:r>
      <w:r>
        <w:rPr/>
        <w:t xml:space="preserve">: </w:t>
      </w:r>
      <w:hyperlink r:id="rId2">
        <w:r>
          <w:rPr>
            <w:rStyle w:val="Hyperlink"/>
          </w:rPr>
          <w:t>https://ctu.gov.cz/sites/default/files/obsah/soubory-ke-stazeni/studie_o_preferencich_a_spokojenosti_spotrebitelu.pdf</w:t>
        </w:r>
      </w:hyperlink>
      <w:r>
        <w:rPr/>
        <w:t>.</w:t>
      </w:r>
    </w:p>
  </w:footnote>
  <w:footnote w:id="7">
    <w:p>
      <w:pPr>
        <w:pStyle w:val="pp"/>
        <w:spacing w:before="0" w:after="40"/>
        <w:jc w:val="both"/>
        <w:rPr/>
      </w:pPr>
      <w:r>
        <w:rPr>
          <w:rStyle w:val="FootnoteCharacters"/>
        </w:rPr>
        <w:footnoteRef/>
      </w:r>
      <w:r>
        <w:rPr/>
        <w:t xml:space="preserve"> </w:t>
      </w:r>
      <w:r>
        <w:rPr/>
        <w:t xml:space="preserve">Např. v důsledku tzv. </w:t>
      </w:r>
      <w:r>
        <w:rPr>
          <w:i/>
          <w:iCs/>
        </w:rPr>
        <w:t>lock-in</w:t>
      </w:r>
      <w:r>
        <w:rPr/>
        <w:t xml:space="preserve"> efektu.</w:t>
      </w:r>
    </w:p>
  </w:footnote>
  <w:footnote w:id="8">
    <w:p>
      <w:pPr>
        <w:pStyle w:val="pp"/>
        <w:spacing w:before="0" w:after="40"/>
        <w:jc w:val="both"/>
        <w:rPr/>
      </w:pPr>
      <w:r>
        <w:rPr>
          <w:rStyle w:val="FootnoteCharacters"/>
        </w:rPr>
        <w:footnoteRef/>
      </w:r>
      <w:r>
        <w:rPr/>
        <w:t xml:space="preserve"> </w:t>
      </w:r>
      <w:r>
        <w:rPr>
          <w:i/>
          <w:iCs/>
        </w:rPr>
        <w:t>Lock-in</w:t>
      </w:r>
      <w:r>
        <w:rPr/>
        <w:t xml:space="preserve"> renta je přebytkem spotřebitele odčerpaným vyšší cenou služeb v důsledku jeho uzavření ve službách poskytovatele.</w:t>
      </w:r>
    </w:p>
  </w:footnote>
  <w:footnote w:id="9">
    <w:p>
      <w:pPr>
        <w:pStyle w:val="pp"/>
        <w:spacing w:before="0" w:after="40"/>
        <w:jc w:val="both"/>
        <w:rPr/>
      </w:pPr>
      <w:r>
        <w:rPr>
          <w:rStyle w:val="FootnoteCharacters"/>
        </w:rPr>
        <w:footnoteRef/>
      </w:r>
      <w:r>
        <w:rPr/>
        <w:t xml:space="preserve"> </w:t>
      </w:r>
      <w:r>
        <w:rPr/>
        <w:t>To znamená bez příčin, které nejsou plně pod kontrolou jednotlivých mobilních operátorů.</w:t>
      </w:r>
    </w:p>
  </w:footnote>
  <w:footnote w:id="10">
    <w:p>
      <w:pPr>
        <w:pStyle w:val="pp"/>
        <w:spacing w:before="0" w:after="40"/>
        <w:jc w:val="both"/>
        <w:rPr/>
      </w:pPr>
      <w:r>
        <w:rPr>
          <w:rStyle w:val="FootnoteCharacters"/>
        </w:rPr>
        <w:footnoteRef/>
      </w:r>
      <w:r>
        <w:rPr/>
        <w:t xml:space="preserve"> </w:t>
      </w:r>
      <w:r>
        <w:rPr>
          <w:highlight w:val="yellow"/>
        </w:rPr>
        <w:t>Úřad podotýká, že průměrný příjem je v ekonomii ztotožňován s tržní cenou, za situace jednotného naceňování.</w:t>
      </w:r>
      <w:r>
        <w:rPr/>
        <w:t xml:space="preserve"> Viz např.: str. 88 v Macáková a kol. (2010). Úřady proto zkoumaly vzájemné konkurenční vztahy tak, jak by odpovídaly běžné ekonomické teorii, kdyby byly uplatňovány účinné nástroje cenové konkurence za situace konkurence mezi subjekty na straně nabídky. Úřad k tomu doplňuje, že data jsou schopna zachytit i efekty neceníkových nabídek, neboť i tyto se promítají do výsledné průměrné veličiny.</w:t>
      </w:r>
    </w:p>
  </w:footnote>
  <w:footnote w:id="11">
    <w:p>
      <w:pPr>
        <w:pStyle w:val="pp"/>
        <w:spacing w:before="0" w:after="40"/>
        <w:jc w:val="both"/>
        <w:rPr/>
      </w:pPr>
      <w:r>
        <w:rPr>
          <w:rStyle w:val="FootnoteCharacters"/>
        </w:rPr>
        <w:footnoteRef/>
      </w:r>
      <w:r>
        <w:rPr/>
        <w:t xml:space="preserve"> </w:t>
      </w:r>
      <w:r>
        <w:rPr/>
        <w:t>Nutno podotknout, že se jedná o běžný postup, neboť každý další model řeší nedostatky předchozího, čímž zavádí další a další předpoklady pro tyto modely. Úřad k tomu doplňuje, že všechny nedostatky a předpoklady jednotlivých modelů byly v zájmu objektivního zkoumání řádně uvedeny, vysvětleny a odůvodněny ve Společné analýze.</w:t>
      </w:r>
    </w:p>
  </w:footnote>
  <w:footnote w:id="12">
    <w:p>
      <w:pPr>
        <w:pStyle w:val="pp"/>
        <w:spacing w:before="0" w:after="40"/>
        <w:jc w:val="both"/>
        <w:rPr/>
      </w:pPr>
      <w:r>
        <w:rPr>
          <w:rStyle w:val="FootnoteCharacters"/>
        </w:rPr>
        <w:footnoteRef/>
      </w:r>
      <w:r>
        <w:rPr/>
        <w:t xml:space="preserve"> </w:t>
      </w:r>
      <w:r>
        <w:rPr/>
        <w:t>Tj. reakci zákaznické báze jednotlivých operátorů na změny cen, tedy ARPU, a nadto zohlednily i reakci na změny v disponibilních důchodech, které jsou schopny odrážet a zachytit všeobecnou ekonomickou situaci. Primárně byla snaha úřadů odhadnout tzv. cenové, křížové a důchodové elasticity, představující běžný nástroj při posuzování aspektů hospodářské soutěže napříč všemi oblastmi hospodářské aktivity, a to včetně služeb. Více např. kap. 5 v Macáková a kol. (2010), v oblasti služeb např. kap. 2 v Dwyer a kol. (2010) nebo například odborná literatura týkající se přímo soutěžní analýzy viz Davis a Garcés (2010).</w:t>
      </w:r>
    </w:p>
  </w:footnote>
  <w:footnote w:id="13">
    <w:p>
      <w:pPr>
        <w:pStyle w:val="pp"/>
        <w:spacing w:before="0" w:after="40"/>
        <w:jc w:val="both"/>
        <w:rPr/>
      </w:pPr>
      <w:r>
        <w:rPr>
          <w:rStyle w:val="FootnoteCharacters"/>
        </w:rPr>
        <w:footnoteRef/>
      </w:r>
      <w:r>
        <w:rPr/>
        <w:t xml:space="preserve"> </w:t>
      </w:r>
      <w:r>
        <w:rPr/>
        <w:t>Viz např. tabulka č. 2 nebo 5 dotčené Společné analýzy.</w:t>
      </w:r>
    </w:p>
  </w:footnote>
  <w:footnote w:id="14">
    <w:p>
      <w:pPr>
        <w:pStyle w:val="pp"/>
        <w:spacing w:before="0" w:after="40"/>
        <w:jc w:val="both"/>
        <w:rPr/>
      </w:pPr>
      <w:r>
        <w:rPr>
          <w:rStyle w:val="FootnoteCharacters"/>
        </w:rPr>
        <w:footnoteRef/>
      </w:r>
      <w:r>
        <w:rPr/>
        <w:t xml:space="preserve"> </w:t>
      </w:r>
      <w:r>
        <w:rPr/>
        <w:t>Tamtéž, tabulka č. 5.</w:t>
      </w:r>
    </w:p>
  </w:footnote>
  <w:footnote w:id="15">
    <w:p>
      <w:pPr>
        <w:pStyle w:val="pp"/>
        <w:spacing w:before="0" w:after="40"/>
        <w:jc w:val="both"/>
        <w:rPr/>
      </w:pPr>
      <w:r>
        <w:rPr>
          <w:rStyle w:val="FootnoteCharacters"/>
        </w:rPr>
        <w:footnoteRef/>
      </w:r>
      <w:r>
        <w:rPr/>
        <w:t xml:space="preserve"> </w:t>
      </w:r>
      <w:r>
        <w:rPr/>
        <w:t>Tamtéž, tabulka č. 5 nebo 11.</w:t>
      </w:r>
    </w:p>
  </w:footnote>
  <w:footnote w:id="16">
    <w:p>
      <w:pPr>
        <w:pStyle w:val="pp"/>
        <w:spacing w:before="0" w:after="40"/>
        <w:jc w:val="both"/>
        <w:rPr/>
      </w:pPr>
      <w:r>
        <w:rPr>
          <w:rStyle w:val="FootnoteCharacters"/>
        </w:rPr>
        <w:footnoteRef/>
      </w:r>
      <w:r>
        <w:rPr/>
        <w:t xml:space="preserve"> </w:t>
      </w:r>
      <w:r>
        <w:rPr/>
        <w:t>MNO je zkratka pro full mobilní operátory (ang. Mobile Network Operators).</w:t>
      </w:r>
    </w:p>
  </w:footnote>
  <w:footnote w:id="17">
    <w:p>
      <w:pPr>
        <w:pStyle w:val="pp"/>
        <w:spacing w:before="0" w:after="40"/>
        <w:jc w:val="both"/>
        <w:rPr/>
      </w:pPr>
      <w:r>
        <w:rPr>
          <w:rStyle w:val="FootnoteCharacters"/>
        </w:rPr>
        <w:footnoteRef/>
      </w:r>
      <w:r>
        <w:rPr/>
        <w:t xml:space="preserve"> </w:t>
      </w:r>
      <w:r>
        <w:rPr/>
        <w:t>Pro označení mobilních virtuálních operátorů je v textu používána i zkratka MVNO (ang. Mobile Virtual Network Operators).</w:t>
      </w:r>
    </w:p>
  </w:footnote>
  <w:footnote w:id="18">
    <w:p>
      <w:pPr>
        <w:pStyle w:val="pp"/>
        <w:spacing w:before="0" w:after="40"/>
        <w:jc w:val="both"/>
        <w:rPr/>
      </w:pPr>
      <w:r>
        <w:rPr>
          <w:rStyle w:val="FootnoteCharacters"/>
        </w:rPr>
        <w:footnoteRef/>
      </w:r>
      <w:r>
        <w:rPr/>
        <w:t xml:space="preserve"> </w:t>
      </w:r>
      <w:r>
        <w:rPr/>
        <w:t>Tzv. „</w:t>
      </w:r>
      <w:r>
        <w:rPr>
          <w:i/>
          <w:iCs/>
        </w:rPr>
        <w:t>HICP – monthly data (index)</w:t>
      </w:r>
      <w:r>
        <w:rPr/>
        <w:t xml:space="preserve">“ (ID datové sady prc_hicp_midx). DOI: </w:t>
      </w:r>
      <w:hyperlink r:id="rId3">
        <w:r>
          <w:rPr>
            <w:rStyle w:val="Hyperlink"/>
          </w:rPr>
          <w:t>https://doi.org/10.2908/PRC_HICP_MIDX</w:t>
        </w:r>
      </w:hyperlink>
      <w:r>
        <w:rPr/>
        <w:t>.</w:t>
      </w:r>
    </w:p>
  </w:footnote>
  <w:footnote w:id="19">
    <w:p>
      <w:pPr>
        <w:pStyle w:val="pp"/>
        <w:spacing w:before="0" w:after="40"/>
        <w:jc w:val="both"/>
        <w:rPr/>
      </w:pPr>
      <w:r>
        <w:rPr>
          <w:rStyle w:val="FootnoteCharacters"/>
        </w:rPr>
        <w:footnoteRef/>
      </w:r>
      <w:r>
        <w:rPr/>
        <w:t xml:space="preserve"> </w:t>
      </w:r>
      <w:r>
        <w:rPr/>
        <w:t>K tomu Úřad doplňuje, že právě z těchto zjištění mimo jiné vycházel při stanovování zkoumaného období.</w:t>
      </w:r>
    </w:p>
  </w:footnote>
  <w:footnote w:id="20">
    <w:p>
      <w:pPr>
        <w:pStyle w:val="pp"/>
        <w:spacing w:before="0" w:after="40"/>
        <w:jc w:val="both"/>
        <w:rPr/>
      </w:pPr>
      <w:r>
        <w:rPr>
          <w:rStyle w:val="FootnoteCharacters"/>
        </w:rPr>
        <w:footnoteRef/>
      </w:r>
      <w:r>
        <w:rPr/>
        <w:t xml:space="preserve"> </w:t>
      </w:r>
      <w:r>
        <w:rPr/>
        <w:t>K tomu Úřad doplňuje, že tento rozdíl existoval z logických důvodů po celé v grafu uvedené období, a tedy i v období, kdy obě hodnoty ARPU měly k sobě nominálně blízko.</w:t>
      </w:r>
    </w:p>
  </w:footnote>
  <w:footnote w:id="21">
    <w:p>
      <w:pPr>
        <w:pStyle w:val="pp"/>
        <w:spacing w:before="0" w:after="40"/>
        <w:jc w:val="both"/>
        <w:rPr/>
      </w:pPr>
      <w:r>
        <w:rPr>
          <w:rStyle w:val="FootnoteCharacters"/>
        </w:rPr>
        <w:footnoteRef/>
      </w:r>
      <w:r>
        <w:rPr/>
        <w:t xml:space="preserve"> </w:t>
      </w:r>
      <w:r>
        <w:rPr/>
        <w:t xml:space="preserve">Tj. služeb hrazených </w:t>
      </w:r>
      <w:r>
        <w:rPr>
          <w:i/>
          <w:iCs/>
        </w:rPr>
        <w:t>ex-post</w:t>
      </w:r>
      <w:r>
        <w:rPr/>
        <w:t>.</w:t>
      </w:r>
    </w:p>
  </w:footnote>
  <w:footnote w:id="22">
    <w:p>
      <w:pPr>
        <w:pStyle w:val="pp"/>
        <w:spacing w:before="0" w:after="40"/>
        <w:jc w:val="both"/>
        <w:rPr/>
      </w:pPr>
      <w:r>
        <w:rPr>
          <w:rStyle w:val="FootnoteCharacters"/>
        </w:rPr>
        <w:footnoteRef/>
      </w:r>
      <w:r>
        <w:rPr/>
        <w:t xml:space="preserve"> </w:t>
      </w:r>
      <w:r>
        <w:rPr/>
        <w:t xml:space="preserve">Což však neodpovídá údajům ohledně </w:t>
      </w:r>
      <w:r>
        <w:rPr>
          <w:highlight w:val="yellow"/>
        </w:rPr>
        <w:t>XXX</w:t>
      </w:r>
    </w:p>
  </w:footnote>
  <w:footnote w:id="23">
    <w:p>
      <w:pPr>
        <w:pStyle w:val="pp"/>
        <w:spacing w:before="0" w:after="40"/>
        <w:jc w:val="both"/>
        <w:rPr/>
      </w:pPr>
      <w:r>
        <w:rPr>
          <w:rStyle w:val="FootnoteCharacters"/>
        </w:rPr>
        <w:footnoteRef/>
      </w:r>
      <w:r>
        <w:rPr/>
        <w:t xml:space="preserve"> </w:t>
      </w:r>
      <w:r>
        <w:rPr/>
        <w:t>Viz Studie preferencí, str. 58.</w:t>
      </w:r>
    </w:p>
  </w:footnote>
  <w:footnote w:id="24">
    <w:p>
      <w:pPr>
        <w:pStyle w:val="pp"/>
        <w:spacing w:before="0" w:after="40"/>
        <w:jc w:val="both"/>
        <w:rPr/>
      </w:pPr>
      <w:r>
        <w:rPr>
          <w:rStyle w:val="FootnoteCharacters"/>
        </w:rPr>
        <w:footnoteRef/>
      </w:r>
      <w:r>
        <w:rPr/>
        <w:t xml:space="preserve"> </w:t>
      </w:r>
      <w:r>
        <w:rPr/>
        <w:t>Tamtéž, str. 60.</w:t>
      </w:r>
    </w:p>
  </w:footnote>
  <w:footnote w:id="25">
    <w:p>
      <w:pPr>
        <w:pStyle w:val="pp"/>
        <w:spacing w:before="0" w:after="40"/>
        <w:jc w:val="both"/>
        <w:rPr/>
      </w:pPr>
      <w:r>
        <w:rPr>
          <w:rStyle w:val="FootnoteCharacters"/>
        </w:rPr>
        <w:footnoteRef/>
      </w:r>
      <w:r>
        <w:rPr/>
        <w:t xml:space="preserve"> </w:t>
      </w:r>
      <w:r>
        <w:rPr/>
        <w:t>Tamtéž, str. 10.</w:t>
      </w:r>
    </w:p>
  </w:footnote>
  <w:footnote w:id="26">
    <w:p>
      <w:pPr>
        <w:pStyle w:val="pp"/>
        <w:spacing w:before="0" w:after="40"/>
        <w:jc w:val="both"/>
        <w:rPr/>
      </w:pPr>
      <w:r>
        <w:rPr>
          <w:rStyle w:val="FootnoteCharacters"/>
        </w:rPr>
        <w:footnoteRef/>
      </w:r>
      <w:r>
        <w:rPr/>
        <w:t xml:space="preserve"> </w:t>
      </w:r>
      <w:r>
        <w:rPr/>
        <w:t>Spočívající v tom, že spotřebitelé nemají nenákladnou možnost zjistit, jaké jsou skutečné tržní ceny mobilních telekomunikačních služeb.</w:t>
      </w:r>
    </w:p>
  </w:footnote>
  <w:footnote w:id="27">
    <w:p>
      <w:pPr>
        <w:pStyle w:val="pp"/>
        <w:spacing w:before="0" w:after="40"/>
        <w:jc w:val="both"/>
        <w:rPr/>
      </w:pPr>
      <w:r>
        <w:rPr>
          <w:rStyle w:val="FootnoteCharacters"/>
        </w:rPr>
        <w:footnoteRef/>
      </w:r>
      <w:r>
        <w:rPr/>
        <w:t xml:space="preserve"> </w:t>
      </w:r>
      <w:r>
        <w:rPr/>
        <w:t>Disponují dokonalými informacemi nad svojí zákaznickou bází a zároveň mají poměrně realistickou představu o skutečných cenách konkurentů díky dokonalým informacím o pohybech a tendencích k nim ve své zákaznické bázi.</w:t>
      </w:r>
    </w:p>
  </w:footnote>
  <w:footnote w:id="28">
    <w:p>
      <w:pPr>
        <w:pStyle w:val="pp"/>
        <w:spacing w:before="0" w:after="40"/>
        <w:jc w:val="both"/>
        <w:rPr/>
      </w:pPr>
      <w:r>
        <w:rPr>
          <w:rStyle w:val="FootnoteCharacters"/>
        </w:rPr>
        <w:footnoteRef/>
      </w:r>
      <w:r>
        <w:rPr/>
        <w:t xml:space="preserve"> </w:t>
      </w:r>
      <w:r>
        <w:rPr/>
        <w:t>Při individuálním vyjednávání o ceně mohou účtovat vyšší cenu těm spotřebitelům, kteří mají vyšší ochotu platit.</w:t>
      </w:r>
    </w:p>
  </w:footnote>
  <w:footnote w:id="29">
    <w:p>
      <w:pPr>
        <w:pStyle w:val="pp"/>
        <w:spacing w:before="0" w:after="40"/>
        <w:jc w:val="both"/>
        <w:rPr/>
      </w:pPr>
      <w:r>
        <w:rPr>
          <w:rStyle w:val="FootnoteCharacters"/>
        </w:rPr>
        <w:footnoteRef/>
      </w:r>
      <w:r>
        <w:rPr/>
        <w:t xml:space="preserve"> </w:t>
      </w:r>
      <w:r>
        <w:rPr/>
        <w:t>Rostoucí nebo zvýšené náklady na změnu poskytovatele služby přirozeně zvyšují ochotu platit za služby současného poskytovatele.</w:t>
      </w:r>
    </w:p>
  </w:footnote>
  <w:footnote w:id="30">
    <w:p>
      <w:pPr>
        <w:pStyle w:val="pp"/>
        <w:spacing w:before="0" w:after="40"/>
        <w:ind w:left="142" w:right="284"/>
        <w:jc w:val="left"/>
        <w:rPr/>
      </w:pPr>
      <w:r>
        <w:rPr>
          <w:rStyle w:val="FootnoteCharacters"/>
        </w:rPr>
        <w:footnoteRef/>
      </w:r>
      <w:r>
        <w:rPr/>
        <w:t xml:space="preserve"> </w:t>
      </w:r>
      <w:r>
        <w:rPr/>
        <w:t>Studie preferencí, str. 8.</w:t>
      </w:r>
    </w:p>
  </w:footnote>
  <w:footnote w:id="31">
    <w:p>
      <w:pPr>
        <w:pStyle w:val="pp"/>
        <w:spacing w:before="0" w:after="40"/>
        <w:ind w:left="142" w:right="284"/>
        <w:jc w:val="left"/>
        <w:rPr/>
      </w:pPr>
      <w:r>
        <w:rPr>
          <w:rStyle w:val="FootnoteCharacters"/>
        </w:rPr>
        <w:footnoteRef/>
      </w:r>
      <w:r>
        <w:rPr/>
        <w:t xml:space="preserve"> </w:t>
      </w:r>
      <w:r>
        <w:rPr/>
        <w:t xml:space="preserve">Dostupné na / </w:t>
      </w:r>
      <w:r>
        <w:rPr>
          <w:i/>
          <w:iCs/>
        </w:rPr>
        <w:t>Available at</w:t>
      </w:r>
      <w:r>
        <w:rPr/>
        <w:t xml:space="preserve">: </w:t>
      </w:r>
      <w:hyperlink r:id="rId4">
        <w:r>
          <w:rPr>
            <w:rStyle w:val="Hyperlink"/>
          </w:rPr>
          <w:t>https://anacom.pt/render.jsp?contentId=1778161</w:t>
        </w:r>
      </w:hyperlink>
      <w:r>
        <w:rPr/>
        <w:t>.</w:t>
      </w:r>
    </w:p>
  </w:footnote>
  <w:footnote w:id="32">
    <w:p>
      <w:pPr>
        <w:pStyle w:val="pp"/>
        <w:spacing w:before="0" w:after="40"/>
        <w:ind w:left="142" w:right="284"/>
        <w:jc w:val="left"/>
        <w:rPr/>
      </w:pPr>
      <w:r>
        <w:rPr>
          <w:rStyle w:val="FootnoteCharacters"/>
        </w:rPr>
        <w:footnoteRef/>
      </w:r>
      <w:r>
        <w:rPr/>
        <w:t xml:space="preserve"> </w:t>
      </w:r>
      <w:r>
        <w:rPr/>
        <w:t xml:space="preserve">Dostupné na / </w:t>
      </w:r>
      <w:r>
        <w:rPr>
          <w:i/>
          <w:iCs/>
        </w:rPr>
        <w:t>Available at</w:t>
      </w:r>
      <w:r>
        <w:rPr/>
        <w:t xml:space="preserve">: </w:t>
      </w:r>
      <w:hyperlink r:id="rId5">
        <w:r>
          <w:rPr>
            <w:rStyle w:val="Hyperlink"/>
          </w:rPr>
          <w:t>https://www.bwb.gv.at/en/news/detail/bwb-and-rtr-present-reports-on-the-telecom-sector-inquiry?sword_list%5B0%5D=mobilfunkmarkt&amp;cHash=9952f40bcc302a2e7ff04f6045fe2269</w:t>
        </w:r>
      </w:hyperlink>
      <w:r>
        <w:rPr/>
        <w:t>.</w:t>
      </w:r>
    </w:p>
  </w:footnote>
  <w:footnote w:id="33">
    <w:p>
      <w:pPr>
        <w:pStyle w:val="pp"/>
        <w:spacing w:before="0" w:after="40"/>
        <w:ind w:left="142" w:right="284"/>
        <w:jc w:val="left"/>
        <w:rPr/>
      </w:pPr>
      <w:r>
        <w:rPr>
          <w:rStyle w:val="FootnoteCharacters"/>
        </w:rPr>
        <w:footnoteRef/>
      </w:r>
      <w:r>
        <w:rPr/>
        <w:t xml:space="preserve"> </w:t>
      </w:r>
      <w:r>
        <w:rPr/>
        <w:t xml:space="preserve">Dostupné na / </w:t>
      </w:r>
      <w:r>
        <w:rPr>
          <w:i/>
          <w:iCs/>
        </w:rPr>
        <w:t>Available at</w:t>
      </w:r>
      <w:r>
        <w:rPr/>
        <w:t xml:space="preserve">: </w:t>
      </w:r>
      <w:hyperlink r:id="rId6">
        <w:r>
          <w:rPr>
            <w:rStyle w:val="Hyperlink"/>
          </w:rPr>
          <w:t>https://www.tresor.economie.gouv.fr/Articles/e7473e7a-5abc-4fc8-899c-1621d9b72d1d/files/29a63c9c-4e41-455a-ba41-942d2b096156</w:t>
        </w:r>
      </w:hyperlink>
      <w:r>
        <w:rPr/>
        <w:t>.</w:t>
      </w:r>
    </w:p>
  </w:footnote>
  <w:footnote w:id="34">
    <w:p>
      <w:pPr>
        <w:pStyle w:val="pp"/>
        <w:spacing w:before="0" w:after="40"/>
        <w:ind w:left="142" w:right="284"/>
        <w:jc w:val="left"/>
        <w:rPr/>
      </w:pPr>
      <w:r>
        <w:rPr>
          <w:rStyle w:val="FootnoteCharacters"/>
        </w:rPr>
        <w:footnoteRef/>
      </w:r>
      <w:r>
        <w:rPr/>
        <w:t xml:space="preserve"> </w:t>
      </w:r>
      <w:r>
        <w:rPr/>
        <w:t>Tamtéž, str. 4.</w:t>
      </w:r>
    </w:p>
  </w:footnote>
  <w:footnote w:id="35">
    <w:p>
      <w:pPr>
        <w:pStyle w:val="pp"/>
        <w:spacing w:before="0" w:after="40"/>
        <w:ind w:left="142" w:right="284"/>
        <w:jc w:val="left"/>
        <w:rPr/>
      </w:pPr>
      <w:r>
        <w:rPr>
          <w:rStyle w:val="FootnoteCharacters"/>
        </w:rPr>
        <w:footnoteRef/>
      </w:r>
      <w:r>
        <w:rPr/>
        <w:t xml:space="preserve"> </w:t>
      </w:r>
      <w:r>
        <w:rPr/>
        <w:t>Tamtéž.</w:t>
      </w:r>
    </w:p>
  </w:footnote>
  <w:footnote w:id="36">
    <w:p>
      <w:pPr>
        <w:pStyle w:val="pp"/>
        <w:spacing w:before="0" w:after="40"/>
        <w:jc w:val="both"/>
        <w:rPr/>
      </w:pPr>
      <w:r>
        <w:rPr>
          <w:rStyle w:val="FootnoteCharacters"/>
        </w:rPr>
        <w:footnoteRef/>
      </w:r>
      <w:r>
        <w:rPr/>
        <w:t xml:space="preserve"> </w:t>
      </w:r>
      <w:r>
        <w:rPr/>
        <w:t>Jednalo se o domácnosti, které učinily radikální krok vůči svému operátorovi, např. pohrozily přechodem k jinému operátorovi.</w:t>
      </w:r>
    </w:p>
  </w:footnote>
  <w:footnote w:id="37">
    <w:p>
      <w:pPr>
        <w:pStyle w:val="pp"/>
        <w:spacing w:before="0" w:after="40"/>
        <w:jc w:val="both"/>
        <w:rPr/>
      </w:pPr>
      <w:r>
        <w:rPr>
          <w:rStyle w:val="FootnoteCharacters"/>
        </w:rPr>
        <w:footnoteRef/>
      </w:r>
      <w:r>
        <w:rPr/>
        <w:t xml:space="preserve"> </w:t>
      </w:r>
      <w:r>
        <w:rPr/>
        <w:t>Např. předplacenými televizními kanály nebo dodatečnými SIM kartami.</w:t>
      </w:r>
    </w:p>
  </w:footnote>
  <w:footnote w:id="38">
    <w:p>
      <w:pPr>
        <w:pStyle w:val="pp"/>
        <w:spacing w:before="0" w:after="40"/>
        <w:jc w:val="both"/>
        <w:rPr/>
      </w:pPr>
      <w:r>
        <w:rPr>
          <w:rStyle w:val="FootnoteCharacters"/>
        </w:rPr>
        <w:footnoteRef/>
      </w:r>
      <w:r>
        <w:rPr/>
        <w:t xml:space="preserve"> </w:t>
      </w:r>
      <w:r>
        <w:rPr/>
        <w:t xml:space="preserve">Viz / </w:t>
      </w:r>
      <w:r>
        <w:rPr>
          <w:i/>
          <w:iCs/>
        </w:rPr>
        <w:t>See</w:t>
      </w:r>
      <w:r>
        <w:rPr/>
        <w:t xml:space="preserve">: </w:t>
      </w:r>
      <w:hyperlink r:id="rId7">
        <w:r>
          <w:rPr>
            <w:rStyle w:val="Hyperlink"/>
          </w:rPr>
          <w:t>https://globalcompetitionreview.com/article/uks-largest-mobile-networks-seek-dismiss-loyalty-penalty-class-action</w:t>
        </w:r>
      </w:hyperlink>
      <w:r>
        <w:rPr/>
        <w:t>.</w:t>
      </w:r>
    </w:p>
  </w:footnote>
  <w:footnote w:id="39">
    <w:p>
      <w:pPr>
        <w:pStyle w:val="pp"/>
        <w:spacing w:before="0" w:after="40"/>
        <w:ind w:left="142" w:right="284"/>
        <w:jc w:val="left"/>
        <w:rPr/>
      </w:pPr>
      <w:r>
        <w:rPr>
          <w:rStyle w:val="FootnoteCharacters"/>
        </w:rPr>
        <w:footnoteRef/>
      </w:r>
      <w:r>
        <w:rPr/>
        <w:t xml:space="preserve"> </w:t>
      </w:r>
      <w:r>
        <w:rPr/>
        <w:t xml:space="preserve">Dostupné na / </w:t>
      </w:r>
      <w:r>
        <w:rPr>
          <w:i/>
          <w:iCs/>
        </w:rPr>
        <w:t>Available at</w:t>
      </w:r>
      <w:r>
        <w:rPr/>
        <w:t xml:space="preserve">: </w:t>
      </w:r>
      <w:hyperlink r:id="rId8">
        <w:r>
          <w:rPr>
            <w:rStyle w:val="Hyperlink"/>
          </w:rPr>
          <w:t>https://www.tarifix.cz/mobilni-tarify/srovnani</w:t>
        </w:r>
      </w:hyperlink>
      <w:r>
        <w:rPr/>
        <w:t>.</w:t>
      </w:r>
    </w:p>
  </w:footnote>
  <w:footnote w:id="40">
    <w:p>
      <w:pPr>
        <w:pStyle w:val="pp"/>
        <w:spacing w:before="0" w:after="40"/>
        <w:ind w:left="142" w:right="284"/>
        <w:jc w:val="left"/>
        <w:rPr/>
      </w:pPr>
      <w:r>
        <w:rPr>
          <w:rStyle w:val="FootnoteCharacters"/>
        </w:rPr>
        <w:footnoteRef/>
      </w:r>
      <w:r>
        <w:rPr/>
        <w:t xml:space="preserve"> </w:t>
      </w:r>
      <w:r>
        <w:rPr/>
        <w:t xml:space="preserve">Dostupné na / </w:t>
      </w:r>
      <w:r>
        <w:rPr>
          <w:i/>
          <w:iCs/>
        </w:rPr>
        <w:t>Available at</w:t>
      </w:r>
      <w:r>
        <w:rPr/>
        <w:t xml:space="preserve">: </w:t>
      </w:r>
      <w:hyperlink r:id="rId9">
        <w:r>
          <w:rPr>
            <w:rStyle w:val="Hyperlink"/>
          </w:rPr>
          <w:t>https://mojeretence.ictx.cz/</w:t>
        </w:r>
      </w:hyperlink>
      <w:r>
        <w:rPr/>
        <w:t>.</w:t>
      </w:r>
    </w:p>
  </w:footnote>
  <w:footnote w:id="41">
    <w:p>
      <w:pPr>
        <w:pStyle w:val="pp"/>
        <w:spacing w:before="0" w:after="40"/>
        <w:jc w:val="both"/>
        <w:rPr/>
      </w:pPr>
      <w:r>
        <w:rPr>
          <w:rStyle w:val="FootnoteCharacters"/>
        </w:rPr>
        <w:footnoteRef/>
      </w:r>
      <w:r>
        <w:rPr/>
        <w:t xml:space="preserve"> </w:t>
      </w:r>
      <w:r>
        <w:rPr/>
        <w:t xml:space="preserve">Dostupné na / </w:t>
      </w:r>
      <w:r>
        <w:rPr>
          <w:i/>
          <w:iCs/>
        </w:rPr>
        <w:t>Available at</w:t>
      </w:r>
      <w:r>
        <w:rPr/>
        <w:t xml:space="preserve">: </w:t>
      </w:r>
      <w:hyperlink r:id="rId10">
        <w:r>
          <w:rPr>
            <w:rStyle w:val="Hyperlink"/>
          </w:rPr>
          <w:t>https://www.novinky.cz/clanek/internet-a-pc-mobil-podpultove-ceny-mobilnich-sluzeb-a-pevneho-internetu-usetri-tisice-40474764</w:t>
        </w:r>
      </w:hyperlink>
      <w:r>
        <w:rPr/>
        <w:t>.</w:t>
      </w:r>
    </w:p>
  </w:footnote>
  <w:footnote w:id="42">
    <w:p>
      <w:pPr>
        <w:pStyle w:val="pp"/>
        <w:spacing w:before="0" w:after="40"/>
        <w:jc w:val="both"/>
        <w:rPr/>
      </w:pPr>
      <w:r>
        <w:rPr>
          <w:rStyle w:val="FootnoteCharacters"/>
        </w:rPr>
        <w:footnoteRef/>
      </w:r>
      <w:r>
        <w:rPr/>
        <w:t xml:space="preserve"> </w:t>
      </w:r>
      <w:r>
        <w:rPr/>
        <w:t xml:space="preserve">Dostupné na / </w:t>
      </w:r>
      <w:r>
        <w:rPr>
          <w:i/>
          <w:iCs/>
        </w:rPr>
        <w:t>Available at</w:t>
      </w:r>
      <w:r>
        <w:rPr/>
        <w:t xml:space="preserve">: </w:t>
      </w:r>
      <w:hyperlink r:id="rId11">
        <w:r>
          <w:rPr>
            <w:rStyle w:val="Hyperlink"/>
          </w:rPr>
          <w:t>https://www.novinky.cz/clanek/ekonomika-pro-cechy-nejvyssi-ceny-srovnani-tarifu-mobilnich-dat-40471546</w:t>
        </w:r>
      </w:hyperlink>
      <w:r>
        <w:rPr/>
        <w:t>.</w:t>
      </w:r>
    </w:p>
  </w:footnote>
  <w:footnote w:id="43">
    <w:p>
      <w:pPr>
        <w:pStyle w:val="pp"/>
        <w:spacing w:before="0" w:after="40"/>
        <w:jc w:val="both"/>
        <w:rPr/>
      </w:pPr>
      <w:r>
        <w:rPr>
          <w:rStyle w:val="FootnoteCharacters"/>
        </w:rPr>
        <w:footnoteRef/>
      </w:r>
      <w:r>
        <w:rPr/>
        <w:t xml:space="preserve"> </w:t>
      </w:r>
      <w:r>
        <w:rPr/>
        <w:t xml:space="preserve">Dostupné na / </w:t>
      </w:r>
      <w:r>
        <w:rPr>
          <w:i/>
          <w:iCs/>
        </w:rPr>
        <w:t>Available at</w:t>
      </w:r>
      <w:r>
        <w:rPr/>
        <w:t xml:space="preserve">: </w:t>
      </w:r>
      <w:hyperlink r:id="rId12">
        <w:r>
          <w:rPr>
            <w:rStyle w:val="Hyperlink"/>
          </w:rPr>
          <w:t>https://domaci.hn.cz/c1-67105570-cesi-za-mobilni-data-plati-trikrat-vic-nez-zbytek-evropy-ctu-znovu-vola-po-regulaci</w:t>
        </w:r>
      </w:hyperlink>
      <w:r>
        <w:rPr/>
        <w:t>.</w:t>
      </w:r>
    </w:p>
  </w:footnote>
  <w:footnote w:id="44">
    <w:p>
      <w:pPr>
        <w:pStyle w:val="pp"/>
        <w:spacing w:before="0" w:after="40"/>
        <w:jc w:val="both"/>
        <w:rPr/>
      </w:pPr>
      <w:r>
        <w:rPr>
          <w:rStyle w:val="FootnoteCharacters"/>
        </w:rPr>
        <w:footnoteRef/>
      </w:r>
      <w:r>
        <w:rPr/>
        <w:t xml:space="preserve"> </w:t>
      </w:r>
      <w:r>
        <w:rPr/>
        <w:t xml:space="preserve">Dostupné na / </w:t>
      </w:r>
      <w:r>
        <w:rPr>
          <w:i/>
          <w:iCs/>
        </w:rPr>
        <w:t>Available at</w:t>
      </w:r>
      <w:r>
        <w:rPr/>
        <w:t xml:space="preserve">: </w:t>
      </w:r>
      <w:hyperlink r:id="rId13">
        <w:r>
          <w:rPr>
            <w:rStyle w:val="Hyperlink"/>
          </w:rPr>
          <w:t>https://www.evropavdatech.cz/clanek/12-za-kolik-se-vola-v-evrope/</w:t>
        </w:r>
      </w:hyperlink>
      <w:r>
        <w:rPr/>
        <w:t>.</w:t>
      </w:r>
    </w:p>
  </w:footnote>
  <w:footnote w:id="45">
    <w:p>
      <w:pPr>
        <w:pStyle w:val="pp"/>
        <w:spacing w:before="0" w:after="40"/>
        <w:jc w:val="both"/>
        <w:rPr/>
      </w:pPr>
      <w:r>
        <w:rPr>
          <w:rStyle w:val="FootnoteCharacters"/>
        </w:rPr>
        <w:footnoteRef/>
      </w:r>
      <w:r>
        <w:rPr/>
        <w:t xml:space="preserve"> </w:t>
      </w:r>
      <w:r>
        <w:rPr/>
        <w:t>Jak dokládají často se opakující veřejné informace o tom, že ceníkové ceny nejsou skutečnými cenami, a to zejména v kombinaci s veřejnou informací, že tyto ceníkové ceny jsou dle příslušných autorů excesivní.</w:t>
      </w:r>
    </w:p>
  </w:footnote>
  <w:footnote w:id="46">
    <w:p>
      <w:pPr>
        <w:pStyle w:val="pp"/>
        <w:spacing w:before="0" w:after="40"/>
        <w:jc w:val="both"/>
        <w:rPr/>
      </w:pPr>
      <w:r>
        <w:rPr>
          <w:rStyle w:val="FootnoteCharacters"/>
        </w:rPr>
        <w:footnoteRef/>
      </w:r>
      <w:r>
        <w:rPr/>
        <w:t xml:space="preserve"> </w:t>
      </w:r>
      <w:r>
        <w:rPr/>
        <w:t>Často bývá mylně spojována pouze s cenou, resp. její výší. Kdy tržní (v tomto případě ceníková) cena je jen jedním konkrétním nástrojem cenové konkurence. Jelikož se jedná o schopnost dosáhnout konkrétního hospodářského výsledku při dané tržní ceně, bývá nákladová strana hospodářské aktivity mylně a často opomíjena.</w:t>
      </w:r>
    </w:p>
  </w:footnote>
  <w:footnote w:id="47">
    <w:p>
      <w:pPr>
        <w:pStyle w:val="pp"/>
        <w:spacing w:before="0" w:after="40"/>
        <w:jc w:val="both"/>
        <w:rPr/>
      </w:pPr>
      <w:r>
        <w:rPr>
          <w:rStyle w:val="FootnoteCharacters"/>
        </w:rPr>
        <w:footnoteRef/>
      </w:r>
      <w:r>
        <w:rPr/>
        <w:t xml:space="preserve"> </w:t>
      </w:r>
      <w:r>
        <w:rPr/>
        <w:t>Tyto dvě podoby konkurence bývají často mylně zaměňovány, nebo dokonce ztotožňovány, což konec konců dokládají i mnohá mylná nebo zavádějící tvrzení subjektů v průběhu sektorového šetření.</w:t>
      </w:r>
    </w:p>
  </w:footnote>
  <w:footnote w:id="48">
    <w:p>
      <w:pPr>
        <w:pStyle w:val="pp"/>
        <w:spacing w:before="0" w:after="40"/>
        <w:jc w:val="both"/>
        <w:rPr/>
      </w:pPr>
      <w:r>
        <w:rPr>
          <w:rStyle w:val="FootnoteCharacters"/>
        </w:rPr>
        <w:footnoteRef/>
      </w:r>
      <w:r>
        <w:rPr/>
        <w:t xml:space="preserve"> </w:t>
      </w:r>
      <w:r>
        <w:rPr>
          <w:i/>
          <w:iCs/>
        </w:rPr>
        <w:t>Lock-in</w:t>
      </w:r>
      <w:r>
        <w:rPr/>
        <w:t xml:space="preserve"> renta označuje tržní jev, kdy uzavření spotřebitelů ve službách nabízejícího subjektu mu umožňuje účtovat vyšší ceny v důsledku snížené možnosti/ochoty/schopnosti změny poskytovatele služby. Informační renta označuje situaci, kdy je subjekt zejména na poptávkové straně trhu v informační nevýhodě a může mylně považovat hrazenou cenu za cenu odpovídající tržní situaci. Důsledkem je opět schopnost účtovat vyšší ceny za poskytované služby k újmě subjektů v informační nevýhodě. </w:t>
      </w:r>
      <w:r>
        <w:rPr>
          <w:i/>
          <w:iCs/>
        </w:rPr>
        <w:t>Loyalty penalty</w:t>
      </w:r>
      <w:r>
        <w:rPr/>
        <w:t xml:space="preserve"> je excesivní cena účtovaná stávajícím typicky méně aktivním zákazníkům. Byť jsou tyto příčiny různé, dopadem je ve všech třech případech vyšší cena hrazená významnou částí zákaznické báze, kterou lze označit za excesivní – tedy vyšší, než jaká by byla za normálních konkurenčních podmínek odpovídajících nedokonalé konkurenci (cena za situace rovnovážného množství určeného rovností mezního nákladu a mezního příjmu) v případě šetřené oblasti s oligopolní charakteristikou. Všechny tři příčiny tak vedou k narušení fungování hospodářské soutěže, neboť jednostranným jednáním nabízejících subjektů snižují bez objektivních důvodů přebytek spotřebitele.</w:t>
      </w:r>
    </w:p>
  </w:footnote>
  <w:footnote w:id="49">
    <w:p>
      <w:pPr>
        <w:pStyle w:val="pp"/>
        <w:spacing w:before="0" w:after="40"/>
        <w:ind w:left="142" w:right="284"/>
        <w:jc w:val="left"/>
        <w:rPr/>
      </w:pPr>
      <w:r>
        <w:rPr>
          <w:rStyle w:val="FootnoteCharacters"/>
        </w:rPr>
        <w:footnoteRef/>
      </w:r>
      <w:r>
        <w:rPr/>
        <w:t xml:space="preserve"> </w:t>
      </w:r>
      <w:r>
        <w:rPr/>
        <w:t>Tedy situace, kdy některá strana trhu ztrácí přehled o tom, jaké jsou skutečné tržní ceny za směňované statky. Dochází k prohlubování informační asymetrie, kterou mohou zneužít tržní subjekty, které jsou v informační výhodě, např. uplatňováním cenové diskriminace prvního stupně, tj. účtováním cen za poskytované služby až na úrovni ochoty platit konkrétních spotřebitelů. Tímto dochází k odčerpávání části přebytku spotřebitele ve prospěch přebytku výrobce na úkor jednotlivých spotřebitelů.</w:t>
      </w:r>
    </w:p>
  </w:footnote>
  <w:footnote w:id="50">
    <w:p>
      <w:pPr>
        <w:pStyle w:val="pp"/>
        <w:spacing w:before="0" w:after="40"/>
        <w:ind w:left="142" w:right="284"/>
        <w:jc w:val="left"/>
        <w:rPr/>
      </w:pPr>
      <w:r>
        <w:rPr>
          <w:rStyle w:val="FootnoteCharacters"/>
        </w:rPr>
        <w:footnoteRef/>
      </w:r>
      <w:r>
        <w:rPr/>
        <w:t xml:space="preserve"> </w:t>
      </w:r>
      <w:r>
        <w:rPr/>
        <w:t>Pokud chtějí lepší cenu, musí na svého operátora „tlačit“. Jinými slovy ví, že ceníkové, tj. veřejně oznámené, ceny nejsou skutečnými cenami za poskytované služby a že skutečné ceny jsou nižší. Přirozeně však spotřebitelé neví, o kolik jsou nižší, což otevírá prostor mobilním operátorům pro uplatňování cenové diskriminace prvního stupně.</w:t>
      </w:r>
    </w:p>
  </w:footnote>
  <w:footnote w:id="51">
    <w:p>
      <w:pPr>
        <w:pStyle w:val="pp"/>
        <w:spacing w:before="0" w:after="40"/>
        <w:ind w:left="142" w:right="284"/>
        <w:jc w:val="left"/>
        <w:rPr/>
      </w:pPr>
      <w:r>
        <w:rPr>
          <w:rStyle w:val="FootnoteCharacters"/>
        </w:rPr>
        <w:footnoteRef/>
      </w:r>
      <w:r>
        <w:rPr/>
        <w:t xml:space="preserve"> </w:t>
      </w:r>
      <w:r>
        <w:rPr/>
        <w:t>Viz Společná analýza s ČTÚ.</w:t>
      </w:r>
    </w:p>
  </w:footnote>
  <w:footnote w:id="52">
    <w:p>
      <w:pPr>
        <w:pStyle w:val="pp"/>
        <w:spacing w:before="0" w:after="40"/>
        <w:ind w:left="142" w:right="284"/>
        <w:jc w:val="left"/>
        <w:rPr/>
      </w:pPr>
      <w:r>
        <w:rPr>
          <w:rStyle w:val="FootnoteCharacters"/>
        </w:rPr>
        <w:footnoteRef/>
      </w:r>
      <w:r>
        <w:rPr/>
        <w:t xml:space="preserve"> </w:t>
      </w:r>
      <w:r>
        <w:rPr/>
        <w:t>Úřad disponoval statisticky významnými a spolehlivými výsledky ohledně komplementarity nebo jednostrannosti konkurenčních vztahů mezi operátory, ale i absencí statisticky významných projevů konkurenčních vztahů ve formě oboustranných substitučních vztahů.</w:t>
      </w:r>
    </w:p>
  </w:footnote>
  <w:footnote w:id="53">
    <w:p>
      <w:pPr>
        <w:pStyle w:val="pp"/>
        <w:spacing w:before="0" w:after="40"/>
        <w:ind w:left="142" w:right="284"/>
        <w:jc w:val="left"/>
        <w:rPr/>
      </w:pPr>
      <w:r>
        <w:rPr>
          <w:rStyle w:val="FootnoteCharacters"/>
        </w:rPr>
        <w:footnoteRef/>
      </w:r>
      <w:r>
        <w:rPr/>
        <w:t xml:space="preserve"> </w:t>
      </w:r>
      <w:r>
        <w:rPr/>
        <w:t>Praktiky vedoucí k uzavírání, omezení svobody volby či ke ztížení vstupu mohou být různého druhu. Viz např. věc T-201/04 Microsoft v. Komise, věc C-85/76 – Hoffmann-La Roche v. Komise, T-612/17 Google a Alphabet v. Komise, věc AT.40437 – Apple – App Store Practices aj.</w:t>
      </w:r>
    </w:p>
  </w:footnote>
  <w:footnote w:id="54">
    <w:p>
      <w:pPr>
        <w:pStyle w:val="pp"/>
        <w:spacing w:before="0" w:after="40"/>
        <w:ind w:left="142" w:right="284"/>
        <w:jc w:val="left"/>
        <w:rPr/>
      </w:pPr>
      <w:r>
        <w:rPr>
          <w:rStyle w:val="FootnoteCharacters"/>
        </w:rPr>
        <w:footnoteRef/>
      </w:r>
      <w:r>
        <w:rPr/>
        <w:t xml:space="preserve"> </w:t>
      </w:r>
      <w:r>
        <w:rPr/>
        <w:t>K tomu Úřad doplňuje, že v odborné literatuře nelze najít pasáž uvádějící, že povinností spotřebitele je vyhledávat nižší cenu nebo se o ni doprošovat u poskytovatele služeb. Takovou tržní situaci lze stěží považovat za „standardní“. Obdobně není možné najít pasáž, která by tvrdila, že taková situace je typickým jevem spojeným s fungující hospodářskou soutěží v konkurenční rovině na straně nabídky nebo schopností trhu nastolovat alokačně efektivní rovnováhy. Na druhou stranu lze najít množství odborné literatury pojednávající o nežádoucích dopadech cenové diskriminace prvního stupně na tržní situaci nebo o zásadní roli informační funkce ceny v tržním prostředí. Považovat tedy takový stav za normální a standardní či označovat za přirozené, že se subjekty v daném sektoru nerozhodují na základě cenových stimulů (když je zde pozorován specifický, oddělený a propracovaný specializovaný systém vytvořený za účelem zjišťování ochoty platit jednotlivých zákazníků), považuje Úřad za nekorektní. Úřad v této souvislosti naopak zdůrazňuje ekonomické jevy jako „náklady na vyhledávání“, „transakční náklady“ nebo „náklady obětované příležitosti“, jež jsou s danou situací spojeny na straně poptávajících subjektů a mají negativní dopady na jejich tržní pozici, chování a rozhodování.</w:t>
      </w:r>
    </w:p>
  </w:footnote>
  <w:footnote w:id="55">
    <w:p>
      <w:pPr>
        <w:pStyle w:val="pp"/>
        <w:spacing w:before="0" w:after="40"/>
        <w:ind w:left="142" w:right="284"/>
        <w:jc w:val="left"/>
        <w:rPr/>
      </w:pPr>
      <w:r>
        <w:rPr>
          <w:rStyle w:val="FootnoteCharacters"/>
        </w:rPr>
        <w:footnoteRef/>
      </w:r>
      <w:r>
        <w:rPr/>
        <w:t xml:space="preserve"> </w:t>
      </w:r>
      <w:r>
        <w:rPr/>
        <w:t xml:space="preserve">Dostupné na: </w:t>
      </w:r>
      <w:hyperlink r:id="rId14">
        <w:r>
          <w:rPr>
            <w:rStyle w:val="Hyperlink"/>
          </w:rPr>
          <w:t>https://uohs.gov.cz/cs/informacni-centrum/tiskove-zpravy/hospodarska-soutez/4377-urad-proveri-fungovani-hospodarske-souteze-v-oblasti-poskytovani-mobilnich-sluzeb.html</w:t>
        </w:r>
      </w:hyperlink>
      <w:r>
        <w:rPr/>
        <w:t>.</w:t>
      </w:r>
    </w:p>
  </w:footnote>
  <w:footnote w:id="56">
    <w:p>
      <w:pPr>
        <w:pStyle w:val="pp"/>
        <w:spacing w:before="0" w:after="40"/>
        <w:ind w:left="142" w:right="284"/>
        <w:jc w:val="left"/>
        <w:rPr/>
      </w:pPr>
      <w:r>
        <w:rPr>
          <w:rStyle w:val="FootnoteCharacters"/>
        </w:rPr>
        <w:footnoteRef/>
      </w:r>
      <w:r>
        <w:rPr/>
        <w:t xml:space="preserve"> </w:t>
      </w:r>
      <w:r>
        <w:rPr>
          <w:highlight w:val="yellow"/>
        </w:rPr>
        <w:t>XXX odkaz a citaci na tiskovou zprávu</w:t>
      </w:r>
      <w:r>
        <w:rPr/>
        <w:t>.</w:t>
      </w:r>
    </w:p>
  </w:footnote>
  <w:footnote w:id="57">
    <w:p>
      <w:pPr>
        <w:pStyle w:val="pp"/>
        <w:spacing w:before="0" w:after="40"/>
        <w:ind w:left="142" w:right="284"/>
        <w:jc w:val="left"/>
        <w:rPr/>
      </w:pPr>
      <w:r>
        <w:rPr>
          <w:rStyle w:val="FootnoteCharacters"/>
        </w:rPr>
        <w:footnoteRef/>
      </w:r>
      <w:r>
        <w:rPr/>
        <w:t xml:space="preserve"> </w:t>
      </w:r>
      <w:r>
        <w:rPr/>
        <w:t>Cit.: „</w:t>
      </w:r>
      <w:r>
        <w:rPr>
          <w:i/>
        </w:rPr>
        <w:t xml:space="preserve">Z poznatků získaných na základě prvotní analýzy provedené ve spolupráci s ČTÚ Úřad zjistil, že vzájemné vztahy mezi operátory je zapotřebí detailněji prověřit </w:t>
      </w:r>
      <w:r>
        <w:rPr>
          <w:b/>
          <w:i/>
        </w:rPr>
        <w:t>kvůli možné nefunkčnosti některých aspektů konkurence na trzích</w:t>
      </w:r>
      <w:r>
        <w:rPr/>
        <w:t>“, „</w:t>
      </w:r>
      <w:r>
        <w:rPr>
          <w:i/>
        </w:rPr>
        <w:t xml:space="preserve">Překvapivé též byly některé závěry ohledně jednostranně substitučních, ale i komplementárních vztahů, což indikuje potenciálně </w:t>
      </w:r>
      <w:r>
        <w:rPr>
          <w:b/>
          <w:i/>
        </w:rPr>
        <w:t>nesymetrické tržní postavení některých mobilních operátorů</w:t>
      </w:r>
      <w:r>
        <w:rPr>
          <w:i/>
        </w:rPr>
        <w:t xml:space="preserve">. Jedná se např. o zjištění, že </w:t>
      </w:r>
      <w:r>
        <w:rPr>
          <w:b/>
          <w:i/>
        </w:rPr>
        <w:t xml:space="preserve">hodnoty ARPU nedosahující ceníkových cen </w:t>
      </w:r>
      <w:r>
        <w:rPr>
          <w:i/>
        </w:rPr>
        <w:t xml:space="preserve">mobilních operátorů vedou k domněnce, že </w:t>
      </w:r>
      <w:r>
        <w:rPr>
          <w:b/>
          <w:i/>
        </w:rPr>
        <w:t>role neceníkových nabídek není zanedbatelná</w:t>
      </w:r>
      <w:r>
        <w:rPr>
          <w:i/>
        </w:rPr>
        <w:t xml:space="preserve">, což dokládá i </w:t>
      </w:r>
      <w:r>
        <w:rPr>
          <w:b/>
          <w:i/>
        </w:rPr>
        <w:t>průzkum mezi spotřebiteli provedený pro ČTÚ občanským sdružením IstroAnalytica Advisory v roce 2023</w:t>
      </w:r>
      <w:r>
        <w:rPr>
          <w:i/>
        </w:rPr>
        <w:t>.</w:t>
      </w:r>
      <w:r>
        <w:rPr/>
        <w:t>“ nebo „</w:t>
      </w:r>
      <w:r>
        <w:rPr>
          <w:b/>
          <w:i/>
        </w:rPr>
        <w:t>Skrývání tržních cen</w:t>
      </w:r>
      <w:r>
        <w:rPr>
          <w:i/>
        </w:rPr>
        <w:t xml:space="preserve"> za pomoci retenčních nabídek nebo uzavírání spotřebitelů v ekosystému služeb daného operátora pomocí balíčkování </w:t>
      </w:r>
      <w:r>
        <w:rPr>
          <w:b/>
          <w:i/>
        </w:rPr>
        <w:t>může potenciálně omezovat svobodu volby spotřebitelů a významně tím ve výsledku snižovat intenzitu hospodářské soutěže</w:t>
      </w:r>
      <w:r>
        <w:rPr>
          <w:i/>
        </w:rPr>
        <w:t xml:space="preserve"> mezi mobilními operátory.</w:t>
      </w:r>
      <w:r>
        <w:rPr/>
        <w:t>“</w:t>
      </w:r>
    </w:p>
  </w:footnote>
  <w:footnote w:id="58">
    <w:p>
      <w:pPr>
        <w:pStyle w:val="pp"/>
        <w:spacing w:before="0" w:after="40"/>
        <w:ind w:left="142" w:right="284"/>
        <w:jc w:val="left"/>
        <w:rPr/>
      </w:pPr>
      <w:r>
        <w:rPr>
          <w:rStyle w:val="FootnoteCharacters"/>
        </w:rPr>
        <w:footnoteRef/>
      </w:r>
      <w:r>
        <w:rPr/>
        <w:t xml:space="preserve"> </w:t>
      </w:r>
      <w:r>
        <w:rPr/>
        <w:t>V originále: „</w:t>
      </w:r>
      <w:r>
        <w:rPr>
          <w:lang w:val="en-GB"/>
        </w:rPr>
        <w:t>the difficulty of selling the larger quantity of goods without reducing the price</w:t>
      </w:r>
      <w:r>
        <w:rPr/>
        <w:t>“ (Sraffa, 1926).</w:t>
      </w:r>
    </w:p>
  </w:footnote>
  <w:footnote w:id="59">
    <w:p>
      <w:pPr>
        <w:pStyle w:val="pp"/>
        <w:spacing w:before="0" w:after="40"/>
        <w:ind w:left="142" w:right="284"/>
        <w:jc w:val="left"/>
        <w:rPr/>
      </w:pPr>
      <w:r>
        <w:rPr>
          <w:rStyle w:val="FootnoteCharacters"/>
        </w:rPr>
        <w:footnoteRef/>
      </w:r>
      <w:r>
        <w:rPr/>
        <w:t xml:space="preserve"> </w:t>
      </w:r>
      <w:r>
        <w:rPr/>
        <w:t>K tomu Úřad doplňuje, že křivka poptávky zároveň odráží průměrný příjem (</w:t>
      </w:r>
      <w:r>
        <w:rPr>
          <w:i/>
          <w:iCs/>
        </w:rPr>
        <w:t>AR</w:t>
      </w:r>
      <w:r>
        <w:rPr/>
        <w:t>).</w:t>
      </w:r>
    </w:p>
  </w:footnote>
  <w:footnote w:id="60">
    <w:p>
      <w:pPr>
        <w:pStyle w:val="pp"/>
        <w:spacing w:before="0" w:after="40"/>
        <w:ind w:left="142" w:right="284"/>
        <w:jc w:val="left"/>
        <w:rPr/>
      </w:pPr>
      <w:r>
        <w:rPr>
          <w:rStyle w:val="FootnoteCharacters"/>
        </w:rPr>
        <w:footnoteRef/>
      </w:r>
      <w:r>
        <w:rPr/>
        <w:t xml:space="preserve"> </w:t>
      </w:r>
      <w:r>
        <w:rPr/>
        <w:t>Rozuměj usměrňování zdrojů do výrob, které maximalizují uspokojení potřeb spotřebitelů.</w:t>
      </w:r>
    </w:p>
  </w:footnote>
  <w:footnote w:id="61">
    <w:p>
      <w:pPr>
        <w:pStyle w:val="pp"/>
        <w:spacing w:before="0" w:after="40"/>
        <w:ind w:left="142" w:right="284"/>
        <w:jc w:val="left"/>
        <w:rPr/>
      </w:pPr>
      <w:r>
        <w:rPr>
          <w:rStyle w:val="FootnoteCharacters"/>
        </w:rPr>
        <w:footnoteRef/>
      </w:r>
      <w:r>
        <w:rPr/>
        <w:t xml:space="preserve"> </w:t>
      </w:r>
      <w:r>
        <w:rPr/>
        <w:t xml:space="preserve">Dané rozdílem </w:t>
      </w:r>
      <w:r>
        <w:rPr>
          <w:i/>
          <w:iCs/>
        </w:rPr>
        <w:t>Q</w:t>
      </w:r>
      <w:r>
        <w:rPr>
          <w:i/>
          <w:iCs/>
          <w:vertAlign w:val="subscript"/>
        </w:rPr>
        <w:t>K</w:t>
      </w:r>
      <w:r>
        <w:rPr/>
        <w:t xml:space="preserve"> a </w:t>
      </w:r>
      <w:r>
        <w:rPr>
          <w:i/>
          <w:iCs/>
        </w:rPr>
        <w:t>Q</w:t>
      </w:r>
      <w:r>
        <w:rPr>
          <w:i/>
          <w:iCs/>
          <w:vertAlign w:val="subscript"/>
        </w:rPr>
        <w:t>E</w:t>
      </w:r>
      <w:r>
        <w:rPr/>
        <w:t>.</w:t>
      </w:r>
    </w:p>
  </w:footnote>
  <w:footnote w:id="62">
    <w:p>
      <w:pPr>
        <w:pStyle w:val="pp"/>
        <w:spacing w:before="0" w:after="40"/>
        <w:ind w:left="142" w:right="284"/>
        <w:jc w:val="left"/>
        <w:rPr/>
      </w:pPr>
      <w:r>
        <w:rPr>
          <w:rStyle w:val="FootnoteCharacters"/>
        </w:rPr>
        <w:footnoteRef/>
      </w:r>
      <w:r>
        <w:rPr/>
        <w:t xml:space="preserve"> </w:t>
      </w:r>
      <w:r>
        <w:rPr/>
        <w:t>Zachycené snížením mezních nákladů.</w:t>
      </w:r>
    </w:p>
  </w:footnote>
  <w:footnote w:id="63">
    <w:p>
      <w:pPr>
        <w:pStyle w:val="pp"/>
        <w:spacing w:before="0" w:after="40"/>
        <w:ind w:left="142" w:right="284"/>
        <w:jc w:val="left"/>
        <w:rPr/>
      </w:pPr>
      <w:r>
        <w:rPr>
          <w:rStyle w:val="FootnoteCharacters"/>
        </w:rPr>
        <w:footnoteRef/>
      </w:r>
      <w:r>
        <w:rPr/>
        <w:t xml:space="preserve"> </w:t>
      </w:r>
      <w:r>
        <w:rPr/>
        <w:t>Nemá vliv na rozsah vyráběné a nabízené produkce. Jediný nákladový rozdíl plyne ze zdrojů vynaložených na uplatňování a udržování vzniklé situace.</w:t>
      </w:r>
    </w:p>
  </w:footnote>
  <w:footnote w:id="64">
    <w:p>
      <w:pPr>
        <w:pStyle w:val="pp"/>
        <w:spacing w:before="0" w:after="40"/>
        <w:ind w:left="142" w:right="284"/>
        <w:jc w:val="left"/>
        <w:rPr/>
      </w:pPr>
      <w:r>
        <w:rPr>
          <w:rStyle w:val="FootnoteCharacters"/>
        </w:rPr>
        <w:footnoteRef/>
      </w:r>
      <w:r>
        <w:rPr/>
        <w:t xml:space="preserve"> </w:t>
      </w:r>
      <w:r>
        <w:rPr/>
        <w:t>Doplnit citace XXX.</w:t>
      </w:r>
    </w:p>
  </w:footnote>
  <w:footnote w:id="65">
    <w:p>
      <w:pPr>
        <w:pStyle w:val="pp"/>
        <w:spacing w:before="0" w:after="40"/>
        <w:ind w:left="142" w:right="284"/>
        <w:jc w:val="left"/>
        <w:rPr/>
      </w:pPr>
      <w:r>
        <w:rPr>
          <w:rStyle w:val="FootnoteCharacters"/>
        </w:rPr>
        <w:footnoteRef/>
      </w:r>
      <w:r>
        <w:rPr/>
        <w:t xml:space="preserve"> </w:t>
      </w:r>
      <w:r>
        <w:rPr/>
        <w:t>Vedle již zřejmého efektu zmírnění konkurenčního tlaku za pomocí snížené mobility mezi zákaznickými bázemi jednotlivých soutěžitelů.</w:t>
      </w:r>
    </w:p>
  </w:footnote>
  <w:footnote w:id="66">
    <w:p>
      <w:pPr>
        <w:pStyle w:val="pp"/>
        <w:spacing w:before="0" w:after="40"/>
        <w:ind w:left="142" w:right="284"/>
        <w:jc w:val="left"/>
        <w:rPr/>
      </w:pPr>
      <w:r>
        <w:rPr>
          <w:rStyle w:val="FootnoteCharacters"/>
        </w:rPr>
        <w:footnoteRef/>
      </w:r>
      <w:r>
        <w:rPr/>
        <w:t xml:space="preserve"> </w:t>
      </w:r>
      <w:r>
        <w:rPr/>
        <w:t>Tedy inverzním pohybem mezi těmito dvěma veličinami vyjádřeným znaménkem mínus před změnou výše cenové mezery.</w:t>
      </w:r>
    </w:p>
  </w:footnote>
  <w:footnote w:id="67">
    <w:p>
      <w:pPr>
        <w:pStyle w:val="pp"/>
        <w:spacing w:before="0" w:after="40"/>
        <w:ind w:left="142" w:right="284"/>
        <w:jc w:val="left"/>
        <w:rPr/>
      </w:pPr>
      <w:r>
        <w:rPr>
          <w:rStyle w:val="FootnoteCharacters"/>
        </w:rPr>
        <w:footnoteRef/>
      </w:r>
      <w:r>
        <w:rPr/>
        <w:t xml:space="preserve"> </w:t>
      </w:r>
      <w:r>
        <w:rPr/>
        <w:t xml:space="preserve">Rozsudek Tribunálu z 6. června 2002 ve věci T-342/99 – Airtours, dostupný na. </w:t>
      </w:r>
      <w:hyperlink r:id="rId15">
        <w:r>
          <w:rPr>
            <w:rStyle w:val="Hyperlink"/>
          </w:rPr>
          <w:t>https://eur-lex.europa.eu/legal-content/CS/TXT/?uri=CELEX:61999TJ0342</w:t>
        </w:r>
      </w:hyperlink>
      <w:r>
        <w:rPr/>
        <w:t>.</w:t>
      </w:r>
    </w:p>
  </w:footnote>
  <w:footnote w:id="68">
    <w:p>
      <w:pPr>
        <w:pStyle w:val="pp"/>
        <w:spacing w:before="0" w:after="40"/>
        <w:ind w:left="142" w:right="284"/>
        <w:jc w:val="left"/>
        <w:rPr/>
      </w:pPr>
      <w:r>
        <w:rPr>
          <w:rStyle w:val="FootnoteCharacters"/>
        </w:rPr>
        <w:footnoteRef/>
      </w:r>
      <w:r>
        <w:rPr/>
        <w:t xml:space="preserve"> </w:t>
      </w:r>
      <w:r>
        <w:rPr/>
        <w:t>Rozsudek Tribunálu ze dne 13. července 2006, ve věci Independent Music Publishers and Labels Association (Impala) v. Komise, T</w:t>
      </w:r>
      <w:r>
        <w:rPr>
          <w:rFonts w:cs="Cambria Math" w:ascii="Cambria Math" w:hAnsi="Cambria Math"/>
        </w:rPr>
        <w:noBreakHyphen/>
      </w:r>
      <w:r>
        <w:rPr/>
        <w:t xml:space="preserve">464/04, dostupný na. </w:t>
      </w:r>
      <w:hyperlink r:id="rId16">
        <w:r>
          <w:rPr>
            <w:rStyle w:val="Hyperlink"/>
          </w:rPr>
          <w:t>https://eur-lex.europa.eu/legal-content/CS/TXT/?uri=CELEX:62004TJ0464&amp;qid=1777893385435</w:t>
        </w:r>
      </w:hyperlink>
      <w:r>
        <w:rPr/>
        <w:t>.</w:t>
      </w:r>
    </w:p>
  </w:footnote>
  <w:footnote w:id="69">
    <w:p>
      <w:pPr>
        <w:pStyle w:val="pp"/>
        <w:spacing w:before="0" w:after="40"/>
        <w:ind w:left="142" w:right="284"/>
        <w:jc w:val="left"/>
        <w:rPr/>
      </w:pPr>
      <w:r>
        <w:rPr>
          <w:rStyle w:val="FootnoteCharacters"/>
        </w:rPr>
        <w:footnoteRef/>
      </w:r>
      <w:r>
        <w:rPr/>
        <w:t xml:space="preserve"> </w:t>
      </w:r>
      <w:r>
        <w:rPr/>
        <w:t xml:space="preserve">Rozsudek Soudního dvora ze dne 14. února 1978, United Brands Company a United Brands Continentaal BV v. Komise, věc 27/76, dostupný na. </w:t>
      </w:r>
      <w:hyperlink r:id="rId17">
        <w:r>
          <w:rPr>
            <w:rStyle w:val="Hyperlink"/>
          </w:rPr>
          <w:t>https://eur-lex.europa.eu/legal-content/EN/ALL/?uri=CELEX:61976CJ0027</w:t>
        </w:r>
      </w:hyperlink>
      <w:r>
        <w:rPr/>
        <w:t>.</w:t>
      </w:r>
    </w:p>
  </w:footnote>
  <w:footnote w:id="70">
    <w:p>
      <w:pPr>
        <w:pStyle w:val="pp"/>
        <w:spacing w:before="0" w:after="40"/>
        <w:ind w:left="142" w:right="284"/>
        <w:jc w:val="left"/>
        <w:rPr/>
      </w:pPr>
      <w:r>
        <w:rPr>
          <w:rStyle w:val="FootnoteCharacters"/>
        </w:rPr>
        <w:footnoteRef/>
      </w:r>
      <w:r>
        <w:rPr/>
        <w:t xml:space="preserve"> </w:t>
      </w:r>
      <w:r>
        <w:rPr/>
        <w:t>Rozsudek Soudního dvora ze dne 25. listopadu 2020, SABAM v. Weareone.World NV a Wecandance NV, věc C</w:t>
      </w:r>
      <w:r>
        <w:rPr>
          <w:rFonts w:cs="Cambria Math" w:ascii="Cambria Math" w:hAnsi="Cambria Math"/>
        </w:rPr>
        <w:noBreakHyphen/>
      </w:r>
      <w:r>
        <w:rPr/>
        <w:t xml:space="preserve">372/19, dostupný na: </w:t>
      </w:r>
      <w:hyperlink r:id="rId18">
        <w:r>
          <w:rPr>
            <w:rStyle w:val="Hyperlink"/>
          </w:rPr>
          <w:t>https://eur-lex.europa.eu/legal-content/CS/SUM/?uri=CELEX:62019CJ0372_RES&amp;qid=1777894430604</w:t>
        </w:r>
      </w:hyperlink>
      <w:r>
        <w:rPr/>
        <w:t>.</w:t>
      </w:r>
    </w:p>
  </w:footnote>
  <w:footnote w:id="71">
    <w:p>
      <w:pPr>
        <w:pStyle w:val="pp"/>
        <w:spacing w:before="0" w:after="40"/>
        <w:ind w:left="142" w:right="284"/>
        <w:jc w:val="left"/>
        <w:rPr/>
      </w:pPr>
      <w:r>
        <w:rPr>
          <w:rStyle w:val="FootnoteCharacters"/>
        </w:rPr>
        <w:footnoteRef/>
      </w:r>
      <w:r>
        <w:rPr/>
        <w:t xml:space="preserve"> </w:t>
      </w:r>
      <w:r>
        <w:rPr/>
        <w:t xml:space="preserve">Jinými slovy též tzv. </w:t>
      </w:r>
      <w:r>
        <w:rPr>
          <w:i/>
          <w:iCs/>
        </w:rPr>
        <w:t>granular invoice data</w:t>
      </w:r>
      <w:r>
        <w:rPr/>
        <w:t>.</w:t>
      </w:r>
    </w:p>
  </w:footnote>
  <w:footnote w:id="72">
    <w:p>
      <w:pPr>
        <w:pStyle w:val="pp"/>
        <w:spacing w:before="0" w:after="40"/>
        <w:ind w:left="142" w:right="284"/>
        <w:jc w:val="left"/>
        <w:rPr/>
      </w:pPr>
      <w:r>
        <w:rPr>
          <w:rStyle w:val="FootnoteCharacters"/>
        </w:rPr>
        <w:footnoteRef/>
      </w:r>
      <w:r>
        <w:rPr/>
        <w:t xml:space="preserve"> </w:t>
      </w:r>
      <w:r>
        <w:rPr/>
        <w:t>Operátoři tímto údajem již přirozeně disponují.</w:t>
      </w:r>
    </w:p>
  </w:footnote>
  <w:footnote w:id="73">
    <w:p>
      <w:pPr>
        <w:pStyle w:val="pp"/>
        <w:spacing w:before="0" w:after="40"/>
        <w:ind w:left="142" w:right="284"/>
        <w:jc w:val="left"/>
        <w:rPr/>
      </w:pPr>
      <w:r>
        <w:rPr>
          <w:rStyle w:val="FootnoteCharacters"/>
        </w:rPr>
        <w:footnoteRef/>
      </w:r>
      <w:r>
        <w:rPr/>
        <w:t xml:space="preserve"> </w:t>
      </w:r>
      <w:r>
        <w:rPr/>
        <w:t xml:space="preserve">Operátoři nemusí činit s tímto údajem žádné další úkony jako např. tzv. </w:t>
      </w:r>
      <w:r>
        <w:rPr>
          <w:i/>
          <w:iCs/>
        </w:rPr>
        <w:t>hashování</w:t>
      </w:r>
      <w:r>
        <w:rPr/>
        <w:t xml:space="preserve">, které v daném šetření ani není možné. Poskytoval-li by </w:t>
      </w:r>
      <w:r>
        <w:rPr>
          <w:i/>
          <w:iCs/>
        </w:rPr>
        <w:t>hash</w:t>
      </w:r>
      <w:r>
        <w:rPr/>
        <w:t xml:space="preserve"> Úřad, byl by schopen zpětně rekonstruovat jednotlivá telefonní čísla, čímž by tento postup zcela postrádal smyslu. Domluvili-li by se na společném </w:t>
      </w:r>
      <w:r>
        <w:rPr>
          <w:i/>
          <w:iCs/>
        </w:rPr>
        <w:t>hashi</w:t>
      </w:r>
      <w:r>
        <w:rPr/>
        <w:t xml:space="preserve"> operátoři mezi sebou, jednak by Úřad podpořil jejich vzájemnou kooperaci na tomto sektorovém šetření a jednak by nebyl schopen ověřit, zda byl </w:t>
      </w:r>
      <w:r>
        <w:rPr>
          <w:i/>
          <w:iCs/>
        </w:rPr>
        <w:t>hash</w:t>
      </w:r>
      <w:r>
        <w:rPr/>
        <w:t xml:space="preserve"> implementován řádně a s daty nebylo manipulováno. Zvyšovalo by se riziko nezbytnosti následujících kroků, dožádání a konzultací, které by byly pro soutěžitele zbytečně a vyhnutelně zatěžující.</w:t>
      </w:r>
    </w:p>
  </w:footnote>
  <w:footnote w:id="74">
    <w:p>
      <w:pPr>
        <w:pStyle w:val="pp"/>
        <w:spacing w:before="0" w:after="40"/>
        <w:ind w:left="142" w:right="284"/>
        <w:jc w:val="left"/>
        <w:rPr/>
      </w:pPr>
      <w:r>
        <w:rPr>
          <w:rStyle w:val="FootnoteCharacters"/>
        </w:rPr>
        <w:footnoteRef/>
      </w:r>
      <w:r>
        <w:rPr/>
        <w:t xml:space="preserve"> </w:t>
      </w:r>
      <w:r>
        <w:rPr/>
        <w:t>V předcházejícím období nebylo součástí této tabulky.</w:t>
      </w:r>
    </w:p>
  </w:footnote>
  <w:footnote w:id="75">
    <w:p>
      <w:pPr>
        <w:pStyle w:val="pp"/>
        <w:spacing w:before="0" w:after="40"/>
        <w:ind w:left="142" w:right="284"/>
        <w:jc w:val="left"/>
        <w:rPr/>
      </w:pPr>
      <w:r>
        <w:rPr>
          <w:rStyle w:val="FootnoteCharacters"/>
        </w:rPr>
        <w:footnoteRef/>
      </w:r>
      <w:r>
        <w:rPr/>
        <w:t xml:space="preserve"> </w:t>
      </w:r>
      <w:r>
        <w:rPr/>
        <w:t>Ukončení aktivních služeb na daném telefonním čísle při současné absenci přechodu do segmentu firem.</w:t>
      </w:r>
    </w:p>
  </w:footnote>
  <w:footnote w:id="76">
    <w:p>
      <w:pPr>
        <w:pStyle w:val="pp"/>
        <w:spacing w:before="0" w:after="40"/>
        <w:ind w:left="142" w:right="284"/>
        <w:jc w:val="left"/>
        <w:rPr/>
      </w:pPr>
      <w:r>
        <w:rPr>
          <w:rStyle w:val="FootnoteCharacters"/>
        </w:rPr>
        <w:footnoteRef/>
      </w:r>
      <w:r>
        <w:rPr/>
        <w:t xml:space="preserve"> </w:t>
      </w:r>
      <w:r>
        <w:rPr/>
        <w:t xml:space="preserve">Viz např. nizozemská Authority for Consumers and Markets, která provádí sektorové šetření v oblasti veterinárních služeb pro zvířata za využití mimo jiné i mikro dat (viz např. </w:t>
      </w:r>
      <w:hyperlink r:id="rId19">
        <w:r>
          <w:rPr>
            <w:rStyle w:val="Hyperlink"/>
          </w:rPr>
          <w:t>https://www.acm.nl/en/publications/public-consultation-draft-report-market-investigation-veterinary-services-pets</w:t>
        </w:r>
      </w:hyperlink>
      <w:r>
        <w:rPr/>
        <w:t>). K tomu Úřad dodává, že šetření na mikro datech tedy není omezeno pouze na soutěžní úřady větších členských států.</w:t>
      </w:r>
    </w:p>
  </w:footnote>
  <w:footnote w:id="77">
    <w:p>
      <w:pPr>
        <w:pStyle w:val="pp"/>
        <w:spacing w:before="0" w:after="40"/>
        <w:ind w:left="142" w:right="284"/>
        <w:jc w:val="left"/>
        <w:rPr/>
      </w:pPr>
      <w:r>
        <w:rPr>
          <w:rStyle w:val="FootnoteCharacters"/>
        </w:rPr>
        <w:footnoteRef/>
      </w:r>
      <w:r>
        <w:rPr/>
        <w:t xml:space="preserve"> </w:t>
      </w:r>
      <w:r>
        <w:rPr/>
        <w:t xml:space="preserve">Viz např. analýza Evropské komise provedená v oblasti online hotelových rezervací v roce 2016. Dostupné na: </w:t>
      </w:r>
      <w:hyperlink r:id="rId20">
        <w:r>
          <w:rPr>
            <w:rStyle w:val="Hyperlink"/>
          </w:rPr>
          <w:t>https://competition-policy.ec.europa.eu/system/files/2021-07/hotel_monitoring_report_en.pdf</w:t>
        </w:r>
      </w:hyperlink>
      <w:r>
        <w:rPr/>
        <w:t>.</w:t>
      </w:r>
    </w:p>
  </w:footnote>
  <w:footnote w:id="78">
    <w:p>
      <w:pPr>
        <w:pStyle w:val="pp"/>
        <w:spacing w:before="0" w:after="40"/>
        <w:ind w:left="142" w:right="284"/>
        <w:jc w:val="left"/>
        <w:rPr/>
      </w:pPr>
      <w:r>
        <w:rPr>
          <w:rStyle w:val="FootnoteCharacters"/>
        </w:rPr>
        <w:footnoteRef/>
      </w:r>
      <w:r>
        <w:rPr/>
        <w:t xml:space="preserve"> </w:t>
      </w:r>
      <w:r>
        <w:rPr/>
        <w:t>Viz např. sektorové šetření v oblasti veřejně přístupných dobíjecích stanic v České republice.</w:t>
      </w:r>
    </w:p>
  </w:footnote>
  <w:footnote w:id="79">
    <w:p>
      <w:pPr>
        <w:pStyle w:val="pp"/>
        <w:spacing w:before="0" w:after="40"/>
        <w:ind w:left="142" w:right="284"/>
        <w:jc w:val="left"/>
        <w:rPr/>
      </w:pPr>
      <w:r>
        <w:rPr>
          <w:rStyle w:val="FootnoteCharacters"/>
        </w:rPr>
        <w:footnoteRef/>
      </w:r>
      <w:r>
        <w:rPr/>
        <w:t xml:space="preserve"> </w:t>
      </w:r>
      <w:r>
        <w:rPr/>
        <w:t xml:space="preserve">Viz např. Sviták, J. a kol. 2021. </w:t>
      </w:r>
      <w:r>
        <w:rPr>
          <w:i/>
          <w:iCs/>
        </w:rPr>
        <w:t>Price effects of search advertising restrictions</w:t>
      </w:r>
      <w:r>
        <w:rPr/>
        <w:t>. International Journal of Industrial Organization, Vol. 77, No. 102736.</w:t>
      </w:r>
    </w:p>
  </w:footnote>
  <w:footnote w:id="80">
    <w:p>
      <w:pPr>
        <w:pStyle w:val="pp"/>
        <w:spacing w:before="0" w:after="40"/>
        <w:ind w:left="142" w:right="284"/>
        <w:jc w:val="left"/>
        <w:rPr/>
      </w:pPr>
      <w:r>
        <w:rPr>
          <w:rStyle w:val="FootnoteCharacters"/>
        </w:rPr>
        <w:footnoteRef/>
      </w:r>
      <w:r>
        <w:rPr/>
        <w:t xml:space="preserve"> </w:t>
      </w:r>
      <w:r>
        <w:rPr/>
        <w:t xml:space="preserve">Viz např. / </w:t>
      </w:r>
      <w:r>
        <w:rPr>
          <w:i/>
          <w:iCs/>
        </w:rPr>
        <w:t>See for example</w:t>
      </w:r>
      <w:r>
        <w:rPr/>
        <w:t xml:space="preserve">: </w:t>
      </w:r>
      <w:hyperlink r:id="rId21">
        <w:r>
          <w:rPr>
            <w:rStyle w:val="Hyperlink"/>
          </w:rPr>
          <w:t>https://spolecnost.o2.cz/tiskove-centrum/muzi-zachranuji-vanoce-na-posledni-chvili-na-stedry-den-tvorili-56-nakupujicich</w:t>
        </w:r>
      </w:hyperlink>
      <w:r>
        <w:rPr/>
        <w:t>.</w:t>
      </w:r>
    </w:p>
  </w:footnote>
  <w:footnote w:id="81">
    <w:p>
      <w:pPr>
        <w:pStyle w:val="pp"/>
        <w:spacing w:before="0" w:after="40"/>
        <w:ind w:left="142" w:right="284"/>
        <w:jc w:val="left"/>
        <w:rPr/>
      </w:pPr>
      <w:r>
        <w:rPr>
          <w:rStyle w:val="FootnoteCharacters"/>
        </w:rPr>
        <w:footnoteRef/>
      </w:r>
      <w:r>
        <w:rPr/>
        <w:t xml:space="preserve"> </w:t>
      </w:r>
      <w:r>
        <w:rPr/>
        <w:t>V tomto případě lze uvažovat nad agregací např. po jednotlivých službách, soutěžitelích, regionech nebo třeba jasně identifikovatelných skupinách poptávajících.</w:t>
      </w:r>
    </w:p>
  </w:footnote>
  <w:footnote w:id="82">
    <w:p>
      <w:pPr>
        <w:pStyle w:val="pp"/>
        <w:spacing w:before="0" w:after="40"/>
        <w:ind w:left="142" w:right="284"/>
        <w:jc w:val="left"/>
        <w:rPr/>
      </w:pPr>
      <w:r>
        <w:rPr>
          <w:rStyle w:val="FootnoteCharacters"/>
        </w:rPr>
        <w:footnoteRef/>
      </w:r>
      <w:r>
        <w:rPr/>
        <w:t xml:space="preserve"> </w:t>
      </w:r>
      <w:r>
        <w:rPr/>
        <w:t>Úřad si v této souvislosti dovoluje upozornit na to, že zcela běžným analytickým i vědeckým postupem je hledání odpovídající konkrétní metody analýzy až na základě kvality a charakteru dat. Čili data určují konkrétní metodu, nikoliv metoda dostupná data. Metoda je jen nástrojem, jak z dat extrahovat potřebné informace. Postupoval-li by Úřad způsobem výběru zamýšlené metody a následné přesné specifikace dat, která mají soutěžitelé pro účely šetření připravit, jednal by v přímém rozporu s principem minimalizace zátěže soutěžitelů a zvyšoval by pravděpodobnost chyb v získaných výsledcích.</w:t>
      </w:r>
    </w:p>
  </w:footnote>
  <w:footnote w:id="83">
    <w:p>
      <w:pPr>
        <w:pStyle w:val="pp"/>
        <w:spacing w:before="0" w:after="40"/>
        <w:ind w:left="142" w:right="284"/>
        <w:jc w:val="left"/>
        <w:rPr/>
      </w:pPr>
      <w:r>
        <w:rPr>
          <w:rStyle w:val="FootnoteCharacters"/>
        </w:rPr>
        <w:footnoteRef/>
      </w:r>
      <w:r>
        <w:rPr/>
        <w:t xml:space="preserve"> </w:t>
      </w:r>
      <w:r>
        <w:rPr/>
        <w:t>Z tohoto důvodu se práce s mikro daty omezuje skutečně jen a pouze na situace a šetření, ve kterých je to úplně nezbytné. Například v tomto sektorovém šetření, jehož objektem jsou cenové strategie soutěžitelů, které bez skutečných cenových údajů na individuální bázi a jejich vlivu na chování a rozhodování těchto subjektů nelze posoudit.</w:t>
      </w:r>
    </w:p>
  </w:footnote>
  <w:footnote w:id="84">
    <w:p>
      <w:pPr>
        <w:pStyle w:val="pp"/>
        <w:spacing w:before="0" w:after="40"/>
        <w:ind w:left="142" w:right="284"/>
        <w:jc w:val="left"/>
        <w:rPr/>
      </w:pPr>
      <w:r>
        <w:rPr>
          <w:rStyle w:val="FootnoteCharacters"/>
        </w:rPr>
        <w:footnoteRef/>
      </w:r>
      <w:r>
        <w:rPr/>
        <w:t xml:space="preserve"> </w:t>
      </w:r>
      <w:r>
        <w:rPr/>
        <w:t>Úřad má pouze jedno malé pracoviště (pět systemizovaných míst + místo vedoucího), které má za úkol zpracovávat kvantitativní podklady a analýzy takového rozsahu. Srovnej např. s velikostí data-analytických a ekonomicko-analytických útvarů jiných orgánů ve veřejném sektoru. Z tohoto důvodu je ke zpracování mikro dat Úřadem přistupováno jen v situacích, kdy je to skutečně nezbytně nutné.</w:t>
      </w:r>
    </w:p>
  </w:footnote>
  <w:footnote w:id="85">
    <w:p>
      <w:pPr>
        <w:pStyle w:val="pp"/>
        <w:spacing w:before="0" w:after="40"/>
        <w:ind w:left="142" w:right="284"/>
        <w:jc w:val="left"/>
        <w:rPr/>
      </w:pPr>
      <w:r>
        <w:rPr>
          <w:rStyle w:val="FootnoteCharacters"/>
        </w:rPr>
        <w:footnoteRef/>
      </w:r>
      <w:r>
        <w:rPr/>
        <w:t xml:space="preserve"> </w:t>
      </w:r>
      <w:r>
        <w:rPr/>
        <w:t>Například v případě, kdy by konkurenční soutěžitelé nabízeli sice identický produkt od stejného dodavatele, ale pojmenovávali by si jej ve vlastních systémech dle svého uvážení (např. v sektoru prodeje nábytku) a zároveň by neexistoval unikátní produktový kód, který např. existuje ve formě tzv. EAN kódu u potravin. V takovém případě by nebylo možné jednotlivé datasety strojově propojit. Toto však není případ dotčeného sektorového šetření, kdy sice jednotliví soutěžitelé nabízí unikátní (byť subjekty tvrzená variabilita nabízených služeb je pochybná a liší se v jednotlivých cenových úrovních jen minimálně např. řádově jednotkami GB mobilních dat a zároveň nelze rozumně očekávat, že (ne)pokrytí sídla se 100 obyvateli signálem mobilní sítě konkrétního operátora bude mít měřitelný dopad na situaci v České republice) služby s unikátním názvem, jejich obsah je však snadno srovnatelný (právě např. přes množství provolaných minut, odeslaných SMS zpráv nebo využitých mobilních dat.</w:t>
      </w:r>
    </w:p>
  </w:footnote>
  <w:footnote w:id="86">
    <w:p>
      <w:pPr>
        <w:pStyle w:val="pp"/>
        <w:spacing w:before="0" w:after="40"/>
        <w:ind w:left="142" w:right="284"/>
        <w:jc w:val="left"/>
        <w:rPr/>
      </w:pPr>
      <w:r>
        <w:rPr>
          <w:rStyle w:val="FootnoteCharacters"/>
        </w:rPr>
        <w:footnoteRef/>
      </w:r>
      <w:r>
        <w:rPr/>
        <w:t xml:space="preserve"> </w:t>
      </w:r>
      <w:r>
        <w:rPr/>
        <w:t>Další důvod svědčící o tom, že se Úřad do analýz mikro dat pouští jen a pouze v případech, kdy je to nezbytně nutné.</w:t>
      </w:r>
    </w:p>
  </w:footnote>
  <w:footnote w:id="87">
    <w:p>
      <w:pPr>
        <w:pStyle w:val="pp"/>
        <w:spacing w:before="0" w:after="40"/>
        <w:ind w:left="142" w:right="284"/>
        <w:jc w:val="left"/>
        <w:rPr/>
      </w:pPr>
      <w:r>
        <w:rPr>
          <w:rStyle w:val="FootnoteCharacters"/>
        </w:rPr>
        <w:footnoteRef/>
      </w:r>
      <w:r>
        <w:rPr/>
        <w:t xml:space="preserve"> </w:t>
      </w:r>
      <w:r>
        <w:rPr/>
        <w:t>Což dokládá samotný průběh sektorového šetření.</w:t>
      </w:r>
    </w:p>
  </w:footnote>
  <w:footnote w:id="88">
    <w:p>
      <w:pPr>
        <w:pStyle w:val="pp"/>
        <w:spacing w:before="0" w:after="40"/>
        <w:ind w:left="142" w:right="284"/>
        <w:jc w:val="left"/>
        <w:rPr/>
      </w:pPr>
      <w:r>
        <w:rPr>
          <w:rStyle w:val="FootnoteCharacters"/>
        </w:rPr>
        <w:footnoteRef/>
      </w:r>
      <w:r>
        <w:rPr/>
        <w:t xml:space="preserve"> </w:t>
      </w:r>
      <w:r>
        <w:rPr/>
        <w:t xml:space="preserve">Což konec konců potvrdil i Krajský soud v Brně. Viz </w:t>
      </w:r>
      <w:r>
        <w:rPr>
          <w:highlight w:val="yellow"/>
        </w:rPr>
        <w:t>XXX</w:t>
      </w:r>
    </w:p>
  </w:footnote>
  <w:footnote w:id="89">
    <w:p>
      <w:pPr>
        <w:pStyle w:val="pp"/>
        <w:spacing w:before="0" w:after="40"/>
        <w:ind w:left="142" w:right="284"/>
        <w:jc w:val="left"/>
        <w:rPr/>
      </w:pPr>
      <w:r>
        <w:rPr>
          <w:rStyle w:val="FootnoteCharacters"/>
        </w:rPr>
        <w:footnoteRef/>
      </w:r>
      <w:r>
        <w:rPr/>
        <w:t xml:space="preserve"> </w:t>
      </w:r>
      <w:r>
        <w:rPr/>
        <w:t>Ověřit zejména hypotézu o neutralizaci nástrojů cenové konkurence v důsledku neceníkových nebo mimoceníkových nabídek.</w:t>
      </w:r>
    </w:p>
  </w:footnote>
  <w:footnote w:id="90">
    <w:p>
      <w:pPr>
        <w:pStyle w:val="pp"/>
        <w:spacing w:before="0" w:after="40"/>
        <w:ind w:left="142" w:right="284"/>
        <w:jc w:val="left"/>
        <w:rPr/>
      </w:pPr>
      <w:r>
        <w:rPr>
          <w:rStyle w:val="FootnoteCharacters"/>
        </w:rPr>
        <w:footnoteRef/>
      </w:r>
      <w:r>
        <w:rPr/>
        <w:t xml:space="preserve"> </w:t>
      </w:r>
      <w:r>
        <w:rPr/>
        <w:t>K tomu Úřad vysvětluje, že za předpokladu rovnoměrného časového rozložení počátků smluv na mobilní tarify by typický zákazník měl pouze jednu příležitost případně změnit poskytovatele mobilních služeb během dvouletého období. Délka sledovaného období v rozsahu dvou let je tedy zcela nedostatečná k posouzení fungování hospodářské soutěže v kontextu funkčnosti cenové konkurence, neboť by byla spíše statická (Úřad by vycházel z jednoho záznamu spotřebitele o možné změně).</w:t>
      </w:r>
    </w:p>
  </w:footnote>
  <w:footnote w:id="91">
    <w:p>
      <w:pPr>
        <w:pStyle w:val="pp"/>
        <w:spacing w:before="0" w:after="40"/>
        <w:ind w:left="142" w:right="284"/>
        <w:jc w:val="left"/>
        <w:rPr/>
      </w:pPr>
      <w:r>
        <w:rPr>
          <w:rStyle w:val="FootnoteCharacters"/>
        </w:rPr>
        <w:footnoteRef/>
      </w:r>
      <w:r>
        <w:rPr/>
        <w:t xml:space="preserve"> </w:t>
      </w:r>
      <w:r>
        <w:rPr/>
        <w:t>Či přechodu k jinému typu smlouvy nebo služby.</w:t>
      </w:r>
    </w:p>
  </w:footnote>
  <w:footnote w:id="92">
    <w:p>
      <w:pPr>
        <w:pStyle w:val="pp"/>
        <w:spacing w:before="0" w:after="40"/>
        <w:ind w:left="142" w:right="284"/>
        <w:jc w:val="left"/>
        <w:rPr/>
      </w:pPr>
      <w:r>
        <w:rPr>
          <w:rStyle w:val="FootnoteCharacters"/>
        </w:rPr>
        <w:footnoteRef/>
      </w:r>
      <w:r>
        <w:rPr/>
        <w:t xml:space="preserve"> </w:t>
      </w:r>
      <w:r>
        <w:rPr/>
        <w:t>Úřad se při stanovování zkoumaných období snaží držet kalendářních let, se kterými soutěžitelé nejčastěji běžně pracují.</w:t>
      </w:r>
    </w:p>
  </w:footnote>
  <w:footnote w:id="93">
    <w:p>
      <w:pPr>
        <w:pStyle w:val="pp"/>
        <w:spacing w:before="0" w:after="40"/>
        <w:ind w:left="142" w:right="284"/>
        <w:jc w:val="left"/>
        <w:rPr/>
      </w:pPr>
      <w:r>
        <w:rPr>
          <w:rStyle w:val="FootnoteCharacters"/>
        </w:rPr>
        <w:footnoteRef/>
      </w:r>
      <w:r>
        <w:rPr/>
        <w:t xml:space="preserve"> </w:t>
      </w:r>
      <w:r>
        <w:rPr/>
        <w:t xml:space="preserve">Z tohoto důvodu například v případě sektorového šetření v oblasti veřejně přístupných dobíjecích stanic optimální zkoumané období analýz naopak zkracoval, neboť zohlednil celkový počet elektromobilů a dobíjecích stanic před rozhodným obdobím, kdy rozumně předpokládal, že elektromobily disponovali tzv. </w:t>
      </w:r>
      <w:r>
        <w:rPr>
          <w:i/>
          <w:iCs/>
        </w:rPr>
        <w:t>early adopters</w:t>
      </w:r>
      <w:r>
        <w:rPr/>
        <w:t xml:space="preserve">, jejichž chování by výsledky analýz spíše zkreslovalo. Z tohoto důvodu v případě tohoto sektorového šetření bylo období analýz zkráceno, aby se vliv tzv. </w:t>
      </w:r>
      <w:r>
        <w:rPr>
          <w:i/>
          <w:iCs/>
        </w:rPr>
        <w:t>early adopters</w:t>
      </w:r>
      <w:r>
        <w:rPr/>
        <w:t xml:space="preserve"> potlačil. K tomu Úřad dodává, že soutěžitelé starší transakční údaje mají a bezproblémově by je poskytli, ale taková data by nepřispěla dle správního uvážení Úřadu k naplnění účelu sektorového šetření v oblasti provozování veřejně přístupných dobíjecích stanic.</w:t>
      </w:r>
    </w:p>
  </w:footnote>
  <w:footnote w:id="94">
    <w:p>
      <w:pPr>
        <w:pStyle w:val="pp"/>
        <w:spacing w:before="0" w:after="40"/>
        <w:ind w:left="142" w:right="284"/>
        <w:jc w:val="left"/>
        <w:rPr/>
      </w:pPr>
      <w:r>
        <w:rPr>
          <w:rStyle w:val="FootnoteCharacters"/>
        </w:rPr>
        <w:footnoteRef/>
      </w:r>
      <w:r>
        <w:rPr/>
        <w:t xml:space="preserve"> </w:t>
      </w:r>
      <w:r>
        <w:rPr/>
        <w:t>Což konec konců dokládalo i relativní posouzení cenového vývoje provedeného Úřadem před zahájením tohoto sektorového šetření.</w:t>
      </w:r>
    </w:p>
  </w:footnote>
  <w:footnote w:id="95">
    <w:p>
      <w:pPr>
        <w:pStyle w:val="pp"/>
        <w:spacing w:before="0" w:after="40"/>
        <w:ind w:left="142" w:right="284"/>
        <w:jc w:val="left"/>
        <w:rPr/>
      </w:pPr>
      <w:r>
        <w:rPr>
          <w:rStyle w:val="FootnoteCharacters"/>
        </w:rPr>
        <w:footnoteRef/>
      </w:r>
      <w:r>
        <w:rPr/>
        <w:t xml:space="preserve"> </w:t>
      </w:r>
      <w:r>
        <w:rPr/>
        <w:t xml:space="preserve">Vč. možné role </w:t>
      </w:r>
      <w:r>
        <w:rPr>
          <w:i/>
          <w:iCs/>
        </w:rPr>
        <w:t>one-stop-shop</w:t>
      </w:r>
      <w:r>
        <w:rPr/>
        <w:t xml:space="preserve"> efektů a pod.</w:t>
      </w:r>
    </w:p>
  </w:footnote>
  <w:footnote w:id="96">
    <w:p>
      <w:pPr>
        <w:pStyle w:val="pp"/>
        <w:spacing w:before="0" w:after="40"/>
        <w:ind w:left="142" w:right="284"/>
        <w:jc w:val="left"/>
        <w:rPr/>
      </w:pPr>
      <w:r>
        <w:rPr>
          <w:rStyle w:val="FootnoteCharacters"/>
        </w:rPr>
        <w:footnoteRef/>
      </w:r>
      <w:r>
        <w:rPr/>
        <w:t xml:space="preserve"> </w:t>
      </w:r>
      <w:r>
        <w:rPr/>
        <w:t>Anglicky tzv. „</w:t>
      </w:r>
      <w:r>
        <w:rPr>
          <w:i/>
          <w:iCs/>
        </w:rPr>
        <w:t>behavioral bias</w:t>
      </w:r>
      <w:r>
        <w:rPr/>
        <w:t>“.</w:t>
      </w:r>
    </w:p>
  </w:footnote>
  <w:footnote w:id="97">
    <w:p>
      <w:pPr>
        <w:pStyle w:val="pp"/>
        <w:spacing w:before="0" w:after="40"/>
        <w:ind w:left="142" w:right="284"/>
        <w:jc w:val="left"/>
        <w:rPr/>
      </w:pPr>
      <w:r>
        <w:rPr>
          <w:rStyle w:val="FootnoteCharacters"/>
        </w:rPr>
        <w:footnoteRef/>
      </w:r>
      <w:r>
        <w:rPr/>
        <w:t xml:space="preserve"> </w:t>
      </w:r>
      <w:r>
        <w:rPr/>
        <w:t xml:space="preserve">Tisková zpráva dostupná na: </w:t>
      </w:r>
      <w:hyperlink r:id="rId22">
        <w:r>
          <w:rPr>
            <w:rStyle w:val="Hyperlink"/>
          </w:rPr>
          <w:t>https://uohs.gov.cz/cs/informacni-centrum/tiskove-zpravy/hospodarska-soutez/4377-urad-proveri-fungovani-hospodarske-souteze-v-oblasti-poskytovani-mobilnich-sluzeb.html</w:t>
        </w:r>
      </w:hyperlink>
      <w:r>
        <w:rPr/>
        <w:t>.</w:t>
      </w:r>
    </w:p>
  </w:footnote>
  <w:footnote w:id="98">
    <w:p>
      <w:pPr>
        <w:pStyle w:val="pp"/>
        <w:spacing w:before="0" w:after="40"/>
        <w:ind w:left="142" w:right="284"/>
        <w:jc w:val="left"/>
        <w:rPr/>
      </w:pPr>
      <w:r>
        <w:rPr>
          <w:rStyle w:val="FootnoteCharacters"/>
        </w:rPr>
        <w:footnoteRef/>
      </w:r>
      <w:r>
        <w:rPr/>
        <w:t xml:space="preserve"> </w:t>
      </w:r>
      <w:r>
        <w:rPr/>
        <w:t>Telefonní číslo sloužilo k propojení dat jednotlivých soutěžitelů tak, aby bylo možné sledovat chování jednotlivých subjektů na poptávkové straně po celé zkoumané období a analyzovat reakce soutěžitelů na tržní podmínky a jejich změny. Poštovní směrovací číslo bylo využito při konstrukci instrumentálních proměnných socio-ekonomického charakteru, jež Úřadu umožnily pochopit determinanty chování subjektů na poptávkové straně oddělené od cenových stimulů.</w:t>
      </w:r>
    </w:p>
  </w:footnote>
  <w:footnote w:id="99">
    <w:p>
      <w:pPr>
        <w:pStyle w:val="pp"/>
        <w:spacing w:before="0" w:after="40"/>
        <w:ind w:left="142" w:right="284"/>
        <w:jc w:val="left"/>
        <w:rPr/>
      </w:pPr>
      <w:r>
        <w:rPr>
          <w:rStyle w:val="FootnoteCharacters"/>
        </w:rPr>
        <w:footnoteRef/>
      </w:r>
      <w:r>
        <w:rPr/>
        <w:t xml:space="preserve"> </w:t>
      </w:r>
      <w:r>
        <w:rPr/>
        <w:t xml:space="preserve">Úřad běžně sestavuje vlastní datasety z různých zdrojů za účelem posouzení zkoumaného problému. Úřad k tomu doplňuje, že jedná-li se jen o předběžné posouzení s ohledem na procesní úsporu neprovádí zpětné zaplňování nezjištěných údajů k okamžiku sběru ani jejich dvojí kontrolu. </w:t>
      </w:r>
    </w:p>
  </w:footnote>
  <w:footnote w:id="100">
    <w:p>
      <w:pPr>
        <w:pStyle w:val="pp"/>
        <w:spacing w:before="0" w:after="40"/>
        <w:ind w:left="142" w:right="284"/>
        <w:jc w:val="left"/>
        <w:rPr/>
      </w:pPr>
      <w:r>
        <w:rPr>
          <w:rStyle w:val="FootnoteCharacters"/>
        </w:rPr>
        <w:footnoteRef/>
      </w:r>
      <w:r>
        <w:rPr/>
        <w:t xml:space="preserve"> </w:t>
      </w:r>
      <w:r>
        <w:rPr/>
        <w:t>Např. z údajů o počtu pozorování.</w:t>
      </w:r>
    </w:p>
  </w:footnote>
  <w:footnote w:id="101">
    <w:p>
      <w:pPr>
        <w:pStyle w:val="FootnoteText"/>
        <w:rPr/>
      </w:pPr>
      <w:r>
        <w:rPr>
          <w:rStyle w:val="FootnoteCharacters"/>
        </w:rPr>
        <w:footnoteRef/>
      </w:r>
      <w:r>
        <w:rPr/>
        <w:t xml:space="preserve"> </w:t>
      </w:r>
      <w:r>
        <w:rPr>
          <w:rStyle w:val="ppChar"/>
        </w:rPr>
        <w:t>Dostupná na: https://eur-lex.europa.eu/legal-content/CS/TXT/PDF/?uri=CELEX:32018L1972.</w:t>
      </w:r>
    </w:p>
  </w:footnote>
  <w:footnote w:id="102">
    <w:p>
      <w:pPr>
        <w:pStyle w:val="FootnoteText"/>
        <w:rPr/>
      </w:pPr>
      <w:r>
        <w:rPr>
          <w:rStyle w:val="FootnoteCharacters"/>
        </w:rPr>
        <w:footnoteRef/>
      </w:r>
      <w:r>
        <w:rPr/>
        <w:t xml:space="preserve"> </w:t>
      </w:r>
      <w:r>
        <w:rPr>
          <w:rStyle w:val="ppChar"/>
        </w:rPr>
        <w:t>Dostupné na: https://eur-lex.europa.eu/legal-content/CS/TXT/?uri=CELEX:32015R2120.</w:t>
      </w:r>
    </w:p>
  </w:footnote>
  <w:footnote w:id="103">
    <w:p>
      <w:pPr>
        <w:pStyle w:val="FootnoteText"/>
        <w:rPr/>
      </w:pPr>
      <w:r>
        <w:rPr>
          <w:rStyle w:val="FootnoteCharacters"/>
        </w:rPr>
        <w:footnoteRef/>
      </w:r>
      <w:r>
        <w:rPr/>
        <w:t xml:space="preserve"> </w:t>
      </w:r>
      <w:r>
        <w:rPr>
          <w:rStyle w:val="ppChar"/>
        </w:rPr>
        <w:t>Dostupné na: https://eur-lex.europa.eu/legal-content/cs/ALL/?uri=CELEX:32022R0612.</w:t>
      </w:r>
    </w:p>
  </w:footnote>
  <w:footnote w:id="104">
    <w:p>
      <w:pPr>
        <w:pStyle w:val="FootnoteText"/>
        <w:rPr/>
      </w:pPr>
      <w:r>
        <w:rPr>
          <w:rStyle w:val="FootnoteCharacters"/>
        </w:rPr>
        <w:footnoteRef/>
      </w:r>
      <w:r>
        <w:rPr/>
        <w:t xml:space="preserve"> </w:t>
      </w:r>
      <w:r>
        <w:rPr>
          <w:rStyle w:val="ppChar"/>
        </w:rPr>
        <w:t>Dostupné na: https://eur-lex.europa.eu/legal-content/CS/ALL/?uri=CELEX:32024R1309.</w:t>
      </w:r>
    </w:p>
  </w:footnote>
  <w:footnote w:id="105">
    <w:p>
      <w:pPr>
        <w:pStyle w:val="FootnoteText"/>
        <w:rPr/>
      </w:pPr>
      <w:r>
        <w:rPr>
          <w:rStyle w:val="FootnoteCharacters"/>
        </w:rPr>
        <w:footnoteRef/>
      </w:r>
      <w:r>
        <w:rPr/>
        <w:t xml:space="preserve"> </w:t>
      </w:r>
      <w:r>
        <w:rPr>
          <w:rStyle w:val="ppChar"/>
        </w:rPr>
        <w:t>Sdělení Komise dostupné na:</w:t>
      </w:r>
      <w:r>
        <w:rPr/>
        <w:t xml:space="preserve"> </w:t>
      </w:r>
      <w:r>
        <w:rPr>
          <w:rStyle w:val="ppChar"/>
        </w:rPr>
        <w:t>https://digital-strategy.ec.europa.eu/en/news/commission-closes-its-depth-investigation-proposed-regulation-market-wholesale-access-mobile.</w:t>
      </w:r>
    </w:p>
  </w:footnote>
  <w:footnote w:id="106">
    <w:p>
      <w:pPr>
        <w:pStyle w:val="FootnoteText"/>
        <w:rPr/>
      </w:pPr>
      <w:r>
        <w:rPr>
          <w:rStyle w:val="FootnoteCharacters"/>
        </w:rPr>
        <w:footnoteRef/>
      </w:r>
      <w:r>
        <w:rPr/>
        <w:t xml:space="preserve"> </w:t>
      </w:r>
      <w:r>
        <w:rPr>
          <w:rStyle w:val="ppChar"/>
        </w:rPr>
        <w:t>Analýza BEREC dostupná na:</w:t>
      </w:r>
      <w:r>
        <w:rPr/>
        <w:t xml:space="preserve"> </w:t>
      </w:r>
      <w:r>
        <w:rPr>
          <w:rStyle w:val="ppChar"/>
        </w:rPr>
        <w:t>https://www.berec.europa.eu/en/document-categories/berec/opinions/berec-opinion-on-phase-ii-investigation-pursuant-to-article-32-of-directive-eu-20181972-case-cz20222421-wholesale-access-and-call-origination-on-public-mobile-telephone-networks-in-the-czech-republic.</w:t>
      </w:r>
    </w:p>
  </w:footnote>
  <w:footnote w:id="107">
    <w:p>
      <w:pPr>
        <w:pStyle w:val="FootnoteText"/>
        <w:rPr/>
      </w:pPr>
      <w:r>
        <w:rPr>
          <w:rStyle w:val="FootnoteCharacters"/>
        </w:rPr>
        <w:footnoteRef/>
      </w:r>
      <w:r>
        <w:rPr/>
        <w:t xml:space="preserve"> </w:t>
      </w:r>
      <w:r>
        <w:rPr>
          <w:rStyle w:val="ppChar"/>
        </w:rPr>
        <w:t>Dostupné na: https://eur-lex.europa.eu/legal-content/CS/ALL/?uri=CELEX:32018R1971.</w:t>
      </w:r>
    </w:p>
  </w:footnote>
  <w:footnote w:id="108">
    <w:p>
      <w:pPr>
        <w:pStyle w:val="FootnoteText"/>
        <w:rPr/>
      </w:pPr>
      <w:r>
        <w:rPr>
          <w:rStyle w:val="FootnoteCharacters"/>
        </w:rPr>
        <w:footnoteRef/>
      </w:r>
      <w:r>
        <w:rPr/>
        <w:t xml:space="preserve"> </w:t>
      </w:r>
      <w:r>
        <w:rPr>
          <w:rStyle w:val="ppChar"/>
        </w:rPr>
        <w:t>Zákon č. 2/1969 Sb., zákon České národní rady o zřízení ministerstev a jiných ústředních orgánů státní správy České republiky, ve znění pozdějších předpisů.</w:t>
      </w:r>
    </w:p>
  </w:footnote>
  <w:footnote w:id="109">
    <w:p>
      <w:pPr>
        <w:pStyle w:val="FootnoteText"/>
        <w:rPr/>
      </w:pPr>
      <w:r>
        <w:rPr>
          <w:rStyle w:val="FootnoteCharacters"/>
        </w:rPr>
        <w:footnoteRef/>
      </w:r>
      <w:r>
        <w:rPr/>
        <w:t xml:space="preserve"> </w:t>
      </w:r>
      <w:r>
        <w:rPr>
          <w:rStyle w:val="ppChar"/>
        </w:rPr>
        <w:t>Akční plán dostupný na: https://mpo.gov.cz/assets/cz/e-komunikace-a-posta/elektronicke-komunikace/2025/7/Akcni-plan-3-0.pdf.</w:t>
      </w:r>
    </w:p>
  </w:footnote>
  <w:footnote w:id="110">
    <w:p>
      <w:pPr>
        <w:pStyle w:val="pp"/>
        <w:spacing w:before="0" w:after="40"/>
        <w:ind w:left="142" w:right="284"/>
        <w:jc w:val="left"/>
        <w:rPr/>
      </w:pPr>
      <w:r>
        <w:rPr>
          <w:rStyle w:val="FootnoteCharacters"/>
        </w:rPr>
        <w:footnoteRef/>
      </w:r>
      <w:r>
        <w:rPr/>
        <w:t xml:space="preserve"> </w:t>
      </w:r>
      <w:r>
        <w:rPr/>
        <w:t>Kategorie CP08304„Bundled telecommunication services“.</w:t>
      </w:r>
    </w:p>
  </w:footnote>
  <w:footnote w:id="111">
    <w:p>
      <w:pPr>
        <w:pStyle w:val="pp"/>
        <w:spacing w:before="0" w:after="40"/>
        <w:ind w:left="142" w:right="284"/>
        <w:jc w:val="left"/>
        <w:rPr/>
      </w:pPr>
      <w:r>
        <w:rPr>
          <w:rStyle w:val="FootnoteCharacters"/>
        </w:rPr>
        <w:footnoteRef/>
      </w:r>
      <w:r>
        <w:rPr/>
        <w:t xml:space="preserve"> </w:t>
      </w:r>
      <w:r>
        <w:rPr/>
        <w:t>Kategorie „Annual Real Expenditure per Capita (in PPS_EU27_2020) – Actual individual consumption“. ID datové sady prc_ppp_ind.</w:t>
      </w:r>
    </w:p>
  </w:footnote>
  <w:footnote w:id="112">
    <w:p>
      <w:pPr>
        <w:pStyle w:val="pp"/>
        <w:spacing w:before="0" w:after="40"/>
        <w:ind w:left="142" w:right="284"/>
        <w:jc w:val="left"/>
        <w:rPr/>
      </w:pPr>
      <w:r>
        <w:rPr>
          <w:rStyle w:val="FootnoteCharacters"/>
        </w:rPr>
        <w:footnoteRef/>
      </w:r>
      <w:r>
        <w:rPr/>
        <w:t xml:space="preserve"> </w:t>
      </w:r>
      <w:r>
        <w:rPr/>
        <w:t>Kategorie „</w:t>
      </w:r>
      <w:r>
        <w:rPr>
          <w:i/>
          <w:iCs/>
        </w:rPr>
        <w:t>Domestic mobile service: monthly revenue per total number of subscribers (ARRPU)</w:t>
      </w:r>
      <w:r>
        <w:rPr/>
        <w:t>“ zkráceně označovanou pro snazší přehlednost textu také jako ARPU.</w:t>
      </w:r>
    </w:p>
  </w:footnote>
  <w:footnote w:id="113">
    <w:p>
      <w:pPr>
        <w:pStyle w:val="pp"/>
        <w:spacing w:before="0" w:after="40"/>
        <w:ind w:left="142" w:right="284"/>
        <w:jc w:val="left"/>
        <w:rPr/>
      </w:pPr>
      <w:r>
        <w:rPr>
          <w:rStyle w:val="FootnoteCharacters"/>
        </w:rPr>
        <w:footnoteRef/>
      </w:r>
      <w:r>
        <w:rPr/>
        <w:t xml:space="preserve"> </w:t>
      </w:r>
      <w:r>
        <w:rPr/>
        <w:t>Poslední dostupná hodnota v době provádění analýzy.</w:t>
      </w:r>
    </w:p>
  </w:footnote>
  <w:footnote w:id="114">
    <w:p>
      <w:pPr>
        <w:pStyle w:val="pp"/>
        <w:spacing w:before="0" w:after="40"/>
        <w:ind w:left="142" w:right="284"/>
        <w:jc w:val="left"/>
        <w:rPr/>
      </w:pPr>
      <w:r>
        <w:rPr>
          <w:rStyle w:val="FootnoteCharacters"/>
        </w:rPr>
        <w:footnoteRef/>
      </w:r>
      <w:r>
        <w:rPr/>
        <w:t xml:space="preserve"> </w:t>
      </w:r>
      <w:r>
        <w:rPr/>
        <w:t>ID datové sady prc_hicp_midx.</w:t>
      </w:r>
    </w:p>
  </w:footnote>
  <w:footnote w:id="115">
    <w:p>
      <w:pPr>
        <w:pStyle w:val="pp"/>
        <w:spacing w:before="0" w:after="40"/>
        <w:ind w:left="142" w:right="284"/>
        <w:jc w:val="left"/>
        <w:rPr/>
      </w:pPr>
      <w:r>
        <w:rPr>
          <w:rStyle w:val="FootnoteCharacters"/>
        </w:rPr>
        <w:footnoteRef/>
      </w:r>
      <w:r>
        <w:rPr/>
        <w:t xml:space="preserve"> </w:t>
      </w:r>
      <w:r>
        <w:rPr/>
        <w:t>Kategorie CP08301 „Wireless telephone services“.</w:t>
      </w:r>
    </w:p>
  </w:footnote>
  <w:footnote w:id="116">
    <w:p>
      <w:pPr>
        <w:pStyle w:val="pp"/>
        <w:spacing w:before="0" w:after="40"/>
        <w:ind w:left="142" w:right="284"/>
        <w:jc w:val="left"/>
        <w:rPr/>
      </w:pPr>
      <w:r>
        <w:rPr>
          <w:rStyle w:val="FootnoteCharacters"/>
        </w:rPr>
        <w:footnoteRef/>
      </w:r>
      <w:r>
        <w:rPr/>
        <w:t xml:space="preserve"> </w:t>
      </w:r>
      <w:r>
        <w:rPr/>
        <w:t>V grafu uvedená minima a maxima nezachycují konkrétní stát, ale zachycují dané extrémní hodnoty ve skupině států. Nejedná se tedy o vývoj v konkrétním státě.</w:t>
      </w:r>
    </w:p>
  </w:footnote>
  <w:footnote w:id="117">
    <w:p>
      <w:pPr>
        <w:pStyle w:val="pp"/>
        <w:spacing w:before="0" w:after="40"/>
        <w:ind w:left="142" w:right="284"/>
        <w:jc w:val="left"/>
        <w:rPr/>
      </w:pPr>
      <w:r>
        <w:rPr>
          <w:rStyle w:val="FootnoteCharacters"/>
        </w:rPr>
        <w:footnoteRef/>
      </w:r>
      <w:r>
        <w:rPr/>
        <w:t xml:space="preserve"> </w:t>
      </w:r>
      <w:r>
        <w:rPr/>
        <w:t>K tomu Úřad doplňuje, že indicií na různé produktové trhy již disponoval. Konkrétně indicií, že služby volání a SMS se chovají odlišně od služby mobilních dat. Nyní jde však o indicii, že i různé rozsahy konkrétních služeb mohou tvořit samostatné dílčí trhy.</w:t>
      </w:r>
    </w:p>
  </w:footnote>
  <w:footnote w:id="118">
    <w:p>
      <w:pPr>
        <w:pStyle w:val="pp"/>
        <w:spacing w:before="0" w:after="40"/>
        <w:ind w:left="142" w:right="284"/>
        <w:jc w:val="left"/>
        <w:rPr/>
      </w:pPr>
      <w:r>
        <w:rPr>
          <w:rStyle w:val="FootnoteCharacters"/>
        </w:rPr>
        <w:footnoteRef/>
      </w:r>
      <w:r>
        <w:rPr/>
        <w:t xml:space="preserve"> </w:t>
      </w:r>
      <w:r>
        <w:rPr/>
        <w:t>Viz dokument č. 38 spisu.</w:t>
      </w:r>
    </w:p>
  </w:footnote>
  <w:footnote w:id="119">
    <w:p>
      <w:pPr>
        <w:pStyle w:val="pp"/>
        <w:spacing w:before="0" w:after="40"/>
        <w:ind w:left="142" w:right="284"/>
        <w:jc w:val="left"/>
        <w:rPr/>
      </w:pPr>
      <w:r>
        <w:rPr>
          <w:rStyle w:val="FootnoteCharacters"/>
        </w:rPr>
        <w:footnoteRef/>
      </w:r>
      <w:r>
        <w:rPr/>
        <w:t xml:space="preserve"> </w:t>
      </w:r>
      <w:r>
        <w:rPr/>
        <w:t>Viz dokument č. 9 ve spisu.</w:t>
      </w:r>
    </w:p>
  </w:footnote>
  <w:footnote w:id="120">
    <w:p>
      <w:pPr>
        <w:pStyle w:val="pp"/>
        <w:spacing w:before="0" w:after="40"/>
        <w:ind w:left="142" w:right="284"/>
        <w:jc w:val="left"/>
        <w:rPr/>
      </w:pPr>
      <w:r>
        <w:rPr>
          <w:rStyle w:val="FootnoteCharacters"/>
        </w:rPr>
        <w:footnoteRef/>
      </w:r>
      <w:r>
        <w:rPr/>
        <w:t xml:space="preserve"> </w:t>
      </w:r>
      <w:r>
        <w:rPr/>
        <w:t>Proměnná nabývající hodnoty 1 v případě výskytu jevu, jinak 0.</w:t>
      </w:r>
    </w:p>
  </w:footnote>
  <w:footnote w:id="121">
    <w:p>
      <w:pPr>
        <w:pStyle w:val="pp"/>
        <w:spacing w:before="0" w:after="40"/>
        <w:ind w:left="142" w:right="284"/>
        <w:jc w:val="left"/>
        <w:rPr/>
      </w:pPr>
      <w:r>
        <w:rPr>
          <w:rStyle w:val="FootnoteCharacters"/>
        </w:rPr>
        <w:footnoteRef/>
      </w:r>
      <w:r>
        <w:rPr/>
        <w:t xml:space="preserve"> </w:t>
      </w:r>
      <w:r>
        <w:rPr/>
        <w:t>Pro zachycení možného efektu snazšího srovnání mezi zeměmi, a tedy většího potenciálního konkurenčního tlaku ze strany poptávajících.</w:t>
      </w:r>
    </w:p>
  </w:footnote>
  <w:footnote w:id="122">
    <w:p>
      <w:pPr>
        <w:pStyle w:val="pp"/>
        <w:spacing w:before="0" w:after="40"/>
        <w:ind w:left="142" w:right="284"/>
        <w:jc w:val="left"/>
        <w:rPr/>
      </w:pPr>
      <w:r>
        <w:rPr>
          <w:rStyle w:val="FootnoteCharacters"/>
        </w:rPr>
        <w:footnoteRef/>
      </w:r>
      <w:r>
        <w:rPr/>
        <w:t xml:space="preserve"> </w:t>
      </w:r>
      <w:r>
        <w:rPr/>
        <w:t>Viz příloha č. 2 dokumentu č. 38 ve spisu.</w:t>
      </w:r>
    </w:p>
  </w:footnote>
  <w:footnote w:id="123">
    <w:p>
      <w:pPr>
        <w:pStyle w:val="pp"/>
        <w:spacing w:before="0" w:after="40"/>
        <w:ind w:left="142" w:right="284"/>
        <w:jc w:val="left"/>
        <w:rPr/>
      </w:pPr>
      <w:r>
        <w:rPr>
          <w:rStyle w:val="FootnoteCharacters"/>
        </w:rPr>
        <w:footnoteRef/>
      </w:r>
      <w:r>
        <w:rPr/>
        <w:t xml:space="preserve"> </w:t>
      </w:r>
      <w:r>
        <w:rPr/>
        <w:t>Viz přílohy č. 3 a 4 tamtéž.</w:t>
      </w:r>
    </w:p>
  </w:footnote>
  <w:footnote w:id="124">
    <w:p>
      <w:pPr>
        <w:pStyle w:val="pp"/>
        <w:spacing w:before="0" w:after="40"/>
        <w:ind w:left="142" w:right="284"/>
        <w:jc w:val="left"/>
        <w:rPr/>
      </w:pPr>
      <w:r>
        <w:rPr>
          <w:rStyle w:val="FootnoteCharacters"/>
        </w:rPr>
        <w:footnoteRef/>
      </w:r>
      <w:r>
        <w:rPr/>
        <w:t xml:space="preserve"> </w:t>
      </w:r>
      <w:r>
        <w:rPr/>
        <w:t>Viz příloha č. 5 tamtéž.</w:t>
      </w:r>
    </w:p>
  </w:footnote>
  <w:footnote w:id="125">
    <w:p>
      <w:pPr>
        <w:pStyle w:val="pp"/>
        <w:spacing w:before="0" w:after="40"/>
        <w:ind w:left="142" w:right="284"/>
        <w:jc w:val="left"/>
        <w:rPr/>
      </w:pPr>
      <w:r>
        <w:rPr>
          <w:rStyle w:val="FootnoteCharacters"/>
        </w:rPr>
        <w:footnoteRef/>
      </w:r>
      <w:r>
        <w:rPr/>
        <w:t xml:space="preserve"> </w:t>
      </w:r>
      <w:r>
        <w:rPr/>
        <w:t>Viz přílohy č. 17 a 18 tamtéž.</w:t>
      </w:r>
    </w:p>
  </w:footnote>
  <w:footnote w:id="126">
    <w:p>
      <w:pPr>
        <w:pStyle w:val="pp"/>
        <w:spacing w:before="0" w:after="40"/>
        <w:ind w:left="142" w:right="284"/>
        <w:jc w:val="left"/>
        <w:rPr/>
      </w:pPr>
      <w:r>
        <w:rPr>
          <w:rStyle w:val="FootnoteCharacters"/>
        </w:rPr>
        <w:footnoteRef/>
      </w:r>
      <w:r>
        <w:rPr/>
        <w:t xml:space="preserve"> </w:t>
      </w:r>
      <w:r>
        <w:rPr/>
        <w:t>Proměnná nebyla použita, protože soubor neobsahoval kompletní údaje pro všechny zkoumané státy. Použití by vedlo k vynechání mobilních služeb z některých států.</w:t>
        <w:br/>
      </w:r>
      <w:r>
        <w:rPr>
          <w:i/>
          <w:iCs/>
          <w:lang w:val="en-GB"/>
        </w:rPr>
        <w:t>The variable was not used because the dataset did not contain complete data for all countries under review. Its use would have resulted in the exclusion of mobile services from certain countries.</w:t>
      </w:r>
    </w:p>
  </w:footnote>
  <w:footnote w:id="127">
    <w:p>
      <w:pPr>
        <w:pStyle w:val="pp"/>
        <w:spacing w:before="0" w:after="40"/>
        <w:rPr>
          <w:i/>
          <w:i/>
          <w:iCs/>
          <w:lang w:val="en-GB"/>
        </w:rPr>
      </w:pPr>
      <w:r>
        <w:rPr>
          <w:rStyle w:val="FootnoteCharacters"/>
        </w:rPr>
        <w:footnoteRef/>
      </w:r>
      <w:r>
        <w:rPr/>
        <w:t xml:space="preserve"> </w:t>
      </w:r>
      <w:r>
        <w:rPr/>
        <w:t xml:space="preserve">Ceny vyjádřené v EUR byly sledovány pomocí proměnné P_EUR_D, u níž byl odhadnut koeficient ve výši -15,58 % na hladině statistické významnosti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05</m:t>
        </m:r>
      </m:oMath>
      <w:r>
        <w:rPr/>
        <w:t>. Ceny nevyjádřené v EUR jsou tedy zachyceny v konstantě modelu.</w:t>
        <w:br/>
      </w:r>
      <w:r>
        <w:rPr>
          <w:i/>
          <w:iCs/>
          <w:lang w:val="en-GB"/>
        </w:rPr>
        <w:t xml:space="preserve">The prices expressed in EUR were captured using the dummy variable P_EUR_D, for which a coefficient of –15.58% was estimated at the statistical significance level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0.05</m:t>
        </m:r>
      </m:oMath>
      <w:r>
        <w:rPr>
          <w:i/>
          <w:iCs/>
          <w:lang w:val="en-GB"/>
        </w:rPr>
        <w:t>. Prices not expressed in EUR are therefore captured in the model constant.</w:t>
      </w:r>
    </w:p>
  </w:footnote>
  <w:footnote w:id="128">
    <w:p>
      <w:pPr>
        <w:pStyle w:val="pp"/>
        <w:spacing w:before="0" w:after="40"/>
        <w:ind w:left="142" w:right="284"/>
        <w:jc w:val="left"/>
        <w:rPr/>
      </w:pPr>
      <w:r>
        <w:rPr>
          <w:rStyle w:val="FootnoteCharacters"/>
        </w:rPr>
        <w:footnoteRef/>
      </w:r>
      <w:r>
        <w:rPr/>
        <w:t xml:space="preserve"> </w:t>
      </w:r>
      <w:r>
        <w:rPr/>
        <w:t>A tedy vytváří tlak na pokles rovnovážných tržních cen až na úroveň rovnovážných cen odpovídajících nedokonale konkurenční tržní struktury.</w:t>
      </w:r>
    </w:p>
  </w:footnote>
  <w:footnote w:id="129">
    <w:p>
      <w:pPr>
        <w:pStyle w:val="pp"/>
        <w:spacing w:before="0" w:after="40"/>
        <w:ind w:left="142" w:right="284"/>
        <w:jc w:val="left"/>
        <w:rPr/>
      </w:pPr>
      <w:r>
        <w:rPr>
          <w:rStyle w:val="FootnoteCharacters"/>
        </w:rPr>
        <w:footnoteRef/>
      </w:r>
      <w:r>
        <w:rPr/>
        <w:t xml:space="preserve"> </w:t>
      </w:r>
      <w:r>
        <w:rPr/>
        <w:t>Odlišnost chování spotřebitelů však vylučují informace prezentované v části XXX.</w:t>
      </w:r>
    </w:p>
  </w:footnote>
  <w:footnote w:id="130">
    <w:p>
      <w:pPr>
        <w:pStyle w:val="pp"/>
        <w:spacing w:before="0" w:after="40"/>
        <w:ind w:left="142" w:right="284"/>
        <w:jc w:val="left"/>
        <w:rPr/>
      </w:pPr>
      <w:r>
        <w:rPr>
          <w:rStyle w:val="FootnoteCharacters"/>
        </w:rPr>
        <w:footnoteRef/>
      </w:r>
      <w:r>
        <w:rPr/>
        <w:t xml:space="preserve"> </w:t>
      </w:r>
      <w:r>
        <w:rPr/>
        <w:t>Což by však nebylo v souladu se zjištěnou skutečností. Viz XXX.</w:t>
      </w:r>
    </w:p>
  </w:footnote>
  <w:footnote w:id="131">
    <w:p>
      <w:pPr>
        <w:pStyle w:val="pp"/>
        <w:spacing w:before="0" w:after="40"/>
        <w:ind w:left="142" w:right="284"/>
        <w:jc w:val="left"/>
        <w:rPr/>
      </w:pPr>
      <w:r>
        <w:rPr>
          <w:rStyle w:val="FootnoteCharacters"/>
        </w:rPr>
        <w:footnoteRef/>
      </w:r>
      <w:r>
        <w:rPr/>
        <w:t xml:space="preserve"> </w:t>
      </w:r>
      <w:r>
        <w:rPr/>
        <w:t>Tato služba společnosti Alza nabízí doručení zdarma na objednané zboží za 59,- Kč měsíčně nebo za 299,- Kč při ročním předplatném, což je cca 16,75 % z nominální ceníkové ceny zkoumaného tarifu, pokud Úřad odhlédne od bezesporu nižší úhrady v rámci bilaterálního vztahu mezi společnostmi T-Mobile a Alza.</w:t>
      </w:r>
    </w:p>
  </w:footnote>
  <w:footnote w:id="132">
    <w:p>
      <w:pPr>
        <w:pStyle w:val="pp"/>
        <w:spacing w:before="0" w:after="40"/>
        <w:ind w:left="142" w:right="284"/>
        <w:jc w:val="left"/>
        <w:rPr/>
      </w:pPr>
      <w:r>
        <w:rPr>
          <w:rStyle w:val="FootnoteCharacters"/>
        </w:rPr>
        <w:footnoteRef/>
      </w:r>
      <w:r>
        <w:rPr/>
        <w:t xml:space="preserve"> </w:t>
      </w:r>
      <w:r>
        <w:rPr/>
        <w:t>Z anglického „</w:t>
      </w:r>
      <w:r>
        <w:rPr>
          <w:i/>
          <w:iCs/>
        </w:rPr>
        <w:t>Video on Demand</w:t>
      </w:r>
      <w:r>
        <w:rPr/>
        <w:t>“ (dále jen „</w:t>
      </w:r>
      <w:r>
        <w:rPr>
          <w:b/>
          <w:bCs/>
        </w:rPr>
        <w:t>VOD</w:t>
      </w:r>
      <w:r>
        <w:rPr/>
        <w:t>“)</w:t>
      </w:r>
    </w:p>
  </w:footnote>
  <w:footnote w:id="133">
    <w:p>
      <w:pPr>
        <w:pStyle w:val="pp"/>
        <w:spacing w:before="0" w:after="40"/>
        <w:ind w:left="142" w:right="284"/>
        <w:jc w:val="left"/>
        <w:rPr/>
      </w:pPr>
      <w:r>
        <w:rPr>
          <w:rStyle w:val="FootnoteCharacters"/>
        </w:rPr>
        <w:footnoteRef/>
      </w:r>
      <w:r>
        <w:rPr/>
        <w:t xml:space="preserve"> </w:t>
      </w:r>
      <w:r>
        <w:rPr/>
        <w:t>Úřad porovnal 480,- Kč hrazených společnosti T-Mobile a 299,- Kč hrazených přímo společnosti Alza.</w:t>
      </w:r>
    </w:p>
  </w:footnote>
  <w:footnote w:id="134">
    <w:p>
      <w:pPr>
        <w:pStyle w:val="pp"/>
        <w:spacing w:before="0" w:after="40"/>
        <w:ind w:left="142" w:right="284"/>
        <w:jc w:val="left"/>
        <w:rPr/>
      </w:pPr>
      <w:r>
        <w:rPr>
          <w:rStyle w:val="FootnoteCharacters"/>
        </w:rPr>
        <w:footnoteRef/>
      </w:r>
      <w:r>
        <w:rPr/>
        <w:t xml:space="preserve"> </w:t>
      </w:r>
      <w:r>
        <w:rPr/>
        <w:t>Tedy při zohlednění nákladů a případného zisku, kterých dosahuje při ceníkové ceně společnost T-Mobile.</w:t>
      </w:r>
    </w:p>
  </w:footnote>
  <w:footnote w:id="135">
    <w:p>
      <w:pPr>
        <w:pStyle w:val="pp"/>
        <w:spacing w:before="0" w:after="40"/>
        <w:ind w:left="142" w:right="284"/>
        <w:jc w:val="left"/>
        <w:rPr/>
      </w:pPr>
      <w:r>
        <w:rPr>
          <w:rStyle w:val="FootnoteCharacters"/>
        </w:rPr>
        <w:footnoteRef/>
      </w:r>
      <w:r>
        <w:rPr/>
        <w:t xml:space="preserve"> </w:t>
      </w:r>
      <w:r>
        <w:rPr/>
        <w:t>Tedy na základě rovnovážné nominální ceníkové ceny služby neomezeného mobilního tarifu obsahujícího službu VOD.</w:t>
      </w:r>
    </w:p>
  </w:footnote>
  <w:footnote w:id="136">
    <w:p>
      <w:pPr>
        <w:pStyle w:val="pp"/>
        <w:spacing w:before="0" w:after="40"/>
        <w:ind w:left="142" w:right="284"/>
        <w:jc w:val="left"/>
        <w:rPr/>
      </w:pPr>
      <w:r>
        <w:rPr>
          <w:rStyle w:val="FootnoteCharacters"/>
        </w:rPr>
        <w:footnoteRef/>
      </w:r>
      <w:r>
        <w:rPr/>
        <w:t xml:space="preserve"> </w:t>
      </w:r>
      <w:r>
        <w:rPr/>
        <w:t>Nižší kvalitou má Úřad v tomto kontextu na mysli nižší schopnost uspokojovat širší paletu potřeb nebo konkrétní potřebu spotřebitelů ve větším rozsahu.</w:t>
      </w:r>
    </w:p>
  </w:footnote>
  <w:footnote w:id="137">
    <w:p>
      <w:pPr>
        <w:pStyle w:val="pp"/>
        <w:spacing w:before="0" w:after="40"/>
        <w:ind w:left="142" w:right="284"/>
        <w:jc w:val="left"/>
        <w:rPr/>
      </w:pPr>
      <w:r>
        <w:rPr>
          <w:rStyle w:val="FootnoteCharacters"/>
        </w:rPr>
        <w:footnoteRef/>
      </w:r>
      <w:r>
        <w:rPr/>
        <w:t xml:space="preserve"> </w:t>
      </w:r>
      <w:r>
        <w:rPr/>
        <w:t>Úřad k tomu doplňuje, že pro předběžná posouzení nebo analýzy, které provádí v rámci sektorového šetření, je charakteristické, že jejich součástí není dodatečné zaplňování chybějících pozorování, a to s ohledem na procesní efektivitu. Toto ostatně plyne i z rozdílu mezi počtem pozorování v podkladových datech a počtem pozorování v ekonometrických modelech u těchto předběžných analýz, kdy chybějící nebo neúplná pozorování nejsou doplňována opakovaným sběrem. Předběžné posouzení tak slouží pouze prozatímním nebo přípravným účelům a poskytuje Úřadu vodítko při dalším provádění šetření.</w:t>
      </w:r>
    </w:p>
  </w:footnote>
  <w:footnote w:id="138">
    <w:p>
      <w:pPr>
        <w:pStyle w:val="FootnoteText"/>
        <w:rPr/>
      </w:pPr>
      <w:r>
        <w:rPr>
          <w:rStyle w:val="FootnoteCharacters"/>
        </w:rPr>
        <w:footnoteRef/>
      </w:r>
      <w:r>
        <w:rPr/>
        <w:t xml:space="preserve"> </w:t>
      </w:r>
      <w:r>
        <w:rPr/>
        <w:t>Velkou změnu lze sledovat například u Rakouska, kde se interkvartilové rozpětí cen tarifů výrazně snížilo zejména v důsledku cenového poklesu tarifů vyššího standartu.</w:t>
      </w:r>
    </w:p>
  </w:footnote>
  <w:footnote w:id="139">
    <w:p>
      <w:pPr>
        <w:pStyle w:val="pp"/>
        <w:spacing w:before="0" w:after="40"/>
        <w:ind w:left="142" w:right="284"/>
        <w:jc w:val="left"/>
        <w:rPr/>
      </w:pPr>
      <w:r>
        <w:rPr>
          <w:rStyle w:val="FootnoteCharacters"/>
        </w:rPr>
        <w:footnoteRef/>
      </w:r>
      <w:r>
        <w:rPr/>
        <w:t xml:space="preserve"> </w:t>
      </w:r>
      <w:r>
        <w:rPr>
          <w:highlight w:val="yellow"/>
        </w:rPr>
        <w:t>Dohledat citaci XXX závěrečná zpráva ČTÚ?</w:t>
      </w:r>
    </w:p>
  </w:footnote>
  <w:footnote w:id="140">
    <w:p>
      <w:pPr>
        <w:pStyle w:val="pp"/>
        <w:spacing w:before="0" w:after="40"/>
        <w:ind w:left="142" w:right="284"/>
        <w:jc w:val="left"/>
        <w:rPr/>
      </w:pPr>
      <w:r>
        <w:rPr>
          <w:rStyle w:val="FootnoteCharacters"/>
        </w:rPr>
        <w:footnoteRef/>
      </w:r>
      <w:r>
        <w:rPr/>
        <w:t xml:space="preserve"> </w:t>
      </w:r>
      <w:r>
        <w:rPr/>
        <w:t>XXX doplnit odkaz na konzultaci s únií</w:t>
      </w:r>
    </w:p>
  </w:footnote>
  <w:footnote w:id="141">
    <w:p>
      <w:pPr>
        <w:pStyle w:val="pp"/>
        <w:spacing w:before="0" w:after="40"/>
        <w:ind w:left="142" w:right="284"/>
        <w:jc w:val="left"/>
        <w:rPr/>
      </w:pPr>
      <w:r>
        <w:rPr>
          <w:rStyle w:val="FootnoteCharacters"/>
        </w:rPr>
        <w:footnoteRef/>
      </w:r>
      <w:r>
        <w:rPr/>
        <w:t xml:space="preserve"> </w:t>
      </w:r>
      <w:r>
        <w:rPr/>
        <w:t>Úřad opětovně upozorňuje, že tržní cenou je cena pozorovaná subjekty na trhu. Tržní cena plní zásadní funkce v rámci tržního mechanismu, a zároveň v rámci fungování hospodářské soutěže, jak bylo vysvětleno výše. Retenční nabídka nemůže být z principu tržní cenou, neboť se jedná o individualizovaný směnný poměr a je tedy na trhu projevem cenové diskriminace prvního stupně.</w:t>
      </w:r>
    </w:p>
  </w:footnote>
  <w:footnote w:id="142">
    <w:p>
      <w:pPr>
        <w:pStyle w:val="pp"/>
        <w:spacing w:before="0" w:after="40"/>
        <w:ind w:left="142" w:right="284"/>
        <w:jc w:val="left"/>
        <w:rPr/>
      </w:pPr>
      <w:r>
        <w:rPr>
          <w:rStyle w:val="FootnoteCharacters"/>
        </w:rPr>
        <w:footnoteRef/>
      </w:r>
      <w:r>
        <w:rPr/>
        <w:t xml:space="preserve"> </w:t>
      </w:r>
      <w:r>
        <w:rPr/>
        <w:t>V libovolném strojově čitelném a zpracovatelném formátu, jako např. csv, xml, json atp. Ve formátu a struktuře, v jaké jimi Vaše společnost disponuje – lze předložit např. v samostatných exportech z databází jako tabulku zákazníků, tabulku spotřebovaných služeb, tabulku jednotlivých transakcí nebo v jedné denormalizované tabulce transakcí obsahující vyžádané informace, a to vč. Vámi používaných identifikátorů. Pokud jste ve sledovaném období měnili datovou strukturu, můžete zaslat vyžádaná data v samostatných tabulkách s rozdílnou strukturou údajů.</w:t>
      </w:r>
    </w:p>
  </w:footnote>
  <w:footnote w:id="143">
    <w:p>
      <w:pPr>
        <w:pStyle w:val="pp"/>
        <w:spacing w:before="0" w:after="40"/>
        <w:ind w:left="142" w:right="284"/>
        <w:jc w:val="left"/>
        <w:rPr/>
      </w:pPr>
      <w:r>
        <w:rPr>
          <w:rStyle w:val="FootnoteCharacters"/>
        </w:rPr>
        <w:footnoteRef/>
      </w:r>
      <w:r>
        <w:rPr/>
        <w:t xml:space="preserve"> </w:t>
      </w:r>
      <w:r>
        <w:rPr/>
        <w:t>Tedy dokladu, který Vaše společnost označuje jako Vyúčtování – daňový doklad.</w:t>
      </w:r>
    </w:p>
  </w:footnote>
  <w:footnote w:id="144">
    <w:p>
      <w:pPr>
        <w:pStyle w:val="pp"/>
        <w:spacing w:before="0" w:after="40"/>
        <w:ind w:left="142" w:right="284"/>
        <w:jc w:val="left"/>
        <w:rPr/>
      </w:pPr>
      <w:r>
        <w:rPr>
          <w:rStyle w:val="FootnoteCharacters"/>
        </w:rPr>
        <w:footnoteRef/>
      </w:r>
      <w:r>
        <w:rPr/>
        <w:t xml:space="preserve"> </w:t>
      </w:r>
      <w:r>
        <w:rPr/>
        <w:t>Typicky měsíc.</w:t>
      </w:r>
    </w:p>
  </w:footnote>
  <w:footnote w:id="145">
    <w:p>
      <w:pPr>
        <w:pStyle w:val="pp"/>
        <w:spacing w:before="0" w:after="40"/>
        <w:ind w:left="142" w:right="284"/>
        <w:jc w:val="left"/>
        <w:rPr/>
      </w:pPr>
      <w:r>
        <w:rPr>
          <w:rStyle w:val="FootnoteCharacters"/>
        </w:rPr>
        <w:footnoteRef/>
      </w:r>
      <w:r>
        <w:rPr/>
        <w:t xml:space="preserve"> </w:t>
      </w:r>
      <w:r>
        <w:rPr/>
        <w:t>V libovolném strojově čitelném a zpracovatelném formátu, jako např. csv, xml, json atp. Ve formátu a struktuře, v jaké jimi Vaše společnost disponuje – lze předložit např. v samostatných exportech z databází jako tabulku zákazníků, tabulku spotřebovaných služeb, tabulku jednotlivých transakcí nebo v jedné denormalizované tabulce transakcí obsahující vyžádané informace, a to vč. Vámi používaných identifikátorů. Pokud jste ve sledovaném období měnili datovou strukturu, můžete zaslat vyžádaná data v samostatných tabulkách s rozdílnou strukturou údajů.</w:t>
      </w:r>
    </w:p>
  </w:footnote>
  <w:footnote w:id="146">
    <w:p>
      <w:pPr>
        <w:pStyle w:val="pp"/>
        <w:spacing w:before="0" w:after="40"/>
        <w:ind w:left="142" w:right="284"/>
        <w:jc w:val="left"/>
        <w:rPr/>
      </w:pPr>
      <w:r>
        <w:rPr>
          <w:rStyle w:val="FootnoteCharacters"/>
        </w:rPr>
        <w:footnoteRef/>
      </w:r>
      <w:r>
        <w:rPr/>
        <w:t xml:space="preserve"> </w:t>
      </w:r>
      <w:r>
        <w:rPr/>
        <w:t>Tedy dokladu, který Vaše společnost označuje jako Rozpis vyúčtovaných služeb.</w:t>
      </w:r>
    </w:p>
  </w:footnote>
  <w:footnote w:id="147">
    <w:p>
      <w:pPr>
        <w:pStyle w:val="pp"/>
        <w:spacing w:before="0" w:after="40"/>
        <w:ind w:left="142" w:right="284"/>
        <w:jc w:val="left"/>
        <w:rPr/>
      </w:pPr>
      <w:r>
        <w:rPr>
          <w:rStyle w:val="FootnoteCharacters"/>
        </w:rPr>
        <w:footnoteRef/>
      </w:r>
      <w:r>
        <w:rPr/>
        <w:t xml:space="preserve"> </w:t>
      </w:r>
      <w:r>
        <w:rPr/>
        <w:t xml:space="preserve">Pokud nepoužíváte tzv. obratové předvahy k interní finanční kontrole, předložte výpisy z hlavní knihy s počátečním zůstatkem, souhrnnými obraty stran Má dáti a Dal a konečným zůstatkem jednotlivých účtů. </w:t>
      </w:r>
    </w:p>
  </w:footnote>
  <w:footnote w:id="148">
    <w:p>
      <w:pPr>
        <w:pStyle w:val="pp"/>
        <w:spacing w:before="0" w:after="40"/>
        <w:ind w:left="142" w:right="284"/>
        <w:jc w:val="left"/>
        <w:rPr/>
      </w:pPr>
      <w:r>
        <w:rPr>
          <w:rStyle w:val="FootnoteCharacters"/>
        </w:rPr>
        <w:footnoteRef/>
      </w:r>
      <w:r>
        <w:rPr/>
        <w:t xml:space="preserve"> </w:t>
      </w:r>
      <w:r>
        <w:rPr/>
        <w:t>Pokud uchováváte údaje déle než zákonem stanovenou minimální dobu.</w:t>
      </w:r>
    </w:p>
  </w:footnote>
  <w:footnote w:id="149">
    <w:p>
      <w:pPr>
        <w:pStyle w:val="pp"/>
        <w:spacing w:before="0" w:after="40"/>
        <w:ind w:left="142" w:right="284"/>
        <w:jc w:val="left"/>
        <w:rPr/>
      </w:pPr>
      <w:r>
        <w:rPr>
          <w:rStyle w:val="FootnoteCharacters"/>
        </w:rPr>
        <w:footnoteRef/>
      </w:r>
      <w:r>
        <w:rPr/>
        <w:t xml:space="preserve"> </w:t>
      </w:r>
      <w:r>
        <w:rPr/>
        <w:t>Nebo výpisů z hlavní knihy.</w:t>
      </w:r>
    </w:p>
  </w:footnote>
  <w:footnote w:id="150">
    <w:p>
      <w:pPr>
        <w:pStyle w:val="pp"/>
        <w:spacing w:before="0" w:after="40"/>
        <w:ind w:left="142" w:right="284"/>
        <w:jc w:val="left"/>
        <w:rPr/>
      </w:pPr>
      <w:r>
        <w:rPr>
          <w:rStyle w:val="FootnoteCharacters"/>
        </w:rPr>
        <w:footnoteRef/>
      </w:r>
      <w:r>
        <w:rPr/>
        <w:t xml:space="preserve"> </w:t>
      </w:r>
      <w:r>
        <w:rPr/>
        <w:t>V libovolném strojově čitelném a zpracovatelném formátu jako např. csv, xml, json atp.</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ind w:left="142" w:right="284"/>
      <w:jc w:val="left"/>
      <w:rPr>
        <w:i/>
        <w:i/>
        <w:iCs/>
        <w:color w:val="A7A9B4"/>
        <w:sz w:val="16"/>
        <w:szCs w:val="16"/>
        <w:lang w:val="en-GB"/>
      </w:rPr>
    </w:pPr>
    <w:r>
      <w:rPr>
        <w:color w:val="A7A9B4"/>
        <w:sz w:val="18"/>
        <w:szCs w:val="18"/>
      </w:rPr>
      <w:t>Závěrečná zpráva ze sektorového šetření: mobilní služby</w:t>
      <w:br/>
    </w:r>
    <w:r>
      <w:rPr>
        <w:i/>
        <w:iCs/>
        <w:color w:val="A7A9B4"/>
        <w:sz w:val="16"/>
        <w:szCs w:val="16"/>
        <w:lang w:val="en-GB"/>
      </w:rPr>
      <w:t>Final Report from the Sector Inquiry: Mobile Services</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ind w:left="142" w:right="284"/>
      <w:jc w:val="left"/>
      <w:rPr>
        <w:i/>
        <w:i/>
        <w:iCs/>
        <w:color w:val="A7A9B4"/>
        <w:sz w:val="16"/>
        <w:szCs w:val="16"/>
        <w:lang w:val="en-GB"/>
      </w:rPr>
    </w:pPr>
    <w:r>
      <w:rPr>
        <w:color w:val="A7A9B4"/>
        <w:sz w:val="18"/>
        <w:szCs w:val="18"/>
      </w:rPr>
      <w:t>Závěrečná zpráva ze sektorového šetření: mobilní služby</w:t>
      <w:br/>
    </w:r>
    <w:r>
      <w:rPr>
        <w:i/>
        <w:iCs/>
        <w:color w:val="A7A9B4"/>
        <w:sz w:val="16"/>
        <w:szCs w:val="16"/>
        <w:lang w:val="en-GB"/>
      </w:rPr>
      <w:t>Final Report from the Sector Inquiry: Mobile Services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432" w:hanging="432"/>
      </w:pPr>
      <w:rPr/>
    </w:lvl>
    <w:lvl w:ilvl="1">
      <w:start w:val="1"/>
      <w:pStyle w:val="Heading2"/>
      <w:numFmt w:val="decimal"/>
      <w:lvlText w:val="%1.%2"/>
      <w:lvlJc w:val="left"/>
      <w:pPr>
        <w:tabs>
          <w:tab w:val="num" w:pos="0"/>
        </w:tabs>
        <w:ind w:left="576" w:hanging="576"/>
      </w:pPr>
      <w:rPr/>
    </w:lvl>
    <w:lvl w:ilvl="2">
      <w:start w:val="1"/>
      <w:pStyle w:val="Heading3"/>
      <w:numFmt w:val="decimal"/>
      <w:lvlText w:val="%1.%2.%3"/>
      <w:lvlJc w:val="left"/>
      <w:pPr>
        <w:tabs>
          <w:tab w:val="num" w:pos="0"/>
        </w:tabs>
        <w:ind w:left="720" w:hanging="720"/>
      </w:pPr>
      <w:rPr/>
    </w:lvl>
    <w:lvl w:ilvl="3">
      <w:start w:val="1"/>
      <w:pStyle w:val="Heading4"/>
      <w:numFmt w:val="decimal"/>
      <w:lvlText w:val="%1.%2.%3.%4"/>
      <w:lvlJc w:val="left"/>
      <w:pPr>
        <w:tabs>
          <w:tab w:val="num" w:pos="0"/>
        </w:tabs>
        <w:ind w:left="864" w:hanging="864"/>
      </w:pPr>
      <w:rPr/>
    </w:lvl>
    <w:lvl w:ilvl="4">
      <w:start w:val="1"/>
      <w:pStyle w:val="Heading5"/>
      <w:numFmt w:val="decimal"/>
      <w:lvlText w:val="%1.%2.%3.%4.%5"/>
      <w:lvlJc w:val="left"/>
      <w:pPr>
        <w:tabs>
          <w:tab w:val="num" w:pos="0"/>
        </w:tabs>
        <w:ind w:left="1008" w:hanging="1008"/>
      </w:pPr>
      <w:rPr/>
    </w:lvl>
    <w:lvl w:ilvl="5">
      <w:start w:val="1"/>
      <w:pStyle w:val="Heading6"/>
      <w:numFmt w:val="decimal"/>
      <w:lvlText w:val="%1.%2.%3.%4.%5.%6"/>
      <w:lvlJc w:val="left"/>
      <w:pPr>
        <w:tabs>
          <w:tab w:val="num" w:pos="0"/>
        </w:tabs>
        <w:ind w:left="1152" w:hanging="1152"/>
      </w:pPr>
      <w:rPr/>
    </w:lvl>
    <w:lvl w:ilvl="6">
      <w:start w:val="1"/>
      <w:pStyle w:val="Heading7"/>
      <w:numFmt w:val="decimal"/>
      <w:lvlText w:val="%1.%2.%3.%4.%5.%6.%7"/>
      <w:lvlJc w:val="left"/>
      <w:pPr>
        <w:tabs>
          <w:tab w:val="num" w:pos="0"/>
        </w:tabs>
        <w:ind w:left="1296" w:hanging="1296"/>
      </w:pPr>
      <w:rPr/>
    </w:lvl>
    <w:lvl w:ilvl="7">
      <w:start w:val="1"/>
      <w:pStyle w:val="Heading8"/>
      <w:numFmt w:val="decimal"/>
      <w:lvlText w:val="%1.%2.%3.%4.%5.%6.%7.%8"/>
      <w:lvlJc w:val="left"/>
      <w:pPr>
        <w:tabs>
          <w:tab w:val="num" w:pos="0"/>
        </w:tabs>
        <w:ind w:left="1440" w:hanging="1440"/>
      </w:pPr>
      <w:rPr/>
    </w:lvl>
    <w:lvl w:ilvl="8">
      <w:start w:val="1"/>
      <w:pStyle w:val="Heading9"/>
      <w:numFmt w:val="decimal"/>
      <w:lvlText w:val="%1.%2.%3.%4.%5.%6.%7.%8.%9"/>
      <w:lvlJc w:val="left"/>
      <w:pPr>
        <w:tabs>
          <w:tab w:val="num" w:pos="0"/>
        </w:tabs>
        <w:ind w:left="1584" w:hanging="1584"/>
      </w:pPr>
      <w:rPr/>
    </w:lvl>
  </w:abstractNum>
  <w:abstractNum w:abstractNumId="2">
    <w:lvl w:ilvl="0">
      <w:start w:val="1"/>
      <w:numFmt w:val="decimal"/>
      <w:lvlText w:val="Graf č. %1:"/>
      <w:lvlJc w:val="left"/>
      <w:pPr>
        <w:tabs>
          <w:tab w:val="num" w:pos="0"/>
        </w:tabs>
        <w:ind w:left="1004" w:hanging="360"/>
      </w:pPr>
      <w:rPr>
        <w:b/>
        <w:bCs/>
        <w:color w:val="680526"/>
      </w:rPr>
    </w:lvl>
    <w:lvl w:ilvl="1">
      <w:start w:val="1"/>
      <w:numFmt w:val="lowerLetter"/>
      <w:lvlText w:val="%2."/>
      <w:lvlJc w:val="left"/>
      <w:pPr>
        <w:tabs>
          <w:tab w:val="num" w:pos="0"/>
        </w:tabs>
        <w:ind w:left="1724" w:hanging="360"/>
      </w:pPr>
      <w:rPr/>
    </w:lvl>
    <w:lvl w:ilvl="2">
      <w:start w:val="1"/>
      <w:numFmt w:val="lowerRoman"/>
      <w:lvlText w:val="%3."/>
      <w:lvlJc w:val="right"/>
      <w:pPr>
        <w:tabs>
          <w:tab w:val="num" w:pos="0"/>
        </w:tabs>
        <w:ind w:left="2444" w:hanging="180"/>
      </w:pPr>
      <w:rPr/>
    </w:lvl>
    <w:lvl w:ilvl="3">
      <w:start w:val="1"/>
      <w:numFmt w:val="decimal"/>
      <w:lvlText w:val="%4."/>
      <w:lvlJc w:val="left"/>
      <w:pPr>
        <w:tabs>
          <w:tab w:val="num" w:pos="0"/>
        </w:tabs>
        <w:ind w:left="3164" w:hanging="360"/>
      </w:pPr>
      <w:rPr/>
    </w:lvl>
    <w:lvl w:ilvl="4">
      <w:start w:val="1"/>
      <w:numFmt w:val="lowerLetter"/>
      <w:lvlText w:val="%5."/>
      <w:lvlJc w:val="left"/>
      <w:pPr>
        <w:tabs>
          <w:tab w:val="num" w:pos="0"/>
        </w:tabs>
        <w:ind w:left="3884" w:hanging="360"/>
      </w:pPr>
      <w:rPr/>
    </w:lvl>
    <w:lvl w:ilvl="5">
      <w:start w:val="1"/>
      <w:numFmt w:val="lowerRoman"/>
      <w:lvlText w:val="%6."/>
      <w:lvlJc w:val="right"/>
      <w:pPr>
        <w:tabs>
          <w:tab w:val="num" w:pos="0"/>
        </w:tabs>
        <w:ind w:left="4604" w:hanging="180"/>
      </w:pPr>
      <w:rPr/>
    </w:lvl>
    <w:lvl w:ilvl="6">
      <w:start w:val="1"/>
      <w:numFmt w:val="decimal"/>
      <w:lvlText w:val="%7."/>
      <w:lvlJc w:val="left"/>
      <w:pPr>
        <w:tabs>
          <w:tab w:val="num" w:pos="0"/>
        </w:tabs>
        <w:ind w:left="5324" w:hanging="360"/>
      </w:pPr>
      <w:rPr/>
    </w:lvl>
    <w:lvl w:ilvl="7">
      <w:start w:val="1"/>
      <w:numFmt w:val="lowerLetter"/>
      <w:lvlText w:val="%8."/>
      <w:lvlJc w:val="left"/>
      <w:pPr>
        <w:tabs>
          <w:tab w:val="num" w:pos="0"/>
        </w:tabs>
        <w:ind w:left="6044" w:hanging="360"/>
      </w:pPr>
      <w:rPr/>
    </w:lvl>
    <w:lvl w:ilvl="8">
      <w:start w:val="1"/>
      <w:numFmt w:val="lowerRoman"/>
      <w:lvlText w:val="%9."/>
      <w:lvlJc w:val="right"/>
      <w:pPr>
        <w:tabs>
          <w:tab w:val="num" w:pos="0"/>
        </w:tabs>
        <w:ind w:left="6764" w:hanging="180"/>
      </w:pPr>
      <w:rPr/>
    </w:lvl>
  </w:abstractNum>
  <w:abstractNum w:abstractNumId="3">
    <w:lvl w:ilvl="0">
      <w:start w:val="1"/>
      <w:numFmt w:val="decimal"/>
      <w:lvlText w:val="Tabulka č. %1:"/>
      <w:lvlJc w:val="left"/>
      <w:pPr>
        <w:tabs>
          <w:tab w:val="num" w:pos="0"/>
        </w:tabs>
        <w:ind w:left="502" w:hanging="360"/>
      </w:pPr>
      <w:rPr/>
    </w:lvl>
    <w:lvl w:ilvl="1">
      <w:start w:val="1"/>
      <w:numFmt w:val="lowerLetter"/>
      <w:lvlText w:val="%2."/>
      <w:lvlJc w:val="left"/>
      <w:pPr>
        <w:tabs>
          <w:tab w:val="num" w:pos="0"/>
        </w:tabs>
        <w:ind w:left="1222" w:hanging="360"/>
      </w:pPr>
      <w:rPr/>
    </w:lvl>
    <w:lvl w:ilvl="2">
      <w:start w:val="1"/>
      <w:numFmt w:val="lowerRoman"/>
      <w:lvlText w:val="%3."/>
      <w:lvlJc w:val="right"/>
      <w:pPr>
        <w:tabs>
          <w:tab w:val="num" w:pos="0"/>
        </w:tabs>
        <w:ind w:left="1942" w:hanging="180"/>
      </w:pPr>
      <w:rPr/>
    </w:lvl>
    <w:lvl w:ilvl="3">
      <w:start w:val="1"/>
      <w:numFmt w:val="decimal"/>
      <w:lvlText w:val="%4."/>
      <w:lvlJc w:val="left"/>
      <w:pPr>
        <w:tabs>
          <w:tab w:val="num" w:pos="0"/>
        </w:tabs>
        <w:ind w:left="2662" w:hanging="360"/>
      </w:pPr>
      <w:rPr/>
    </w:lvl>
    <w:lvl w:ilvl="4">
      <w:start w:val="1"/>
      <w:numFmt w:val="lowerLetter"/>
      <w:lvlText w:val="%5."/>
      <w:lvlJc w:val="left"/>
      <w:pPr>
        <w:tabs>
          <w:tab w:val="num" w:pos="0"/>
        </w:tabs>
        <w:ind w:left="3382" w:hanging="360"/>
      </w:pPr>
      <w:rPr/>
    </w:lvl>
    <w:lvl w:ilvl="5">
      <w:start w:val="1"/>
      <w:numFmt w:val="lowerRoman"/>
      <w:lvlText w:val="%6."/>
      <w:lvlJc w:val="right"/>
      <w:pPr>
        <w:tabs>
          <w:tab w:val="num" w:pos="0"/>
        </w:tabs>
        <w:ind w:left="4102" w:hanging="180"/>
      </w:pPr>
      <w:rPr/>
    </w:lvl>
    <w:lvl w:ilvl="6">
      <w:start w:val="1"/>
      <w:numFmt w:val="decimal"/>
      <w:lvlText w:val="%7."/>
      <w:lvlJc w:val="left"/>
      <w:pPr>
        <w:tabs>
          <w:tab w:val="num" w:pos="0"/>
        </w:tabs>
        <w:ind w:left="4822" w:hanging="360"/>
      </w:pPr>
      <w:rPr/>
    </w:lvl>
    <w:lvl w:ilvl="7">
      <w:start w:val="1"/>
      <w:numFmt w:val="lowerLetter"/>
      <w:lvlText w:val="%8."/>
      <w:lvlJc w:val="left"/>
      <w:pPr>
        <w:tabs>
          <w:tab w:val="num" w:pos="0"/>
        </w:tabs>
        <w:ind w:left="5542" w:hanging="360"/>
      </w:pPr>
      <w:rPr/>
    </w:lvl>
    <w:lvl w:ilvl="8">
      <w:start w:val="1"/>
      <w:numFmt w:val="lowerRoman"/>
      <w:lvlText w:val="%9."/>
      <w:lvlJc w:val="right"/>
      <w:pPr>
        <w:tabs>
          <w:tab w:val="num" w:pos="0"/>
        </w:tabs>
        <w:ind w:left="6262" w:hanging="180"/>
      </w:pPr>
      <w:rPr/>
    </w:lvl>
  </w:abstractNum>
  <w:abstractNum w:abstractNumId="4">
    <w:lvl w:ilvl="0">
      <w:start w:val="1"/>
      <w:numFmt w:val="decimal"/>
      <w:lvlText w:val="Zjištění %1:"/>
      <w:lvlJc w:val="left"/>
      <w:pPr>
        <w:tabs>
          <w:tab w:val="num" w:pos="0"/>
        </w:tabs>
        <w:ind w:left="1854" w:hanging="360"/>
      </w:pPr>
      <w:rPr/>
    </w:lvl>
    <w:lvl w:ilvl="1">
      <w:start w:val="1"/>
      <w:numFmt w:val="decimal"/>
      <w:lvlText w:val="Zjištění %2:"/>
      <w:lvlJc w:val="left"/>
      <w:pPr>
        <w:tabs>
          <w:tab w:val="num" w:pos="0"/>
        </w:tabs>
        <w:ind w:left="1440" w:hanging="360"/>
      </w:pPr>
      <w:rPr>
        <w:i w:val="false"/>
        <w:b w:val="false"/>
        <w:iCs w:val="false"/>
        <w:bCs w:val="false"/>
        <w:color w:val="00469B"/>
      </w:rPr>
    </w:lvl>
    <w:lvl w:ilvl="2">
      <w:start w:val="1"/>
      <w:numFmt w:val="lowerLetter"/>
      <w:lvlText w:val="%3)"/>
      <w:lvlJc w:val="left"/>
      <w:pPr>
        <w:tabs>
          <w:tab w:val="num" w:pos="0"/>
        </w:tabs>
        <w:ind w:left="234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decimal"/>
      <w:lvlText w:val="[%1]"/>
      <w:lvlJc w:val="left"/>
      <w:pPr>
        <w:tabs>
          <w:tab w:val="num" w:pos="0"/>
        </w:tabs>
        <w:ind w:left="1004"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decimal"/>
      <w:lvlText w:val="%1."/>
      <w:lvlJc w:val="left"/>
      <w:pPr>
        <w:tabs>
          <w:tab w:val="num" w:pos="0"/>
        </w:tabs>
        <w:ind w:left="720" w:hanging="360"/>
      </w:pPr>
      <w:rPr>
        <w:rFonts w:ascii="Arial" w:hAnsi="Arial" w:eastAsia="Times New Roman" w:cs="Arial"/>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lowerLetter"/>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
    <w:lvl w:ilvl="0">
      <w:start w:val="1"/>
      <w:numFmt w:val="decimal"/>
      <w:lvlText w:val="%1."/>
      <w:lvlJc w:val="left"/>
      <w:pPr>
        <w:tabs>
          <w:tab w:val="num" w:pos="0"/>
        </w:tabs>
        <w:ind w:left="764" w:hanging="360"/>
      </w:pPr>
      <w:rPr/>
    </w:lvl>
    <w:lvl w:ilvl="1">
      <w:start w:val="1"/>
      <w:numFmt w:val="lowerLetter"/>
      <w:lvlText w:val="%2."/>
      <w:lvlJc w:val="left"/>
      <w:pPr>
        <w:tabs>
          <w:tab w:val="num" w:pos="0"/>
        </w:tabs>
        <w:ind w:left="1484" w:hanging="360"/>
      </w:pPr>
      <w:rPr/>
    </w:lvl>
    <w:lvl w:ilvl="2">
      <w:start w:val="1"/>
      <w:numFmt w:val="lowerRoman"/>
      <w:lvlText w:val="%3."/>
      <w:lvlJc w:val="right"/>
      <w:pPr>
        <w:tabs>
          <w:tab w:val="num" w:pos="0"/>
        </w:tabs>
        <w:ind w:left="2204" w:hanging="180"/>
      </w:pPr>
      <w:rPr/>
    </w:lvl>
    <w:lvl w:ilvl="3">
      <w:start w:val="1"/>
      <w:numFmt w:val="decimal"/>
      <w:lvlText w:val="%4."/>
      <w:lvlJc w:val="left"/>
      <w:pPr>
        <w:tabs>
          <w:tab w:val="num" w:pos="0"/>
        </w:tabs>
        <w:ind w:left="2924" w:hanging="360"/>
      </w:pPr>
      <w:rPr/>
    </w:lvl>
    <w:lvl w:ilvl="4">
      <w:start w:val="1"/>
      <w:numFmt w:val="lowerLetter"/>
      <w:lvlText w:val="%5."/>
      <w:lvlJc w:val="left"/>
      <w:pPr>
        <w:tabs>
          <w:tab w:val="num" w:pos="0"/>
        </w:tabs>
        <w:ind w:left="3644" w:hanging="360"/>
      </w:pPr>
      <w:rPr/>
    </w:lvl>
    <w:lvl w:ilvl="5">
      <w:start w:val="1"/>
      <w:numFmt w:val="lowerRoman"/>
      <w:lvlText w:val="%6."/>
      <w:lvlJc w:val="right"/>
      <w:pPr>
        <w:tabs>
          <w:tab w:val="num" w:pos="0"/>
        </w:tabs>
        <w:ind w:left="4364" w:hanging="180"/>
      </w:pPr>
      <w:rPr/>
    </w:lvl>
    <w:lvl w:ilvl="6">
      <w:start w:val="1"/>
      <w:numFmt w:val="decimal"/>
      <w:lvlText w:val="%7."/>
      <w:lvlJc w:val="left"/>
      <w:pPr>
        <w:tabs>
          <w:tab w:val="num" w:pos="0"/>
        </w:tabs>
        <w:ind w:left="5084" w:hanging="360"/>
      </w:pPr>
      <w:rPr/>
    </w:lvl>
    <w:lvl w:ilvl="7">
      <w:start w:val="1"/>
      <w:numFmt w:val="lowerLetter"/>
      <w:lvlText w:val="%8."/>
      <w:lvlJc w:val="left"/>
      <w:pPr>
        <w:tabs>
          <w:tab w:val="num" w:pos="0"/>
        </w:tabs>
        <w:ind w:left="5804" w:hanging="360"/>
      </w:pPr>
      <w:rPr/>
    </w:lvl>
    <w:lvl w:ilvl="8">
      <w:start w:val="1"/>
      <w:numFmt w:val="lowerRoman"/>
      <w:lvlText w:val="%9."/>
      <w:lvlJc w:val="right"/>
      <w:pPr>
        <w:tabs>
          <w:tab w:val="num" w:pos="0"/>
        </w:tabs>
        <w:ind w:left="6524" w:hanging="180"/>
      </w:pPr>
      <w:rPr/>
    </w:lvl>
  </w:abstractNum>
  <w:abstractNum w:abstractNumId="10">
    <w:lvl w:ilvl="0">
      <w:start w:val="1"/>
      <w:numFmt w:val="decimal"/>
      <w:lvlText w:val="(%1)"/>
      <w:lvlJc w:val="right"/>
      <w:pPr>
        <w:tabs>
          <w:tab w:val="num" w:pos="0"/>
        </w:tabs>
        <w:ind w:left="717" w:hanging="360"/>
      </w:pPr>
      <w:rPr>
        <w:sz w:val="20"/>
        <w:i w:val="false"/>
        <w:b w:val="false"/>
        <w:rFonts w:ascii="Czechia Sans" w:hAnsi="Czechia Sans"/>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1">
    <w:lvl w:ilvl="0">
      <w:start w:val="1"/>
      <w:numFmt w:val="decimal"/>
      <w:lvlText w:val="Závěr %1:"/>
      <w:lvlJc w:val="right"/>
      <w:pPr>
        <w:tabs>
          <w:tab w:val="num" w:pos="0"/>
        </w:tabs>
        <w:ind w:left="720" w:hanging="360"/>
      </w:pPr>
      <w:rPr>
        <w:sz w:val="20"/>
        <w:i w:val="false"/>
        <w:b w:val="false"/>
        <w:rFonts w:ascii="Czechia Sans" w:hAnsi="Czechia Sans"/>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
    <w:lvl w:ilvl="0">
      <w:start w:val="1"/>
      <w:numFmt w:val="decimal"/>
      <w:lvlText w:val="%1."/>
      <w:lvlJc w:val="left"/>
      <w:pPr>
        <w:tabs>
          <w:tab w:val="num" w:pos="0"/>
        </w:tabs>
        <w:ind w:left="1353" w:hanging="360"/>
      </w:pPr>
      <w:rPr/>
    </w:lvl>
    <w:lvl w:ilvl="1">
      <w:start w:val="1"/>
      <w:numFmt w:val="lowerLetter"/>
      <w:lvlText w:val="%2."/>
      <w:lvlJc w:val="left"/>
      <w:pPr>
        <w:tabs>
          <w:tab w:val="num" w:pos="0"/>
        </w:tabs>
        <w:ind w:left="2073" w:hanging="360"/>
      </w:pPr>
      <w:rPr/>
    </w:lvl>
    <w:lvl w:ilvl="2">
      <w:start w:val="1"/>
      <w:numFmt w:val="lowerRoman"/>
      <w:lvlText w:val="%3."/>
      <w:lvlJc w:val="right"/>
      <w:pPr>
        <w:tabs>
          <w:tab w:val="num" w:pos="0"/>
        </w:tabs>
        <w:ind w:left="2793" w:hanging="180"/>
      </w:pPr>
      <w:rPr/>
    </w:lvl>
    <w:lvl w:ilvl="3">
      <w:start w:val="1"/>
      <w:numFmt w:val="decimal"/>
      <w:lvlText w:val="%4."/>
      <w:lvlJc w:val="left"/>
      <w:pPr>
        <w:tabs>
          <w:tab w:val="num" w:pos="0"/>
        </w:tabs>
        <w:ind w:left="3513" w:hanging="360"/>
      </w:pPr>
      <w:rPr/>
    </w:lvl>
    <w:lvl w:ilvl="4">
      <w:start w:val="1"/>
      <w:numFmt w:val="lowerLetter"/>
      <w:lvlText w:val="%5."/>
      <w:lvlJc w:val="left"/>
      <w:pPr>
        <w:tabs>
          <w:tab w:val="num" w:pos="0"/>
        </w:tabs>
        <w:ind w:left="4233" w:hanging="360"/>
      </w:pPr>
      <w:rPr/>
    </w:lvl>
    <w:lvl w:ilvl="5">
      <w:start w:val="1"/>
      <w:numFmt w:val="lowerRoman"/>
      <w:lvlText w:val="%6."/>
      <w:lvlJc w:val="right"/>
      <w:pPr>
        <w:tabs>
          <w:tab w:val="num" w:pos="0"/>
        </w:tabs>
        <w:ind w:left="4953" w:hanging="180"/>
      </w:pPr>
      <w:rPr/>
    </w:lvl>
    <w:lvl w:ilvl="6">
      <w:start w:val="1"/>
      <w:numFmt w:val="decimal"/>
      <w:lvlText w:val="%7."/>
      <w:lvlJc w:val="left"/>
      <w:pPr>
        <w:tabs>
          <w:tab w:val="num" w:pos="0"/>
        </w:tabs>
        <w:ind w:left="5673" w:hanging="360"/>
      </w:pPr>
      <w:rPr/>
    </w:lvl>
    <w:lvl w:ilvl="7">
      <w:start w:val="1"/>
      <w:numFmt w:val="lowerLetter"/>
      <w:lvlText w:val="%8."/>
      <w:lvlJc w:val="left"/>
      <w:pPr>
        <w:tabs>
          <w:tab w:val="num" w:pos="0"/>
        </w:tabs>
        <w:ind w:left="6393" w:hanging="360"/>
      </w:pPr>
      <w:rPr/>
    </w:lvl>
    <w:lvl w:ilvl="8">
      <w:start w:val="1"/>
      <w:numFmt w:val="lowerRoman"/>
      <w:lvlText w:val="%9."/>
      <w:lvlJc w:val="right"/>
      <w:pPr>
        <w:tabs>
          <w:tab w:val="num" w:pos="0"/>
        </w:tabs>
        <w:ind w:left="7113" w:hanging="180"/>
      </w:pPr>
      <w:rPr/>
    </w:lvl>
  </w:abstractNum>
  <w:abstractNum w:abstractNumId="1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1">
    <w:lvl w:ilvl="0">
      <w:start w:val="1"/>
      <w:numFmt w:val="decimal"/>
      <w:lvlText w:val="%1."/>
      <w:lvlJc w:val="left"/>
      <w:pPr>
        <w:tabs>
          <w:tab w:val="num" w:pos="0"/>
        </w:tabs>
        <w:ind w:left="764" w:hanging="360"/>
      </w:pPr>
      <w:rPr/>
    </w:lvl>
    <w:lvl w:ilvl="1">
      <w:start w:val="1"/>
      <w:numFmt w:val="lowerLetter"/>
      <w:lvlText w:val="%2."/>
      <w:lvlJc w:val="left"/>
      <w:pPr>
        <w:tabs>
          <w:tab w:val="num" w:pos="0"/>
        </w:tabs>
        <w:ind w:left="1484" w:hanging="360"/>
      </w:pPr>
      <w:rPr/>
    </w:lvl>
    <w:lvl w:ilvl="2">
      <w:start w:val="1"/>
      <w:numFmt w:val="lowerRoman"/>
      <w:lvlText w:val="%3."/>
      <w:lvlJc w:val="right"/>
      <w:pPr>
        <w:tabs>
          <w:tab w:val="num" w:pos="0"/>
        </w:tabs>
        <w:ind w:left="2204" w:hanging="180"/>
      </w:pPr>
      <w:rPr/>
    </w:lvl>
    <w:lvl w:ilvl="3">
      <w:start w:val="1"/>
      <w:numFmt w:val="decimal"/>
      <w:lvlText w:val="%4."/>
      <w:lvlJc w:val="left"/>
      <w:pPr>
        <w:tabs>
          <w:tab w:val="num" w:pos="0"/>
        </w:tabs>
        <w:ind w:left="2924" w:hanging="360"/>
      </w:pPr>
      <w:rPr/>
    </w:lvl>
    <w:lvl w:ilvl="4">
      <w:start w:val="1"/>
      <w:numFmt w:val="lowerLetter"/>
      <w:lvlText w:val="%5."/>
      <w:lvlJc w:val="left"/>
      <w:pPr>
        <w:tabs>
          <w:tab w:val="num" w:pos="0"/>
        </w:tabs>
        <w:ind w:left="3644" w:hanging="360"/>
      </w:pPr>
      <w:rPr/>
    </w:lvl>
    <w:lvl w:ilvl="5">
      <w:start w:val="1"/>
      <w:numFmt w:val="lowerRoman"/>
      <w:lvlText w:val="%6."/>
      <w:lvlJc w:val="right"/>
      <w:pPr>
        <w:tabs>
          <w:tab w:val="num" w:pos="0"/>
        </w:tabs>
        <w:ind w:left="4364" w:hanging="180"/>
      </w:pPr>
      <w:rPr/>
    </w:lvl>
    <w:lvl w:ilvl="6">
      <w:start w:val="1"/>
      <w:numFmt w:val="decimal"/>
      <w:lvlText w:val="%7."/>
      <w:lvlJc w:val="left"/>
      <w:pPr>
        <w:tabs>
          <w:tab w:val="num" w:pos="0"/>
        </w:tabs>
        <w:ind w:left="5084" w:hanging="360"/>
      </w:pPr>
      <w:rPr/>
    </w:lvl>
    <w:lvl w:ilvl="7">
      <w:start w:val="1"/>
      <w:numFmt w:val="lowerLetter"/>
      <w:lvlText w:val="%8."/>
      <w:lvlJc w:val="left"/>
      <w:pPr>
        <w:tabs>
          <w:tab w:val="num" w:pos="0"/>
        </w:tabs>
        <w:ind w:left="5804" w:hanging="360"/>
      </w:pPr>
      <w:rPr/>
    </w:lvl>
    <w:lvl w:ilvl="8">
      <w:start w:val="1"/>
      <w:numFmt w:val="lowerRoman"/>
      <w:lvlText w:val="%9."/>
      <w:lvlJc w:val="right"/>
      <w:pPr>
        <w:tabs>
          <w:tab w:val="num" w:pos="0"/>
        </w:tabs>
        <w:ind w:left="6524" w:hanging="180"/>
      </w:pPr>
      <w:rPr/>
    </w:lvl>
  </w:abstractNum>
  <w:abstractNum w:abstractNumId="3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3">
    <w:lvl w:ilvl="0">
      <w:start w:val="1"/>
      <w:numFmt w:val="lowerLetter"/>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34">
    <w:lvl w:ilvl="0">
      <w:start w:val="1"/>
      <w:numFmt w:val="decimal"/>
      <w:lvlText w:val="%1."/>
      <w:lvlJc w:val="left"/>
      <w:pPr>
        <w:tabs>
          <w:tab w:val="num" w:pos="0"/>
        </w:tabs>
        <w:ind w:left="720" w:hanging="360"/>
      </w:pPr>
      <w:rPr>
        <w:rFonts w:ascii="Arial" w:hAnsi="Arial" w:eastAsia="Times New Roman" w:cs="Arial"/>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5">
    <w:lvl w:ilvl="0">
      <w:start w:val="1"/>
      <w:numFmt w:val="lowerLetter"/>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8"/>
    <w:lvlOverride w:ilvl="0">
      <w:startOverride w:val="1"/>
    </w:lvlOverride>
  </w:num>
  <w:num w:numId="37">
    <w:abstractNumId w:val="8"/>
    <w:lvlOverride w:ilvl="0">
      <w:startOverride w:val="1"/>
    </w:lvlOverride>
  </w:num>
  <w:num w:numId="38">
    <w:abstractNumId w:val="8"/>
    <w:lvlOverride w:ilvl="0">
      <w:startOverride w:val="1"/>
    </w:lvlOverride>
  </w:num>
  <w:num w:numId="39">
    <w:abstractNumId w:val="8"/>
    <w:lvlOverride w:ilvl="0">
      <w:startOverride w:val="1"/>
    </w:lvlOverride>
  </w:num>
  <w:num w:numId="40">
    <w:abstractNumId w:val="8"/>
    <w:lvlOverride w:ilvl="0">
      <w:startOverride w:val="1"/>
    </w:lvlOverride>
  </w:num>
  <w:num w:numId="41">
    <w:abstractNumId w:val="8"/>
  </w:num>
  <w:num w:numId="42">
    <w:abstractNumId w:val="8"/>
    <w:lvlOverride w:ilvl="0">
      <w:startOverride w:val="1"/>
    </w:lvlOverride>
  </w:num>
  <w:num w:numId="43">
    <w:abstractNumId w:val="8"/>
    <w:lvlOverride w:ilvl="0">
      <w:startOverride w:val="1"/>
    </w:lvlOverride>
  </w:num>
  <w:num w:numId="44">
    <w:abstractNumId w:val="8"/>
  </w:num>
  <w:num w:numId="45">
    <w:abstractNumId w:val="8"/>
  </w:num>
  <w:num w:numId="46">
    <w:abstractNumId w:val="8"/>
    <w:lvlOverride w:ilvl="0">
      <w:startOverride w:val="1"/>
    </w:lvlOverride>
  </w:num>
  <w:num w:numId="47">
    <w:abstractNumId w:val="8"/>
  </w:num>
  <w:num w:numId="48">
    <w:abstractNumId w:val="8"/>
    <w:lvlOverride w:ilvl="0">
      <w:startOverride w:val="1"/>
    </w:lvlOverride>
  </w:num>
  <w:num w:numId="49">
    <w:abstractNumId w:val="8"/>
  </w:num>
  <w:num w:numId="50">
    <w:abstractNumId w:val="8"/>
  </w:num>
  <w:num w:numId="51">
    <w:abstractNumId w:val="8"/>
    <w:lvlOverride w:ilvl="0">
      <w:startOverride w:val="1"/>
    </w:lvlOverride>
  </w:num>
  <w:num w:numId="52">
    <w:abstractNumId w:val="8"/>
  </w:num>
  <w:num w:numId="53">
    <w:abstractNumId w:val="8"/>
    <w:lvlOverride w:ilvl="0">
      <w:startOverride w:val="1"/>
    </w:lvlOverride>
  </w:num>
  <w:num w:numId="54">
    <w:abstractNumId w:val="9"/>
    <w:lvlOverride w:ilvl="0">
      <w:startOverride w:val="1"/>
    </w:lvlOverride>
  </w:num>
  <w:num w:numId="55">
    <w:abstractNumId w:val="8"/>
    <w:lvlOverride w:ilvl="0">
      <w:startOverride w:val="1"/>
    </w:lvlOverride>
  </w:num>
  <w:num w:numId="56">
    <w:abstractNumId w:val="7"/>
    <w:lvlOverride w:ilvl="0">
      <w:startOverride w:val="1"/>
    </w:lvlOverride>
  </w:num>
  <w:num w:numId="57">
    <w:abstractNumId w:val="6"/>
    <w:lvlOverride w:ilvl="0">
      <w:startOverride w:val="1"/>
    </w:lvlOverride>
  </w:num>
  <w:num w:numId="58">
    <w:abstractNumId w:val="7"/>
    <w:lvlOverride w:ilvl="0">
      <w:startOverride w:val="1"/>
    </w:lvlOverride>
  </w:num>
</w:numbering>
</file>

<file path=word/settings.xml><?xml version="1.0" encoding="utf-8"?>
<w:settings xmlns:w="http://schemas.openxmlformats.org/wordprocessingml/2006/main">
  <w:zoom w:percent="150"/>
  <w:defaultTabStop w:val="708"/>
  <w:autoHyphenation w:val="true"/>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cs-CZ"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cs-CZ"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40747"/>
    <w:pPr>
      <w:widowControl/>
      <w:suppressAutoHyphens w:val="true"/>
      <w:bidi w:val="0"/>
      <w:spacing w:lineRule="auto" w:line="240" w:before="120" w:after="120"/>
      <w:ind w:left="284" w:right="283"/>
      <w:jc w:val="both"/>
    </w:pPr>
    <w:rPr>
      <w:rFonts w:ascii="Czechia Sans" w:hAnsi="Czechia Sans" w:eastAsia="Calibri" w:cs="" w:cstheme="minorBidi" w:eastAsiaTheme="minorHAnsi"/>
      <w:color w:val="auto"/>
      <w:kern w:val="0"/>
      <w:sz w:val="20"/>
      <w:szCs w:val="22"/>
      <w:lang w:val="cs-CZ" w:eastAsia="en-US" w:bidi="ar-SA"/>
    </w:rPr>
  </w:style>
  <w:style w:type="paragraph" w:styleId="Heading1">
    <w:name w:val="Heading 1"/>
    <w:basedOn w:val="Normal"/>
    <w:next w:val="Textprost"/>
    <w:link w:val="Heading1Char"/>
    <w:uiPriority w:val="9"/>
    <w:qFormat/>
    <w:rsid w:val="00234657"/>
    <w:pPr>
      <w:keepNext w:val="true"/>
      <w:keepLines/>
      <w:numPr>
        <w:ilvl w:val="0"/>
        <w:numId w:val="1"/>
      </w:numPr>
      <w:spacing w:before="600" w:after="1200"/>
      <w:ind w:hanging="1135" w:left="142" w:right="284"/>
      <w:jc w:val="left"/>
      <w:outlineLvl w:val="0"/>
    </w:pPr>
    <w:rPr>
      <w:rFonts w:eastAsia="" w:cs="Calibri" w:cstheme="minorHAnsi" w:eastAsiaTheme="majorEastAsia"/>
      <w:b/>
      <w:color w:val="D70C0F"/>
      <w:sz w:val="40"/>
      <w:szCs w:val="32"/>
    </w:rPr>
  </w:style>
  <w:style w:type="paragraph" w:styleId="Heading2">
    <w:name w:val="Heading 2"/>
    <w:basedOn w:val="Normal"/>
    <w:next w:val="Textprost"/>
    <w:link w:val="Heading2Char"/>
    <w:uiPriority w:val="9"/>
    <w:unhideWhenUsed/>
    <w:qFormat/>
    <w:rsid w:val="00e800b2"/>
    <w:pPr>
      <w:keepNext w:val="true"/>
      <w:keepLines/>
      <w:numPr>
        <w:ilvl w:val="1"/>
        <w:numId w:val="1"/>
      </w:numPr>
      <w:spacing w:before="240" w:after="240"/>
      <w:ind w:hanging="1135" w:left="142" w:right="284"/>
      <w:jc w:val="left"/>
      <w:outlineLvl w:val="1"/>
    </w:pPr>
    <w:rPr>
      <w:rFonts w:eastAsia="" w:cs="" w:cstheme="majorBidi" w:eastAsiaTheme="majorEastAsia"/>
      <w:b/>
      <w:color w:val="00469B"/>
      <w:sz w:val="28"/>
      <w:szCs w:val="28"/>
    </w:rPr>
  </w:style>
  <w:style w:type="paragraph" w:styleId="Heading3">
    <w:name w:val="Heading 3"/>
    <w:basedOn w:val="Normal"/>
    <w:next w:val="Textprost"/>
    <w:link w:val="Heading3Char"/>
    <w:uiPriority w:val="9"/>
    <w:unhideWhenUsed/>
    <w:qFormat/>
    <w:rsid w:val="005d1379"/>
    <w:pPr>
      <w:keepNext w:val="true"/>
      <w:keepLines/>
      <w:numPr>
        <w:ilvl w:val="2"/>
        <w:numId w:val="1"/>
      </w:numPr>
      <w:spacing w:before="160" w:after="160"/>
      <w:ind w:hanging="1134" w:left="142" w:right="284"/>
      <w:jc w:val="left"/>
      <w:outlineLvl w:val="2"/>
    </w:pPr>
    <w:rPr>
      <w:rFonts w:eastAsia="" w:cs="" w:cstheme="majorBidi" w:eastAsiaTheme="majorEastAsia"/>
      <w:bCs/>
      <w:color w:val="00469B"/>
      <w:sz w:val="24"/>
      <w:szCs w:val="20"/>
    </w:rPr>
  </w:style>
  <w:style w:type="paragraph" w:styleId="Heading4">
    <w:name w:val="Heading 4"/>
    <w:basedOn w:val="Normal"/>
    <w:next w:val="Normal"/>
    <w:link w:val="Heading4Char"/>
    <w:uiPriority w:val="9"/>
    <w:semiHidden/>
    <w:unhideWhenUsed/>
    <w:qFormat/>
    <w:rsid w:val="00d52959"/>
    <w:pPr>
      <w:keepNext w:val="true"/>
      <w:keepLines/>
      <w:numPr>
        <w:ilvl w:val="3"/>
        <w:numId w:val="1"/>
      </w:numPr>
      <w:spacing w:before="40" w:after="0"/>
      <w:outlineLvl w:val="3"/>
    </w:pPr>
    <w:rPr>
      <w:rFonts w:ascii="Calibri Light" w:hAnsi="Calibri Light" w:eastAsia="" w:cs="" w:asciiTheme="majorHAnsi" w:cstheme="majorBidi" w:eastAsiaTheme="majorEastAsia" w:hAnsiTheme="majorHAnsi"/>
      <w:i/>
      <w:iCs/>
      <w:color w:themeColor="accent1" w:themeShade="bf" w:val="2F5496"/>
    </w:rPr>
  </w:style>
  <w:style w:type="paragraph" w:styleId="Heading5">
    <w:name w:val="Heading 5"/>
    <w:basedOn w:val="Normal"/>
    <w:next w:val="Normal"/>
    <w:link w:val="Heading5Char"/>
    <w:uiPriority w:val="9"/>
    <w:semiHidden/>
    <w:unhideWhenUsed/>
    <w:qFormat/>
    <w:rsid w:val="00d52959"/>
    <w:pPr>
      <w:keepNext w:val="true"/>
      <w:keepLines/>
      <w:numPr>
        <w:ilvl w:val="4"/>
        <w:numId w:val="1"/>
      </w:numPr>
      <w:spacing w:before="40" w:after="0"/>
      <w:outlineLvl w:val="4"/>
    </w:pPr>
    <w:rPr>
      <w:rFonts w:ascii="Calibri Light" w:hAnsi="Calibri Light" w:eastAsia="" w:cs="" w:asciiTheme="majorHAnsi" w:cstheme="majorBidi" w:eastAsiaTheme="majorEastAsia" w:hAnsiTheme="majorHAnsi"/>
      <w:color w:themeColor="accent1" w:themeShade="bf" w:val="2F5496"/>
    </w:rPr>
  </w:style>
  <w:style w:type="paragraph" w:styleId="Heading6">
    <w:name w:val="Heading 6"/>
    <w:basedOn w:val="Normal"/>
    <w:next w:val="Normal"/>
    <w:link w:val="Heading6Char"/>
    <w:uiPriority w:val="9"/>
    <w:semiHidden/>
    <w:unhideWhenUsed/>
    <w:qFormat/>
    <w:rsid w:val="00d52959"/>
    <w:pPr>
      <w:keepNext w:val="true"/>
      <w:keepLines/>
      <w:numPr>
        <w:ilvl w:val="5"/>
        <w:numId w:val="1"/>
      </w:numPr>
      <w:spacing w:before="40" w:after="0"/>
      <w:outlineLvl w:val="5"/>
    </w:pPr>
    <w:rPr>
      <w:rFonts w:ascii="Calibri Light" w:hAnsi="Calibri Light" w:eastAsia="" w:cs="" w:asciiTheme="majorHAnsi" w:cstheme="majorBidi" w:eastAsiaTheme="majorEastAsia" w:hAnsiTheme="majorHAnsi"/>
      <w:color w:themeColor="accent1" w:themeShade="7f" w:val="1F3763"/>
    </w:rPr>
  </w:style>
  <w:style w:type="paragraph" w:styleId="Heading7">
    <w:name w:val="Heading 7"/>
    <w:basedOn w:val="Normal"/>
    <w:next w:val="Normal"/>
    <w:link w:val="Heading7Char"/>
    <w:uiPriority w:val="9"/>
    <w:semiHidden/>
    <w:unhideWhenUsed/>
    <w:qFormat/>
    <w:rsid w:val="00d52959"/>
    <w:pPr>
      <w:keepNext w:val="true"/>
      <w:keepLines/>
      <w:numPr>
        <w:ilvl w:val="6"/>
        <w:numId w:val="1"/>
      </w:numPr>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Heading8Char"/>
    <w:uiPriority w:val="9"/>
    <w:semiHidden/>
    <w:unhideWhenUsed/>
    <w:qFormat/>
    <w:rsid w:val="00d52959"/>
    <w:pPr>
      <w:keepNext w:val="true"/>
      <w:keepLines/>
      <w:numPr>
        <w:ilvl w:val="7"/>
        <w:numId w:val="1"/>
      </w:numPr>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Heading9Char"/>
    <w:uiPriority w:val="9"/>
    <w:semiHidden/>
    <w:unhideWhenUsed/>
    <w:qFormat/>
    <w:rsid w:val="00d52959"/>
    <w:pPr>
      <w:keepNext w:val="true"/>
      <w:keepLines/>
      <w:numPr>
        <w:ilvl w:val="8"/>
        <w:numId w:val="1"/>
      </w:numPr>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034028"/>
    <w:rPr>
      <w:rFonts w:ascii="Czechia Sans" w:hAnsi="Czechia Sans" w:eastAsia="" w:cs="Calibri" w:cstheme="minorHAnsi" w:eastAsiaTheme="majorEastAsia"/>
      <w:b/>
      <w:color w:val="D70C0F"/>
      <w:sz w:val="40"/>
      <w:szCs w:val="32"/>
    </w:rPr>
  </w:style>
  <w:style w:type="character" w:styleId="Heading2Char" w:customStyle="1">
    <w:name w:val="Heading 2 Char"/>
    <w:basedOn w:val="DefaultParagraphFont"/>
    <w:link w:val="Heading2"/>
    <w:uiPriority w:val="9"/>
    <w:qFormat/>
    <w:rsid w:val="00034028"/>
    <w:rPr>
      <w:rFonts w:ascii="Czechia Sans" w:hAnsi="Czechia Sans" w:eastAsia="" w:cs="" w:cstheme="majorBidi" w:eastAsiaTheme="majorEastAsia"/>
      <w:b/>
      <w:color w:val="00469B"/>
      <w:sz w:val="28"/>
      <w:szCs w:val="28"/>
    </w:rPr>
  </w:style>
  <w:style w:type="character" w:styleId="Heading3Char" w:customStyle="1">
    <w:name w:val="Heading 3 Char"/>
    <w:basedOn w:val="DefaultParagraphFont"/>
    <w:link w:val="Heading3"/>
    <w:uiPriority w:val="9"/>
    <w:qFormat/>
    <w:rsid w:val="00826b6e"/>
    <w:rPr>
      <w:rFonts w:ascii="Czechia Sans" w:hAnsi="Czechia Sans" w:eastAsia="" w:cs="" w:cstheme="majorBidi" w:eastAsiaTheme="majorEastAsia"/>
      <w:bCs/>
      <w:color w:val="00469B"/>
      <w:sz w:val="24"/>
      <w:szCs w:val="20"/>
    </w:rPr>
  </w:style>
  <w:style w:type="character" w:styleId="Heading4Char" w:customStyle="1">
    <w:name w:val="Heading 4 Char"/>
    <w:basedOn w:val="DefaultParagraphFont"/>
    <w:link w:val="Heading4"/>
    <w:uiPriority w:val="9"/>
    <w:semiHidden/>
    <w:qFormat/>
    <w:rsid w:val="00d52959"/>
    <w:rPr>
      <w:rFonts w:ascii="Calibri Light" w:hAnsi="Calibri Light" w:eastAsia="" w:cs="" w:asciiTheme="majorHAnsi" w:cstheme="majorBidi" w:eastAsiaTheme="majorEastAsia" w:hAnsiTheme="majorHAnsi"/>
      <w:i/>
      <w:iCs/>
      <w:color w:themeColor="accent1" w:themeShade="bf" w:val="2F5496"/>
      <w:sz w:val="20"/>
    </w:rPr>
  </w:style>
  <w:style w:type="character" w:styleId="Heading5Char" w:customStyle="1">
    <w:name w:val="Heading 5 Char"/>
    <w:basedOn w:val="DefaultParagraphFont"/>
    <w:link w:val="Heading5"/>
    <w:uiPriority w:val="9"/>
    <w:semiHidden/>
    <w:qFormat/>
    <w:rsid w:val="00d52959"/>
    <w:rPr>
      <w:rFonts w:ascii="Calibri Light" w:hAnsi="Calibri Light" w:eastAsia="" w:cs="" w:asciiTheme="majorHAnsi" w:cstheme="majorBidi" w:eastAsiaTheme="majorEastAsia" w:hAnsiTheme="majorHAnsi"/>
      <w:color w:themeColor="accent1" w:themeShade="bf" w:val="2F5496"/>
      <w:sz w:val="20"/>
    </w:rPr>
  </w:style>
  <w:style w:type="character" w:styleId="Heading6Char" w:customStyle="1">
    <w:name w:val="Heading 6 Char"/>
    <w:basedOn w:val="DefaultParagraphFont"/>
    <w:link w:val="Heading6"/>
    <w:uiPriority w:val="9"/>
    <w:semiHidden/>
    <w:qFormat/>
    <w:rsid w:val="00d52959"/>
    <w:rPr>
      <w:rFonts w:ascii="Calibri Light" w:hAnsi="Calibri Light" w:eastAsia="" w:cs="" w:asciiTheme="majorHAnsi" w:cstheme="majorBidi" w:eastAsiaTheme="majorEastAsia" w:hAnsiTheme="majorHAnsi"/>
      <w:color w:themeColor="accent1" w:themeShade="7f" w:val="1F3763"/>
      <w:sz w:val="20"/>
    </w:rPr>
  </w:style>
  <w:style w:type="character" w:styleId="Heading7Char" w:customStyle="1">
    <w:name w:val="Heading 7 Char"/>
    <w:basedOn w:val="DefaultParagraphFont"/>
    <w:link w:val="Heading7"/>
    <w:uiPriority w:val="9"/>
    <w:semiHidden/>
    <w:qFormat/>
    <w:rsid w:val="00d52959"/>
    <w:rPr>
      <w:rFonts w:ascii="Calibri Light" w:hAnsi="Calibri Light" w:eastAsia="" w:cs="" w:asciiTheme="majorHAnsi" w:cstheme="majorBidi" w:eastAsiaTheme="majorEastAsia" w:hAnsiTheme="majorHAnsi"/>
      <w:i/>
      <w:iCs/>
      <w:color w:themeColor="accent1" w:themeShade="7f" w:val="1F3763"/>
      <w:sz w:val="20"/>
    </w:rPr>
  </w:style>
  <w:style w:type="character" w:styleId="Heading8Char" w:customStyle="1">
    <w:name w:val="Heading 8 Char"/>
    <w:basedOn w:val="DefaultParagraphFont"/>
    <w:link w:val="Heading8"/>
    <w:uiPriority w:val="9"/>
    <w:semiHidden/>
    <w:qFormat/>
    <w:rsid w:val="00d52959"/>
    <w:rPr>
      <w:rFonts w:ascii="Calibri Light" w:hAnsi="Calibri Light" w:eastAsia="" w:cs="" w:asciiTheme="majorHAnsi" w:cstheme="majorBidi" w:eastAsiaTheme="majorEastAsia" w:hAnsiTheme="majorHAnsi"/>
      <w:color w:themeColor="text1" w:themeTint="d8" w:val="272727"/>
      <w:sz w:val="21"/>
      <w:szCs w:val="21"/>
    </w:rPr>
  </w:style>
  <w:style w:type="character" w:styleId="Heading9Char" w:customStyle="1">
    <w:name w:val="Heading 9 Char"/>
    <w:basedOn w:val="DefaultParagraphFont"/>
    <w:link w:val="Heading9"/>
    <w:uiPriority w:val="9"/>
    <w:semiHidden/>
    <w:qFormat/>
    <w:rsid w:val="00d52959"/>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Hyperlink">
    <w:name w:val="Hyperlink"/>
    <w:basedOn w:val="DefaultParagraphFont"/>
    <w:uiPriority w:val="99"/>
    <w:unhideWhenUsed/>
    <w:rsid w:val="004d60bc"/>
    <w:rPr>
      <w:color w:val="D70C0C"/>
      <w:u w:val="single"/>
    </w:rPr>
  </w:style>
  <w:style w:type="character" w:styleId="HeaderChar" w:customStyle="1">
    <w:name w:val="Header Char"/>
    <w:basedOn w:val="DefaultParagraphFont"/>
    <w:link w:val="Header"/>
    <w:uiPriority w:val="99"/>
    <w:qFormat/>
    <w:rsid w:val="00fc5b8c"/>
    <w:rPr>
      <w:sz w:val="20"/>
    </w:rPr>
  </w:style>
  <w:style w:type="character" w:styleId="FooterChar" w:customStyle="1">
    <w:name w:val="Footer Char"/>
    <w:basedOn w:val="DefaultParagraphFont"/>
    <w:link w:val="Footer"/>
    <w:uiPriority w:val="99"/>
    <w:qFormat/>
    <w:rsid w:val="00fc5b8c"/>
    <w:rPr>
      <w:sz w:val="20"/>
    </w:rPr>
  </w:style>
  <w:style w:type="character" w:styleId="FootnoteTextChar" w:customStyle="1">
    <w:name w:val="Footnote Text Char"/>
    <w:basedOn w:val="DefaultParagraphFont"/>
    <w:link w:val="FootnoteText"/>
    <w:uiPriority w:val="99"/>
    <w:semiHidden/>
    <w:qFormat/>
    <w:rsid w:val="00e3183e"/>
    <w:rPr>
      <w:sz w:val="20"/>
      <w:szCs w:val="20"/>
    </w:rPr>
  </w:style>
  <w:style w:type="character" w:styleId="FootnoteCharacters">
    <w:name w:val="Footnote Characters"/>
    <w:uiPriority w:val="99"/>
    <w:semiHidden/>
    <w:unhideWhenUsed/>
    <w:qFormat/>
    <w:rsid w:val="00e3183e"/>
    <w:rPr>
      <w:vertAlign w:val="superscript"/>
    </w:rPr>
  </w:style>
  <w:style w:type="character" w:styleId="FootnoteReference">
    <w:name w:val="Footnote Reference"/>
    <w:rPr>
      <w:vertAlign w:val="superscript"/>
    </w:rPr>
  </w:style>
  <w:style w:type="character" w:styleId="UnresolvedMention">
    <w:name w:val="Unresolved Mention"/>
    <w:basedOn w:val="DefaultParagraphFont"/>
    <w:uiPriority w:val="99"/>
    <w:semiHidden/>
    <w:unhideWhenUsed/>
    <w:qFormat/>
    <w:rsid w:val="00e3183e"/>
    <w:rPr>
      <w:color w:val="605E5C"/>
      <w:shd w:fill="E1DFDD" w:val="clear"/>
    </w:rPr>
  </w:style>
  <w:style w:type="character" w:styleId="LineNumber">
    <w:name w:val="Line Number"/>
    <w:basedOn w:val="DefaultParagraphFont"/>
    <w:uiPriority w:val="99"/>
    <w:semiHidden/>
    <w:unhideWhenUsed/>
    <w:rsid w:val="00923323"/>
    <w:rPr/>
  </w:style>
  <w:style w:type="character" w:styleId="ppChar" w:customStyle="1">
    <w:name w:val="ppč Char"/>
    <w:basedOn w:val="FootnoteTextChar"/>
    <w:link w:val="pp"/>
    <w:qFormat/>
    <w:rsid w:val="004d60bc"/>
    <w:rPr>
      <w:rFonts w:ascii="Czechia Sans" w:hAnsi="Czechia Sans"/>
      <w:sz w:val="16"/>
      <w:szCs w:val="16"/>
    </w:rPr>
  </w:style>
  <w:style w:type="character" w:styleId="ZjitnaduChar" w:customStyle="1">
    <w:name w:val="Zjištění úřadu Char"/>
    <w:basedOn w:val="DefaultParagraphFont"/>
    <w:link w:val="Zjitnadu"/>
    <w:qFormat/>
    <w:rsid w:val="001f4734"/>
    <w:rPr>
      <w:rFonts w:ascii="Czechia Sans" w:hAnsi="Czechia Sans"/>
      <w:color w:val="00469B"/>
      <w:sz w:val="20"/>
      <w:lang w:eastAsia="cs-CZ"/>
    </w:rPr>
  </w:style>
  <w:style w:type="character" w:styleId="GraftabulkaChar" w:customStyle="1">
    <w:name w:val="Graf/tabulka Char"/>
    <w:basedOn w:val="DefaultParagraphFont"/>
    <w:link w:val="Graftabulka"/>
    <w:qFormat/>
    <w:rsid w:val="00ec3d7f"/>
    <w:rPr>
      <w:rFonts w:ascii="Czechia Sans" w:hAnsi="Czechia Sans"/>
      <w:sz w:val="20"/>
    </w:rPr>
  </w:style>
  <w:style w:type="character" w:styleId="ZdrojChar" w:customStyle="1">
    <w:name w:val="Zdroj Char"/>
    <w:basedOn w:val="GraftabulkaChar"/>
    <w:link w:val="Zdroj"/>
    <w:qFormat/>
    <w:rsid w:val="007f7d4e"/>
    <w:rPr>
      <w:rFonts w:ascii="Czechia Sans" w:hAnsi="Czechia Sans"/>
      <w:i/>
      <w:iCs/>
      <w:sz w:val="16"/>
    </w:rPr>
  </w:style>
  <w:style w:type="character" w:styleId="RovniceChar" w:customStyle="1">
    <w:name w:val="Rovnice Char"/>
    <w:basedOn w:val="DefaultParagraphFont"/>
    <w:link w:val="Rovnice"/>
    <w:qFormat/>
    <w:rsid w:val="0053252f"/>
    <w:rPr>
      <w:rFonts w:ascii="Czechia Sans" w:hAnsi="Czechia Sans"/>
      <w:i/>
      <w:iCs/>
      <w:sz w:val="20"/>
    </w:rPr>
  </w:style>
  <w:style w:type="character" w:styleId="annotationreference">
    <w:name w:val="annotation reference"/>
    <w:basedOn w:val="DefaultParagraphFont"/>
    <w:uiPriority w:val="99"/>
    <w:semiHidden/>
    <w:unhideWhenUsed/>
    <w:qFormat/>
    <w:rsid w:val="00e8074f"/>
    <w:rPr>
      <w:sz w:val="16"/>
      <w:szCs w:val="16"/>
    </w:rPr>
  </w:style>
  <w:style w:type="character" w:styleId="CommentTextChar" w:customStyle="1">
    <w:name w:val="Comment Text Char"/>
    <w:basedOn w:val="DefaultParagraphFont"/>
    <w:link w:val="AnnotationText"/>
    <w:uiPriority w:val="99"/>
    <w:qFormat/>
    <w:rsid w:val="00e8074f"/>
    <w:rPr>
      <w:sz w:val="20"/>
      <w:szCs w:val="20"/>
    </w:rPr>
  </w:style>
  <w:style w:type="character" w:styleId="CommentSubjectChar" w:customStyle="1">
    <w:name w:val="Comment Subject Char"/>
    <w:basedOn w:val="CommentTextChar"/>
    <w:link w:val="annotationsubject"/>
    <w:uiPriority w:val="99"/>
    <w:semiHidden/>
    <w:qFormat/>
    <w:rsid w:val="00e8074f"/>
    <w:rPr>
      <w:b/>
      <w:bCs/>
      <w:sz w:val="20"/>
      <w:szCs w:val="20"/>
    </w:rPr>
  </w:style>
  <w:style w:type="character" w:styleId="ListParagraphChar" w:customStyle="1">
    <w:name w:val="List Paragraph Char"/>
    <w:basedOn w:val="DefaultParagraphFont"/>
    <w:link w:val="ListParagraph"/>
    <w:uiPriority w:val="34"/>
    <w:qFormat/>
    <w:rsid w:val="00a87202"/>
    <w:rPr>
      <w:rFonts w:ascii="Arial" w:hAnsi="Arial"/>
      <w:sz w:val="20"/>
    </w:rPr>
  </w:style>
  <w:style w:type="character" w:styleId="LiteraturaChar" w:customStyle="1">
    <w:name w:val="Literatura Char"/>
    <w:basedOn w:val="ListParagraphChar"/>
    <w:link w:val="Literatura"/>
    <w:qFormat/>
    <w:rsid w:val="00a261cf"/>
    <w:rPr>
      <w:rFonts w:ascii="Czechia Sans" w:hAnsi="Czechia Sans"/>
      <w:sz w:val="20"/>
    </w:rPr>
  </w:style>
  <w:style w:type="character" w:styleId="PlaceholderText">
    <w:name w:val="Placeholder Text"/>
    <w:basedOn w:val="DefaultParagraphFont"/>
    <w:uiPriority w:val="99"/>
    <w:semiHidden/>
    <w:qFormat/>
    <w:rsid w:val="007c78ba"/>
    <w:rPr>
      <w:color w:val="666666"/>
    </w:rPr>
  </w:style>
  <w:style w:type="character" w:styleId="VloendospisuChar" w:customStyle="1">
    <w:name w:val="Vložení do spisu Char"/>
    <w:basedOn w:val="DefaultParagraphFont"/>
    <w:link w:val="Vloendospisu"/>
    <w:qFormat/>
    <w:rsid w:val="00762947"/>
    <w:rPr>
      <w:rFonts w:ascii="Calibri" w:hAnsi="Calibri" w:eastAsia="Times New Roman" w:cs="Times New Roman"/>
      <w:sz w:val="24"/>
      <w:szCs w:val="20"/>
      <w:lang w:eastAsia="cs-CZ"/>
    </w:rPr>
  </w:style>
  <w:style w:type="character" w:styleId="FollowedHyperlink">
    <w:name w:val="FollowedHyperlink"/>
    <w:basedOn w:val="DefaultParagraphFont"/>
    <w:uiPriority w:val="99"/>
    <w:semiHidden/>
    <w:unhideWhenUsed/>
    <w:rsid w:val="00fc22b4"/>
    <w:rPr>
      <w:color w:themeColor="followedHyperlink" w:val="954F72"/>
      <w:u w:val="single"/>
    </w:rPr>
  </w:style>
  <w:style w:type="character" w:styleId="IndexLink">
    <w:name w:val="Index Link"/>
    <w:qFormat/>
    <w:rPr/>
  </w:style>
  <w:style w:type="character" w:styleId="EndnoteCharacters">
    <w:name w:val="Endnote Characters"/>
    <w:qForma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OC1">
    <w:name w:val="TOC 1"/>
    <w:basedOn w:val="Normal"/>
    <w:next w:val="Normal"/>
    <w:autoRedefine/>
    <w:uiPriority w:val="39"/>
    <w:unhideWhenUsed/>
    <w:rsid w:val="008b32d9"/>
    <w:pPr>
      <w:spacing w:before="240" w:after="120"/>
      <w:ind w:left="0"/>
      <w:jc w:val="left"/>
    </w:pPr>
    <w:rPr>
      <w:b/>
      <w:bCs/>
      <w:szCs w:val="20"/>
    </w:rPr>
  </w:style>
  <w:style w:type="paragraph" w:styleId="TOC2">
    <w:name w:val="TOC 2"/>
    <w:basedOn w:val="Normal"/>
    <w:next w:val="Normal"/>
    <w:autoRedefine/>
    <w:uiPriority w:val="39"/>
    <w:unhideWhenUsed/>
    <w:rsid w:val="008b32d9"/>
    <w:pPr>
      <w:spacing w:before="120" w:after="0"/>
      <w:ind w:left="200"/>
      <w:jc w:val="left"/>
    </w:pPr>
    <w:rPr>
      <w:i/>
      <w:iCs/>
      <w:szCs w:val="20"/>
    </w:rPr>
  </w:style>
  <w:style w:type="paragraph" w:styleId="TOC3">
    <w:name w:val="TOC 3"/>
    <w:basedOn w:val="Normal"/>
    <w:next w:val="Normal"/>
    <w:autoRedefine/>
    <w:uiPriority w:val="39"/>
    <w:unhideWhenUsed/>
    <w:rsid w:val="008b32d9"/>
    <w:pPr>
      <w:spacing w:before="0" w:after="0"/>
      <w:ind w:left="400"/>
      <w:jc w:val="left"/>
    </w:pPr>
    <w:rPr>
      <w:szCs w:val="20"/>
    </w:rPr>
  </w:style>
  <w:style w:type="paragraph" w:styleId="TOC4">
    <w:name w:val="TOC 4"/>
    <w:basedOn w:val="Normal"/>
    <w:next w:val="Normal"/>
    <w:autoRedefine/>
    <w:uiPriority w:val="39"/>
    <w:unhideWhenUsed/>
    <w:rsid w:val="008b32d9"/>
    <w:pPr>
      <w:spacing w:before="0" w:after="0"/>
      <w:ind w:left="600"/>
      <w:jc w:val="left"/>
    </w:pPr>
    <w:rPr>
      <w:szCs w:val="20"/>
    </w:rPr>
  </w:style>
  <w:style w:type="paragraph" w:styleId="TOC5">
    <w:name w:val="TOC 5"/>
    <w:basedOn w:val="Normal"/>
    <w:next w:val="Normal"/>
    <w:autoRedefine/>
    <w:uiPriority w:val="39"/>
    <w:unhideWhenUsed/>
    <w:rsid w:val="008b32d9"/>
    <w:pPr>
      <w:spacing w:before="0" w:after="0"/>
      <w:ind w:left="800"/>
      <w:jc w:val="left"/>
    </w:pPr>
    <w:rPr>
      <w:szCs w:val="20"/>
    </w:rPr>
  </w:style>
  <w:style w:type="paragraph" w:styleId="TOC6">
    <w:name w:val="TOC 6"/>
    <w:basedOn w:val="Normal"/>
    <w:next w:val="Normal"/>
    <w:autoRedefine/>
    <w:uiPriority w:val="39"/>
    <w:unhideWhenUsed/>
    <w:rsid w:val="008b32d9"/>
    <w:pPr>
      <w:spacing w:before="0" w:after="0"/>
      <w:ind w:left="1000"/>
      <w:jc w:val="left"/>
    </w:pPr>
    <w:rPr>
      <w:szCs w:val="20"/>
    </w:rPr>
  </w:style>
  <w:style w:type="paragraph" w:styleId="TOC7">
    <w:name w:val="TOC 7"/>
    <w:basedOn w:val="Normal"/>
    <w:next w:val="Normal"/>
    <w:autoRedefine/>
    <w:uiPriority w:val="39"/>
    <w:unhideWhenUsed/>
    <w:rsid w:val="008b32d9"/>
    <w:pPr>
      <w:spacing w:before="0" w:after="0"/>
      <w:ind w:left="1200"/>
      <w:jc w:val="left"/>
    </w:pPr>
    <w:rPr>
      <w:szCs w:val="20"/>
    </w:rPr>
  </w:style>
  <w:style w:type="paragraph" w:styleId="TOC8">
    <w:name w:val="TOC 8"/>
    <w:basedOn w:val="Normal"/>
    <w:next w:val="Normal"/>
    <w:autoRedefine/>
    <w:uiPriority w:val="39"/>
    <w:unhideWhenUsed/>
    <w:rsid w:val="008b32d9"/>
    <w:pPr>
      <w:spacing w:before="0" w:after="0"/>
      <w:ind w:left="1400"/>
      <w:jc w:val="left"/>
    </w:pPr>
    <w:rPr>
      <w:szCs w:val="20"/>
    </w:rPr>
  </w:style>
  <w:style w:type="paragraph" w:styleId="TOC9">
    <w:name w:val="TOC 9"/>
    <w:basedOn w:val="Normal"/>
    <w:next w:val="Normal"/>
    <w:autoRedefine/>
    <w:uiPriority w:val="39"/>
    <w:unhideWhenUsed/>
    <w:rsid w:val="008b32d9"/>
    <w:pPr>
      <w:spacing w:before="0" w:after="0"/>
      <w:ind w:left="1600"/>
      <w:jc w:val="left"/>
    </w:pPr>
    <w:rPr>
      <w:szCs w:val="20"/>
    </w:rPr>
  </w:style>
  <w:style w:type="paragraph" w:styleId="HeaderandFooter">
    <w:name w:val="Header and Footer"/>
    <w:basedOn w:val="Normal"/>
    <w:qFormat/>
    <w:pPr/>
    <w:rPr/>
  </w:style>
  <w:style w:type="paragraph" w:styleId="Header">
    <w:name w:val="Header"/>
    <w:basedOn w:val="Normal"/>
    <w:link w:val="HeaderChar"/>
    <w:uiPriority w:val="99"/>
    <w:unhideWhenUsed/>
    <w:rsid w:val="00fc5b8c"/>
    <w:pPr>
      <w:tabs>
        <w:tab w:val="clear" w:pos="708"/>
        <w:tab w:val="center" w:pos="4536" w:leader="none"/>
        <w:tab w:val="right" w:pos="9072" w:leader="none"/>
      </w:tabs>
      <w:spacing w:before="0" w:after="0"/>
    </w:pPr>
    <w:rPr/>
  </w:style>
  <w:style w:type="paragraph" w:styleId="Footer">
    <w:name w:val="Footer"/>
    <w:basedOn w:val="Normal"/>
    <w:link w:val="FooterChar"/>
    <w:uiPriority w:val="99"/>
    <w:unhideWhenUsed/>
    <w:rsid w:val="00fc5b8c"/>
    <w:pPr>
      <w:tabs>
        <w:tab w:val="clear" w:pos="708"/>
        <w:tab w:val="center" w:pos="4536" w:leader="none"/>
        <w:tab w:val="right" w:pos="9072" w:leader="none"/>
      </w:tabs>
      <w:spacing w:before="0" w:after="0"/>
    </w:pPr>
    <w:rPr/>
  </w:style>
  <w:style w:type="paragraph" w:styleId="Graf" w:customStyle="1">
    <w:name w:val="Graf"/>
    <w:basedOn w:val="Normal"/>
    <w:next w:val="GrafvAJ"/>
    <w:qFormat/>
    <w:rsid w:val="009e0ade"/>
    <w:pPr>
      <w:numPr>
        <w:ilvl w:val="0"/>
        <w:numId w:val="2"/>
      </w:numPr>
      <w:spacing w:before="320" w:after="0"/>
      <w:ind w:hanging="1418" w:left="1418" w:right="0"/>
      <w:jc w:val="left"/>
    </w:pPr>
    <w:rPr>
      <w:b/>
      <w:bCs/>
      <w:color w:val="680526"/>
    </w:rPr>
  </w:style>
  <w:style w:type="paragraph" w:styleId="Tabulka" w:customStyle="1">
    <w:name w:val="Tabulka"/>
    <w:basedOn w:val="Normal"/>
    <w:next w:val="TabulkavAJ"/>
    <w:qFormat/>
    <w:rsid w:val="00e00841"/>
    <w:pPr>
      <w:numPr>
        <w:ilvl w:val="0"/>
        <w:numId w:val="3"/>
      </w:numPr>
      <w:spacing w:before="300" w:after="0"/>
      <w:ind w:hanging="1560" w:left="1560" w:right="0"/>
      <w:jc w:val="left"/>
    </w:pPr>
    <w:rPr>
      <w:b/>
      <w:bCs/>
      <w:color w:val="0C1838"/>
    </w:rPr>
  </w:style>
  <w:style w:type="paragraph" w:styleId="FootnoteText">
    <w:name w:val="Footnote Text"/>
    <w:basedOn w:val="Normal"/>
    <w:link w:val="FootnoteTextChar"/>
    <w:uiPriority w:val="99"/>
    <w:semiHidden/>
    <w:unhideWhenUsed/>
    <w:rsid w:val="00e3183e"/>
    <w:pPr>
      <w:spacing w:before="0" w:after="0"/>
    </w:pPr>
    <w:rPr>
      <w:szCs w:val="20"/>
    </w:rPr>
  </w:style>
  <w:style w:type="paragraph" w:styleId="pp" w:customStyle="1">
    <w:name w:val="ppč"/>
    <w:basedOn w:val="FootnoteText"/>
    <w:link w:val="ppChar"/>
    <w:qFormat/>
    <w:rsid w:val="00ba027f"/>
    <w:pPr>
      <w:spacing w:before="0" w:after="40"/>
      <w:ind w:left="142" w:right="284"/>
      <w:jc w:val="left"/>
    </w:pPr>
    <w:rPr>
      <w:sz w:val="16"/>
      <w:szCs w:val="16"/>
    </w:rPr>
  </w:style>
  <w:style w:type="paragraph" w:styleId="Zjitnadu" w:customStyle="1">
    <w:name w:val="Zjištění úřadu"/>
    <w:basedOn w:val="Normal"/>
    <w:next w:val="ZjitnaduvAJ"/>
    <w:link w:val="ZjitnaduChar"/>
    <w:qFormat/>
    <w:rsid w:val="001f4734"/>
    <w:pPr>
      <w:numPr>
        <w:ilvl w:val="1"/>
        <w:numId w:val="4"/>
      </w:numPr>
      <w:spacing w:before="200" w:after="100"/>
      <w:ind w:hanging="1276" w:left="284" w:right="142"/>
      <w:jc w:val="left"/>
    </w:pPr>
    <w:rPr>
      <w:color w:val="00469B"/>
      <w:lang w:eastAsia="cs-CZ"/>
    </w:rPr>
  </w:style>
  <w:style w:type="paragraph" w:styleId="Graftabulka" w:customStyle="1">
    <w:name w:val="Graf/tabulka"/>
    <w:basedOn w:val="Normal"/>
    <w:next w:val="Zdroj"/>
    <w:link w:val="GraftabulkaChar"/>
    <w:qFormat/>
    <w:rsid w:val="00ec3d7f"/>
    <w:pPr>
      <w:spacing w:before="0" w:after="0"/>
      <w:ind w:left="0" w:right="-1"/>
      <w:jc w:val="center"/>
    </w:pPr>
    <w:rPr/>
  </w:style>
  <w:style w:type="paragraph" w:styleId="Zdroj" w:customStyle="1">
    <w:name w:val="Zdroj"/>
    <w:basedOn w:val="Graftabulka"/>
    <w:next w:val="Textprost"/>
    <w:link w:val="ZdrojChar"/>
    <w:qFormat/>
    <w:rsid w:val="009e0ade"/>
    <w:pPr>
      <w:spacing w:before="100" w:after="320"/>
      <w:ind w:right="0"/>
      <w:jc w:val="left"/>
    </w:pPr>
    <w:rPr>
      <w:i/>
      <w:iCs/>
      <w:sz w:val="16"/>
    </w:rPr>
  </w:style>
  <w:style w:type="paragraph" w:styleId="Rovnice" w:customStyle="1">
    <w:name w:val="Rovnice"/>
    <w:basedOn w:val="Normal"/>
    <w:next w:val="Textprost"/>
    <w:link w:val="RovniceChar"/>
    <w:qFormat/>
    <w:rsid w:val="00574d64"/>
    <w:pPr>
      <w:numPr>
        <w:ilvl w:val="0"/>
        <w:numId w:val="10"/>
      </w:numPr>
      <w:tabs>
        <w:tab w:val="clear" w:pos="708"/>
        <w:tab w:val="center" w:pos="4536" w:leader="none"/>
      </w:tabs>
      <w:spacing w:before="200" w:after="200"/>
      <w:ind w:hanging="284" w:left="142" w:right="0"/>
      <w:jc w:val="left"/>
    </w:pPr>
    <w:rPr>
      <w:i/>
      <w:iCs/>
    </w:rPr>
  </w:style>
  <w:style w:type="paragraph" w:styleId="AnnotationText">
    <w:name w:val="Annotation Text"/>
    <w:basedOn w:val="Normal"/>
    <w:link w:val="CommentTextChar"/>
    <w:uiPriority w:val="99"/>
    <w:unhideWhenUsed/>
    <w:rsid w:val="00e8074f"/>
    <w:pPr/>
    <w:rPr>
      <w:szCs w:val="20"/>
    </w:rPr>
  </w:style>
  <w:style w:type="paragraph" w:styleId="annotationsubject">
    <w:name w:val="annotation subject"/>
    <w:basedOn w:val="AnnotationText"/>
    <w:next w:val="AnnotationText"/>
    <w:link w:val="CommentSubjectChar"/>
    <w:uiPriority w:val="99"/>
    <w:semiHidden/>
    <w:unhideWhenUsed/>
    <w:qFormat/>
    <w:rsid w:val="00e8074f"/>
    <w:pPr/>
    <w:rPr>
      <w:b/>
      <w:bCs/>
    </w:rPr>
  </w:style>
  <w:style w:type="paragraph" w:styleId="ListParagraph">
    <w:name w:val="List Paragraph"/>
    <w:basedOn w:val="Normal"/>
    <w:link w:val="ListParagraphChar"/>
    <w:uiPriority w:val="34"/>
    <w:qFormat/>
    <w:rsid w:val="00e03e5b"/>
    <w:pPr>
      <w:spacing w:before="120" w:after="120"/>
      <w:ind w:left="720"/>
      <w:contextualSpacing/>
    </w:pPr>
    <w:rPr/>
  </w:style>
  <w:style w:type="paragraph" w:styleId="NoSpacing">
    <w:name w:val="No Spacing"/>
    <w:uiPriority w:val="1"/>
    <w:qFormat/>
    <w:rsid w:val="005316d3"/>
    <w:pPr>
      <w:widowControl/>
      <w:suppressAutoHyphens w:val="true"/>
      <w:bidi w:val="0"/>
      <w:spacing w:lineRule="auto" w:line="240" w:before="0" w:after="0"/>
      <w:ind w:left="284" w:right="283"/>
      <w:jc w:val="both"/>
    </w:pPr>
    <w:rPr>
      <w:rFonts w:ascii="Calibri" w:hAnsi="Calibri" w:eastAsia="Calibri" w:cs="" w:asciiTheme="minorHAnsi" w:cstheme="minorBidi" w:eastAsiaTheme="minorHAnsi" w:hAnsiTheme="minorHAnsi"/>
      <w:color w:val="auto"/>
      <w:kern w:val="0"/>
      <w:sz w:val="20"/>
      <w:szCs w:val="22"/>
      <w:lang w:val="cs-CZ" w:eastAsia="en-US" w:bidi="ar-SA"/>
    </w:rPr>
  </w:style>
  <w:style w:type="paragraph" w:styleId="Literatura" w:customStyle="1">
    <w:name w:val="Literatura"/>
    <w:basedOn w:val="ListParagraph"/>
    <w:link w:val="LiteraturaChar"/>
    <w:qFormat/>
    <w:rsid w:val="00a261cf"/>
    <w:pPr>
      <w:numPr>
        <w:ilvl w:val="0"/>
        <w:numId w:val="5"/>
      </w:numPr>
      <w:spacing w:before="200" w:after="200"/>
      <w:ind w:hanging="992" w:left="141" w:right="284"/>
      <w:contextualSpacing w:val="false"/>
      <w:jc w:val="left"/>
    </w:pPr>
    <w:rPr/>
  </w:style>
  <w:style w:type="paragraph" w:styleId="Textprost" w:customStyle="1">
    <w:name w:val="Text prostý"/>
    <w:basedOn w:val="Normal"/>
    <w:qFormat/>
    <w:rsid w:val="00775c7f"/>
    <w:pPr>
      <w:spacing w:lineRule="auto" w:line="276" w:before="0" w:after="160"/>
      <w:ind w:left="0" w:right="0"/>
      <w:jc w:val="left"/>
    </w:pPr>
    <w:rPr>
      <w:rFonts w:eastAsia="Times New Roman" w:cs="Times New Roman"/>
      <w:szCs w:val="20"/>
      <w:lang w:eastAsia="cs-CZ"/>
    </w:rPr>
  </w:style>
  <w:style w:type="paragraph" w:styleId="TextprostvAJ" w:customStyle="1">
    <w:name w:val="Text prostý v AJ"/>
    <w:basedOn w:val="Textprost"/>
    <w:qFormat/>
    <w:rsid w:val="00584278"/>
    <w:pPr/>
    <w:rPr>
      <w:i/>
      <w:iCs/>
      <w:sz w:val="18"/>
      <w:szCs w:val="18"/>
      <w:lang w:val="en-GB"/>
    </w:rPr>
  </w:style>
  <w:style w:type="paragraph" w:styleId="Textkol" w:customStyle="1">
    <w:name w:val="Text úkol"/>
    <w:basedOn w:val="Normal"/>
    <w:qFormat/>
    <w:rsid w:val="00a845d4"/>
    <w:pPr>
      <w:shd w:val="clear" w:color="auto" w:fill="FFFF00"/>
      <w:ind w:left="0"/>
      <w:jc w:val="center"/>
    </w:pPr>
    <w:rPr>
      <w:b/>
      <w:color w:val="EE0000"/>
    </w:rPr>
  </w:style>
  <w:style w:type="paragraph" w:styleId="GrafvAJ" w:customStyle="1">
    <w:name w:val="Graf v AJ"/>
    <w:basedOn w:val="Graf"/>
    <w:next w:val="Graftabulka"/>
    <w:qFormat/>
    <w:rsid w:val="00ec3d7f"/>
    <w:pPr>
      <w:numPr>
        <w:ilvl w:val="0"/>
        <w:numId w:val="0"/>
      </w:numPr>
      <w:spacing w:before="0" w:after="0"/>
      <w:ind w:hanging="1418" w:left="1418"/>
    </w:pPr>
    <w:rPr>
      <w:i/>
      <w:iCs/>
      <w:sz w:val="18"/>
      <w:szCs w:val="18"/>
    </w:rPr>
  </w:style>
  <w:style w:type="paragraph" w:styleId="TabulkavAJ" w:customStyle="1">
    <w:name w:val="Tabulka v AJ"/>
    <w:basedOn w:val="Tabulka"/>
    <w:next w:val="Graftabulka"/>
    <w:qFormat/>
    <w:rsid w:val="00582f71"/>
    <w:pPr>
      <w:numPr>
        <w:ilvl w:val="0"/>
        <w:numId w:val="0"/>
      </w:numPr>
      <w:spacing w:before="0" w:after="100"/>
      <w:ind w:hanging="1560" w:left="1560"/>
    </w:pPr>
    <w:rPr>
      <w:i/>
      <w:iCs/>
      <w:sz w:val="18"/>
      <w:szCs w:val="18"/>
      <w:lang w:val="en-GB" w:eastAsia="cs-CZ"/>
    </w:rPr>
  </w:style>
  <w:style w:type="paragraph" w:styleId="Textslovan" w:customStyle="1">
    <w:name w:val="Text číslovaný"/>
    <w:basedOn w:val="Textprost"/>
    <w:qFormat/>
    <w:rsid w:val="00d44bc6"/>
    <w:pPr>
      <w:numPr>
        <w:ilvl w:val="0"/>
        <w:numId w:val="8"/>
      </w:numPr>
      <w:spacing w:before="0" w:after="160"/>
      <w:ind w:hanging="357" w:left="456"/>
      <w:contextualSpacing/>
    </w:pPr>
    <w:rPr>
      <w:rFonts w:eastAsia="Calibri"/>
      <w:sz w:val="18"/>
    </w:rPr>
  </w:style>
  <w:style w:type="paragraph" w:styleId="TextslovanvAJ" w:customStyle="1">
    <w:name w:val="Text číslovaný v AJ"/>
    <w:basedOn w:val="ListParagraph"/>
    <w:qFormat/>
    <w:rsid w:val="00887c6e"/>
    <w:pPr>
      <w:numPr>
        <w:ilvl w:val="0"/>
        <w:numId w:val="9"/>
      </w:numPr>
      <w:spacing w:lineRule="auto" w:line="276" w:before="0" w:after="160"/>
      <w:ind w:hanging="357" w:left="465" w:right="284"/>
      <w:contextualSpacing/>
      <w:jc w:val="left"/>
    </w:pPr>
    <w:rPr>
      <w:rFonts w:eastAsia="Times New Roman" w:cs="Times New Roman"/>
      <w:i/>
      <w:iCs/>
      <w:sz w:val="18"/>
      <w:szCs w:val="18"/>
      <w:lang w:val="en-GB" w:eastAsia="cs-CZ"/>
    </w:rPr>
  </w:style>
  <w:style w:type="paragraph" w:styleId="ZjitnaduvAJ" w:customStyle="1">
    <w:name w:val="Zjištění úřadu v AJ"/>
    <w:basedOn w:val="Zjitnadu"/>
    <w:next w:val="Textprost"/>
    <w:qFormat/>
    <w:rsid w:val="00034028"/>
    <w:pPr>
      <w:numPr>
        <w:ilvl w:val="0"/>
        <w:numId w:val="0"/>
      </w:numPr>
      <w:spacing w:before="0" w:after="200"/>
      <w:ind w:hanging="1276" w:left="284"/>
    </w:pPr>
    <w:rPr>
      <w:i/>
      <w:iCs/>
      <w:sz w:val="18"/>
      <w:szCs w:val="18"/>
      <w:lang w:val="en-GB"/>
    </w:rPr>
  </w:style>
  <w:style w:type="paragraph" w:styleId="TableofFigures">
    <w:name w:val="Table of Figures"/>
    <w:basedOn w:val="Normal"/>
    <w:next w:val="Normal"/>
    <w:uiPriority w:val="99"/>
    <w:unhideWhenUsed/>
    <w:rsid w:val="006a034c"/>
    <w:pPr>
      <w:spacing w:before="120" w:after="0"/>
      <w:ind w:left="0"/>
    </w:pPr>
    <w:rPr/>
  </w:style>
  <w:style w:type="paragraph" w:styleId="TextprostkdynenAJ" w:customStyle="1">
    <w:name w:val="Text prostý když není AJ"/>
    <w:basedOn w:val="Normal"/>
    <w:qFormat/>
    <w:rsid w:val="00822535"/>
    <w:pPr>
      <w:ind w:left="142"/>
      <w:jc w:val="left"/>
    </w:pPr>
    <w:rPr/>
  </w:style>
  <w:style w:type="paragraph" w:styleId="TextslovankdynenAJ" w:customStyle="1">
    <w:name w:val="Text číslovaný když není AJ"/>
    <w:basedOn w:val="Normal"/>
    <w:qFormat/>
    <w:rsid w:val="004e6120"/>
    <w:pPr>
      <w:numPr>
        <w:ilvl w:val="0"/>
        <w:numId w:val="6"/>
      </w:numPr>
      <w:spacing w:before="0" w:after="0"/>
      <w:ind w:right="0"/>
      <w:contextualSpacing/>
      <w:jc w:val="left"/>
    </w:pPr>
    <w:rPr>
      <w:rFonts w:eastAsia="Times New Roman" w:cs="Arial"/>
      <w:szCs w:val="20"/>
      <w:lang w:eastAsia="cs-CZ"/>
    </w:rPr>
  </w:style>
  <w:style w:type="paragraph" w:styleId="TextspsmenkykdynenAJ" w:customStyle="1">
    <w:name w:val="Text s písmenky když není AJ"/>
    <w:basedOn w:val="Normal"/>
    <w:qFormat/>
    <w:rsid w:val="000b4fe7"/>
    <w:pPr>
      <w:numPr>
        <w:ilvl w:val="0"/>
        <w:numId w:val="7"/>
      </w:numPr>
      <w:spacing w:before="0" w:after="0"/>
      <w:ind w:right="0"/>
      <w:contextualSpacing/>
      <w:jc w:val="left"/>
    </w:pPr>
    <w:rPr>
      <w:rFonts w:eastAsia="Times New Roman" w:cs="Arial"/>
      <w:szCs w:val="20"/>
      <w:lang w:eastAsia="cs-CZ"/>
    </w:rPr>
  </w:style>
  <w:style w:type="paragraph" w:styleId="Zvradu" w:customStyle="1">
    <w:name w:val="Závěr úřadu"/>
    <w:basedOn w:val="ListParagraph"/>
    <w:next w:val="ZvraduvAJ"/>
    <w:qFormat/>
    <w:rsid w:val="00957d7e"/>
    <w:pPr>
      <w:numPr>
        <w:ilvl w:val="0"/>
        <w:numId w:val="11"/>
      </w:numPr>
      <w:spacing w:before="200" w:after="100"/>
      <w:ind w:hanging="578" w:left="283" w:right="284"/>
      <w:contextualSpacing/>
      <w:jc w:val="left"/>
    </w:pPr>
    <w:rPr>
      <w:color w:val="D70C0F"/>
    </w:rPr>
  </w:style>
  <w:style w:type="paragraph" w:styleId="ZvraduvAJ" w:customStyle="1">
    <w:name w:val="Závěr úřadu v AJ"/>
    <w:basedOn w:val="Zvradu"/>
    <w:next w:val="Textprost"/>
    <w:qFormat/>
    <w:rsid w:val="00067a9b"/>
    <w:pPr>
      <w:numPr>
        <w:ilvl w:val="0"/>
        <w:numId w:val="0"/>
      </w:numPr>
      <w:spacing w:before="100" w:after="200"/>
      <w:ind w:hanging="578" w:left="284"/>
      <w:contextualSpacing/>
    </w:pPr>
    <w:rPr>
      <w:i/>
      <w:iCs/>
      <w:sz w:val="18"/>
      <w:szCs w:val="18"/>
    </w:rPr>
  </w:style>
  <w:style w:type="paragraph" w:styleId="Tabulkatext" w:customStyle="1">
    <w:name w:val="Tabulka text"/>
    <w:basedOn w:val="Textprost"/>
    <w:qFormat/>
    <w:rsid w:val="00252df0"/>
    <w:pPr>
      <w:spacing w:before="0" w:after="0"/>
    </w:pPr>
    <w:rPr>
      <w:color w:val="545860"/>
      <w:sz w:val="18"/>
      <w:szCs w:val="18"/>
    </w:rPr>
  </w:style>
  <w:style w:type="paragraph" w:styleId="Vloendospisu" w:customStyle="1">
    <w:name w:val="Vložení do spisu"/>
    <w:basedOn w:val="ListParagraph"/>
    <w:link w:val="VloendospisuChar"/>
    <w:qFormat/>
    <w:rsid w:val="00ec3cfb"/>
    <w:pPr>
      <w:numPr>
        <w:ilvl w:val="0"/>
        <w:numId w:val="12"/>
      </w:numPr>
      <w:ind w:right="0"/>
    </w:pPr>
    <w:rPr>
      <w:rFonts w:ascii="Calibri" w:hAnsi="Calibri" w:eastAsia="Times New Roman" w:cs="Times New Roman"/>
      <w:sz w:val="24"/>
      <w:szCs w:val="20"/>
      <w:lang w:eastAsia="cs-CZ"/>
    </w:rPr>
  </w:style>
  <w:style w:type="paragraph" w:styleId="Revision">
    <w:name w:val="Revision"/>
    <w:uiPriority w:val="99"/>
    <w:semiHidden/>
    <w:qFormat/>
    <w:rsid w:val="00aa217b"/>
    <w:pPr>
      <w:widowControl/>
      <w:suppressAutoHyphens w:val="true"/>
      <w:bidi w:val="0"/>
      <w:spacing w:lineRule="auto" w:line="240" w:before="0" w:after="0"/>
      <w:jc w:val="left"/>
    </w:pPr>
    <w:rPr>
      <w:rFonts w:ascii="Czechia Sans" w:hAnsi="Czechia Sans" w:eastAsia="Calibri" w:cs="" w:cstheme="minorBidi" w:eastAsiaTheme="minorHAnsi"/>
      <w:color w:val="auto"/>
      <w:kern w:val="0"/>
      <w:sz w:val="20"/>
      <w:szCs w:val="22"/>
      <w:lang w:val="cs-CZ" w:eastAsia="en-US"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99"/>
    <w:rsid w:val="005316d3"/>
    <w:pPr>
      <w:spacing w:after="0" w:line="240" w:lineRule="auto"/>
      <w:jc w:val="both"/>
    </w:pPr>
    <w:rPr>
      <w:lang w:eastAsia="cs-CZ"/>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hyperlink" Target="https://mmr.gov.cz/" TargetMode="External"/><Relationship Id="rId5" Type="http://schemas.openxmlformats.org/officeDocument/2006/relationships/hyperlink" Target="https://mmr.gov.cz/" TargetMode="Externa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1.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hyperlink" Target="https://link.springer.com/article/10.1007/s10997-011-9203-4" TargetMode="External"/><Relationship Id="rId16" Type="http://schemas.openxmlformats.org/officeDocument/2006/relationships/hyperlink" Target="https://www.ceeol.com/search/article-detail?id=1014700" TargetMode="External"/><Relationship Id="rId17" Type="http://schemas.openxmlformats.org/officeDocument/2006/relationships/hyperlink" Target="https://www.emerald.com/bij/article-abstract/15/5/584/43010/Benchmarking-telecommunication-service-in-IndiaAn?redirectedFrom=fulltext" TargetMode="External"/><Relationship Id="rId18" Type="http://schemas.openxmlformats.org/officeDocument/2006/relationships/hyperlink" Target="https://www.sciencedirect.com/science/article/abs/pii/S0308596109001001" TargetMode="External"/><Relationship Id="rId19" Type="http://schemas.openxmlformats.org/officeDocument/2006/relationships/hyperlink" Target="https://www.sciencedirect.com/science/article/abs/pii/S0308596108000748" TargetMode="External"/><Relationship Id="rId20" Type="http://schemas.openxmlformats.org/officeDocument/2006/relationships/hyperlink" Target="https://hrcak.srce.hr/271943" TargetMode="External"/><Relationship Id="rId21" Type="http://schemas.openxmlformats.org/officeDocument/2006/relationships/hyperlink" Target="https://www.sciencedirect.com/science/article/abs/pii/S0308596102000599" TargetMode="External"/><Relationship Id="rId22" Type="http://schemas.openxmlformats.org/officeDocument/2006/relationships/hyperlink" Target="https://www.sciencedirect.com/science/article/abs/pii/S0308596111000371" TargetMode="External"/><Relationship Id="rId23" Type="http://schemas.openxmlformats.org/officeDocument/2006/relationships/hyperlink" Target="https://www.sciencedirect.com/science/article/abs/pii/S0167624599000232" TargetMode="External"/><Relationship Id="rId24" Type="http://schemas.openxmlformats.org/officeDocument/2006/relationships/hyperlink" Target="https://d1wqtxts1xzle7.cloudfront.net/48979170/18462-61368-1-PB-libre.pdf?1474355015=&amp;response-content-disposition=inline%3B+filename%3DA_Model_for_Evaluating_Financial_Perform.pdf&amp;Expires=1773047828&amp;Signature=O3aCMl6fdFTefVWMZED-9zeuyu1R0P2TfrnXBe8EA~zkD6b7Qw4weRgcDygQpi5~CNLEhgUN31D7YBNJYbA1e54uGtVeB7r2fIzekqAmPP1qJTyjZSlxPgBkxWu2CibKqQ4yGiF-ErQ6DmyoaCjI4de1sdAuM2z0tKC59jJ7y1hm8Wwq-KLV~TReirth-kq3aF-CczcW2CUMVQiOtLXqWEIUop44S2SaKh1t9OMWmwakwy5PO~aupjFH7~ommJiYmmVHS7JHTLDtsWktzzf8Ok-9osXfMAq-bYqhebBpTM-HRj6KuZSqhUdbozOBqDKkabD-~3bpnm9KDK3VLw76xQ__&amp;Key-Pair-Id=APKAJLOHF5GGSLRBV4ZA" TargetMode="External"/><Relationship Id="rId25" Type="http://schemas.openxmlformats.org/officeDocument/2006/relationships/hyperlink" Target="https://www.sciencedirect.com/science/article/pii/S2772662223000073" TargetMode="External"/><Relationship Id="rId26" Type="http://schemas.openxmlformats.org/officeDocument/2006/relationships/hyperlink" Target="https://ideas.repec.org/a/isp/journl/v8y2014i1p141-158.html" TargetMode="External"/><Relationship Id="rId27" Type="http://schemas.openxmlformats.org/officeDocument/2006/relationships/header" Target="header2.xml"/><Relationship Id="rId28" Type="http://schemas.openxmlformats.org/officeDocument/2006/relationships/header" Target="header3.xml"/><Relationship Id="rId29" Type="http://schemas.openxmlformats.org/officeDocument/2006/relationships/footer" Target="footer6.xml"/><Relationship Id="rId30" Type="http://schemas.openxmlformats.org/officeDocument/2006/relationships/footer" Target="footer7.xml"/><Relationship Id="rId31" Type="http://schemas.openxmlformats.org/officeDocument/2006/relationships/hyperlink" Target="https://www.sciencedirect.com/science/article/abs/pii/S0308596121000124" TargetMode="External"/><Relationship Id="rId32" Type="http://schemas.openxmlformats.org/officeDocument/2006/relationships/hyperlink" Target="https://www.hbs.edu/ris/Publication%20Files/ascarza_jmr_18_783d54d4-e548-41ed-b1d7-8a180f1ae85a.pdf" TargetMode="External"/><Relationship Id="rId33" Type="http://schemas.openxmlformats.org/officeDocument/2006/relationships/hyperlink" Target="https://doi.org/10.1016/j.infoecopol.2023.101018" TargetMode="External"/><Relationship Id="rId34" Type="http://schemas.openxmlformats.org/officeDocument/2006/relationships/hyperlink" Target="https://doi.org/10.1016/j.telpol.2020.102069" TargetMode="External"/><Relationship Id="rId35" Type="http://schemas.openxmlformats.org/officeDocument/2006/relationships/hyperlink" Target="https://cep.lse.ac.uk/pubs/download/dp1486.pdf" TargetMode="External"/><Relationship Id="rId36" Type="http://schemas.openxmlformats.org/officeDocument/2006/relationships/hyperlink" Target="https://www.econstor.eu/bitstream/10419/169465/1/Grzybowski-et-al.pdf" TargetMode="External"/><Relationship Id="rId37" Type="http://schemas.openxmlformats.org/officeDocument/2006/relationships/hyperlink" Target="https://www.sciencedirect.com/science/article/abs/pii/S0308596104000783" TargetMode="External"/><Relationship Id="rId38" Type="http://schemas.openxmlformats.org/officeDocument/2006/relationships/hyperlink" Target="https://www.sciencedirect.com/science/article/abs/pii/S0165176514000883" TargetMode="External"/><Relationship Id="rId39" Type="http://schemas.openxmlformats.org/officeDocument/2006/relationships/hyperlink" Target="https://doi.org/10.2307/2959866" TargetMode="External"/><Relationship Id="rId40" Type="http://schemas.openxmlformats.org/officeDocument/2006/relationships/image" Target="media/image1.png"/><Relationship Id="rId41" Type="http://schemas.openxmlformats.org/officeDocument/2006/relationships/header" Target="header4.xml"/><Relationship Id="rId42" Type="http://schemas.openxmlformats.org/officeDocument/2006/relationships/header" Target="header5.xml"/><Relationship Id="rId43" Type="http://schemas.openxmlformats.org/officeDocument/2006/relationships/footer" Target="footer8.xml"/><Relationship Id="rId44" Type="http://schemas.openxmlformats.org/officeDocument/2006/relationships/footer" Target="footer9.xml"/><Relationship Id="rId45" Type="http://schemas.openxmlformats.org/officeDocument/2006/relationships/footnotes" Target="footnotes.xml"/><Relationship Id="rId46" Type="http://schemas.openxmlformats.org/officeDocument/2006/relationships/comments" Target="comments.xml"/><Relationship Id="rId47" Type="http://schemas.microsoft.com/office/2011/relationships/commentsExtended" Target="commentsExtended.xml"/><Relationship Id="rId48" Type="http://schemas.openxmlformats.org/officeDocument/2006/relationships/numbering" Target="numbering.xml"/><Relationship Id="rId49" Type="http://schemas.openxmlformats.org/officeDocument/2006/relationships/fontTable" Target="fontTable.xml"/><Relationship Id="rId50" Type="http://schemas.openxmlformats.org/officeDocument/2006/relationships/settings" Target="settings.xml"/><Relationship Id="rId51" Type="http://schemas.openxmlformats.org/officeDocument/2006/relationships/theme" Target="theme/theme1.xml"/><Relationship Id="rId52" Type="http://schemas.openxmlformats.org/officeDocument/2006/relationships/customXml" Target="../customXml/item1.xml"/><Relationship Id="rId53" Type="http://schemas.openxmlformats.org/officeDocument/2006/relationships/customXml" Target="../customXml/item2.xml"/><Relationship Id="rId54" Type="http://schemas.openxmlformats.org/officeDocument/2006/relationships/customXml" Target="../customXml/item3.xml"/><Relationship Id="rId55" Type="http://schemas.openxmlformats.org/officeDocument/2006/relationships/customXml" Target="../customXml/item4.xml"/>
</Relationships>
</file>

<file path=word/_rels/footnotes.xml.rels><?xml version="1.0" encoding="UTF-8"?>
<Relationships xmlns="http://schemas.openxmlformats.org/package/2006/relationships"><Relationship Id="rId1" Type="http://schemas.openxmlformats.org/officeDocument/2006/relationships/hyperlink" Target="https://uohs.gov.cz/cs/informacni-centrum/tiskove-zpravy/hospodarska-soutez/4377-urad-proveri-fungovani-hospodarske-souteze-v-oblasti-poskytovani-mobilnich-sluzeb.html" TargetMode="External"/><Relationship Id="rId2" Type="http://schemas.openxmlformats.org/officeDocument/2006/relationships/hyperlink" Target="https://ctu.gov.cz/sites/default/files/obsah/soubory-ke-stazeni/studie_o_preferencich_a_spokojenosti_spotrebitelu.pdf" TargetMode="External"/><Relationship Id="rId3" Type="http://schemas.openxmlformats.org/officeDocument/2006/relationships/hyperlink" Target="https://doi.org/10.2908/PRC_HICP_MIDX" TargetMode="External"/><Relationship Id="rId4" Type="http://schemas.openxmlformats.org/officeDocument/2006/relationships/hyperlink" Target="https://anacom.pt/render.jsp?contentId=1778161" TargetMode="External"/><Relationship Id="rId5" Type="http://schemas.openxmlformats.org/officeDocument/2006/relationships/hyperlink" Target="https://www.bwb.gv.at/en/news/detail/bwb-and-rtr-present-reports-on-the-telecom-sector-inquiry?sword_list%5B0%5D=mobilfunkmarkt&amp;cHash=9952f40bcc302a2e7ff04f6045fe2269" TargetMode="External"/><Relationship Id="rId6" Type="http://schemas.openxmlformats.org/officeDocument/2006/relationships/hyperlink" Target="https://www.tresor.economie.gouv.fr/Articles/e7473e7a-5abc-4fc8-899c-1621d9b72d1d/files/29a63c9c-4e41-455a-ba41-942d2b096156" TargetMode="External"/><Relationship Id="rId7" Type="http://schemas.openxmlformats.org/officeDocument/2006/relationships/hyperlink" Target="https://globalcompetitionreview.com/article/uks-largest-mobile-networks-seek-dismiss-loyalty-penalty-class-action" TargetMode="External"/><Relationship Id="rId8" Type="http://schemas.openxmlformats.org/officeDocument/2006/relationships/hyperlink" Target="https://www.tarifix.cz/mobilni-tarify/srovnani" TargetMode="External"/><Relationship Id="rId9" Type="http://schemas.openxmlformats.org/officeDocument/2006/relationships/hyperlink" Target="https://mojeretence.ictx.cz/" TargetMode="External"/><Relationship Id="rId10" Type="http://schemas.openxmlformats.org/officeDocument/2006/relationships/hyperlink" Target="https://www.novinky.cz/clanek/internet-a-pc-mobil-podpultove-ceny-mobilnich-sluzeb-a-pevneho-internetu-usetri-tisice-40474764" TargetMode="External"/><Relationship Id="rId11" Type="http://schemas.openxmlformats.org/officeDocument/2006/relationships/hyperlink" Target="https://www.novinky.cz/clanek/ekonomika-pro-cechy-nejvyssi-ceny-srovnani-tarifu-mobilnich-dat-40471546" TargetMode="External"/><Relationship Id="rId12" Type="http://schemas.openxmlformats.org/officeDocument/2006/relationships/hyperlink" Target="https://domaci.hn.cz/c1-67105570-cesi-za-mobilni-data-plati-trikrat-vic-nez-zbytek-evropy-ctu-znovu-vola-po-regulaci" TargetMode="External"/><Relationship Id="rId13" Type="http://schemas.openxmlformats.org/officeDocument/2006/relationships/hyperlink" Target="https://www.evropavdatech.cz/clanek/12-za-kolik-se-vola-v-evrope/" TargetMode="External"/><Relationship Id="rId14" Type="http://schemas.openxmlformats.org/officeDocument/2006/relationships/hyperlink" Target="https://uohs.gov.cz/cs/informacni-centrum/tiskove-zpravy/hospodarska-soutez/4377-urad-proveri-fungovani-hospodarske-souteze-v-oblasti-poskytovani-mobilnich-sluzeb.html" TargetMode="External"/><Relationship Id="rId15" Type="http://schemas.openxmlformats.org/officeDocument/2006/relationships/hyperlink" Target="https://eur-lex.europa.eu/legal-content/CS/TXT/?uri=CELEX:61999TJ0342" TargetMode="External"/><Relationship Id="rId16" Type="http://schemas.openxmlformats.org/officeDocument/2006/relationships/hyperlink" Target="https://eur-lex.europa.eu/legal-content/CS/TXT/?uri=CELEX:62004TJ0464&amp;qid=1777893385435" TargetMode="External"/><Relationship Id="rId17" Type="http://schemas.openxmlformats.org/officeDocument/2006/relationships/hyperlink" Target="https://eur-lex.europa.eu/legal-content/EN/ALL/?uri=CELEX:61976CJ0027" TargetMode="External"/><Relationship Id="rId18" Type="http://schemas.openxmlformats.org/officeDocument/2006/relationships/hyperlink" Target="https://eur-lex.europa.eu/legal-content/CS/SUM/?uri=CELEX:62019CJ0372_RES&amp;qid=1777894430604" TargetMode="External"/><Relationship Id="rId19" Type="http://schemas.openxmlformats.org/officeDocument/2006/relationships/hyperlink" Target="https://www.acm.nl/en/publications/public-consultation-draft-report-market-investigation-veterinary-services-pets" TargetMode="External"/><Relationship Id="rId20" Type="http://schemas.openxmlformats.org/officeDocument/2006/relationships/hyperlink" Target="https://competition-policy.ec.europa.eu/system/files/2021-07/hotel_monitoring_report_en.pdf" TargetMode="External"/><Relationship Id="rId21" Type="http://schemas.openxmlformats.org/officeDocument/2006/relationships/hyperlink" Target="https://spolecnost.o2.cz/tiskove-centrum/muzi-zachranuji-vanoce-na-posledni-chvili-na-stedry-den-tvorili-56-nakupujicich" TargetMode="External"/><Relationship Id="rId22" Type="http://schemas.openxmlformats.org/officeDocument/2006/relationships/hyperlink" Target="https://uohs.gov.cz/cs/informacni-centrum/tiskove-zpravy/hospodarska-soutez/4377-urad-proveri-fungovani-hospodarske-souteze-v-oblasti-poskytovani-mobilnich-sluzeb.html" TargetMode="External"/>
</Relationships>
</file>

<file path=word/theme/theme1.xml><?xml version="1.0" encoding="utf-8"?>
<a:theme xmlns:a="http://schemas.openxmlformats.org/drawingml/2006/main" xmlns:r="http://schemas.openxmlformats.org/officeDocument/2006/relationships" name="Motiv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491e0d5-3577-412e-b434-277ed1c35a3f" xsi:nil="true"/>
    <lcf76f155ced4ddcb4097134ff3c332f xmlns="f2f30323-55aa-4977-a5d5-9cd43009da6d">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C72C7B4D7EA6D48966FDFDB9DBD7AD6" ma:contentTypeVersion="10" ma:contentTypeDescription="Create a new document." ma:contentTypeScope="" ma:versionID="59cdf91e59f18a0095f7c81561af1986">
  <xsd:schema xmlns:xsd="http://www.w3.org/2001/XMLSchema" xmlns:xs="http://www.w3.org/2001/XMLSchema" xmlns:p="http://schemas.microsoft.com/office/2006/metadata/properties" xmlns:ns2="f2f30323-55aa-4977-a5d5-9cd43009da6d" xmlns:ns3="a491e0d5-3577-412e-b434-277ed1c35a3f" targetNamespace="http://schemas.microsoft.com/office/2006/metadata/properties" ma:root="true" ma:fieldsID="ef710c40ffcfe1062a93338d5d36bd90" ns2:_="" ns3:_="">
    <xsd:import namespace="f2f30323-55aa-4977-a5d5-9cd43009da6d"/>
    <xsd:import namespace="a491e0d5-3577-412e-b434-277ed1c35a3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f30323-55aa-4977-a5d5-9cd43009da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1674269-a1b5-48a4-aaae-6ff910c1aac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491e0d5-3577-412e-b434-277ed1c35a3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5a0bc9f-466e-45d8-9854-b51158f3c25a}" ma:internalName="TaxCatchAll" ma:showField="CatchAllData" ma:web="a491e0d5-3577-412e-b434-277ed1c35a3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C2DFE8A-4B39-4664-8D98-987866E9DF27}">
  <ds:schemaRefs>
    <ds:schemaRef ds:uri="http://schemas.microsoft.com/office/2006/metadata/properties"/>
    <ds:schemaRef ds:uri="http://schemas.microsoft.com/office/infopath/2007/PartnerControls"/>
    <ds:schemaRef ds:uri="a491e0d5-3577-412e-b434-277ed1c35a3f"/>
    <ds:schemaRef ds:uri="f2f30323-55aa-4977-a5d5-9cd43009da6d"/>
  </ds:schemaRefs>
</ds:datastoreItem>
</file>

<file path=customXml/itemProps2.xml><?xml version="1.0" encoding="utf-8"?>
<ds:datastoreItem xmlns:ds="http://schemas.openxmlformats.org/officeDocument/2006/customXml" ds:itemID="{6628B8F0-FDFC-4CC3-A83C-A2691CD69D39}">
  <ds:schemaRefs>
    <ds:schemaRef ds:uri="http://schemas.openxmlformats.org/officeDocument/2006/bibliography"/>
  </ds:schemaRefs>
</ds:datastoreItem>
</file>

<file path=customXml/itemProps3.xml><?xml version="1.0" encoding="utf-8"?>
<ds:datastoreItem xmlns:ds="http://schemas.openxmlformats.org/officeDocument/2006/customXml" ds:itemID="{417EF9D3-E961-4555-B2A2-D12EA6F8A179}">
  <ds:schemaRefs>
    <ds:schemaRef ds:uri="http://schemas.microsoft.com/sharepoint/v3/contenttype/forms"/>
  </ds:schemaRefs>
</ds:datastoreItem>
</file>

<file path=customXml/itemProps4.xml><?xml version="1.0" encoding="utf-8"?>
<ds:datastoreItem xmlns:ds="http://schemas.openxmlformats.org/officeDocument/2006/customXml" ds:itemID="{E4DCA12B-1E56-46DD-BABB-DEB9949AF0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f30323-55aa-4977-a5d5-9cd43009da6d"/>
    <ds:schemaRef ds:uri="a491e0d5-3577-412e-b434-277ed1c35a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4609</TotalTime>
  <Application>LibreOffice/24.2.7.2$Linux_X86_64 LibreOffice_project/420$Build-2</Application>
  <AppVersion>15.0000</AppVersion>
  <DocSecurity>4</DocSecurity>
  <Pages>118</Pages>
  <Words>36536</Words>
  <Characters>225021</Characters>
  <CharactersWithSpaces>259381</CharactersWithSpaces>
  <Paragraphs>2055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2025-06-30T22:48:00Z</dcterms:created>
  <dc:creator>Machay Martin</dc:creator>
  <dc:description/>
  <dc:language>en-US</dc:language>
  <cp:lastModifiedBy/>
  <cp:lastPrinted>2026-03-23T00:48:00Z</cp:lastPrinted>
  <dcterms:modified xsi:type="dcterms:W3CDTF">2026-05-12T08:03:55Z</dcterms:modified>
  <cp:revision>2155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0x010100CC72C7B4D7EA6D48966FDFDB9DBD7AD6</vt:lpwstr>
  </property>
  <property fmtid="{D5CDD505-2E9C-101B-9397-08002B2CF9AE}" pid="3" name="MediaServiceImageTags">
    <vt:lpwstr/>
  </property>
  <property fmtid="{D5CDD505-2E9C-101B-9397-08002B2CF9AE}" pid="4" name="docLang">
    <vt:lpwstr>cs</vt:lpwstr>
  </property>
</Properties>
</file>