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media/image1.png" ContentType="image/png"/>
  <Override PartName="/word/media/image2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spacing w:before="120" w:after="0"/>
        <w:ind w:hanging="0" w:left="0"/>
        <w:outlineLvl w:val="0"/>
        <w:rPr>
          <w:rFonts w:ascii="3 of 9 Barcode" w:hAnsi="3 of 9 Barcode"/>
          <w:sz w:val="52"/>
          <w:szCs w:val="52"/>
        </w:rPr>
      </w:pPr>
      <w:r>
        <w:rPr>
          <w:rFonts w:ascii="3 of 9 Barcode" w:hAnsi="3 of 9 Barcode"/>
          <w:sz w:val="52"/>
          <w:szCs w:val="52"/>
        </w:rPr>
        <w:t>*</w:t>
      </w:r>
      <w:r>
        <w:rPr>
          <w:rFonts w:ascii="3 of 9 Barcode" w:hAnsi="3 of 9 Barcode"/>
          <w:sz w:val="52"/>
          <w:szCs w:val="52"/>
        </w:rPr>
        <w:fldChar w:fldCharType="begin"/>
      </w:r>
      <w:r>
        <w:rPr>
          <w:sz w:val="52"/>
          <w:szCs w:val="52"/>
          <w:rFonts w:ascii="3 of 9 Barcode" w:hAnsi="3 of 9 Barcode"/>
        </w:rPr>
        <w:instrText xml:space="preserve"> DOCPROPERTY "UohsPid"</w:instrText>
      </w:r>
      <w:r>
        <w:rPr>
          <w:sz w:val="52"/>
          <w:szCs w:val="52"/>
          <w:rFonts w:ascii="3 of 9 Barcode" w:hAnsi="3 of 9 Barcode"/>
        </w:rPr>
        <w:fldChar w:fldCharType="separate"/>
      </w:r>
      <w:r>
        <w:rPr>
          <w:sz w:val="52"/>
          <w:szCs w:val="52"/>
          <w:rFonts w:ascii="3 of 9 Barcode" w:hAnsi="3 of 9 Barcode"/>
        </w:rPr>
        <w:t>/PID/</w:t>
      </w:r>
      <w:r>
        <w:rPr>
          <w:sz w:val="52"/>
          <w:szCs w:val="52"/>
          <w:rFonts w:ascii="3 of 9 Barcode" w:hAnsi="3 of 9 Barcode"/>
        </w:rPr>
        <w:fldChar w:fldCharType="end"/>
      </w:r>
      <w:r>
        <w:rPr>
          <w:rFonts w:ascii="3 of 9 Barcode" w:hAnsi="3 of 9 Barcode"/>
          <w:sz w:val="52"/>
          <w:szCs w:val="52"/>
        </w:rPr>
        <w:t>*</w:t>
      </w:r>
    </w:p>
    <w:p>
      <w:pPr>
        <w:pStyle w:val="Normal"/>
        <w:numPr>
          <w:ilvl w:val="0"/>
          <w:numId w:val="0"/>
        </w:numPr>
        <w:ind w:hanging="0" w:left="0"/>
        <w:outlineLvl w:val="0"/>
        <w:rPr/>
      </w:pPr>
      <w:r>
        <w:rPr/>
        <w:fldChar w:fldCharType="begin"/>
      </w:r>
      <w:r>
        <w:rPr/>
        <w:instrText xml:space="preserve"> DOCPROPERTY "UohsPid"</w:instrText>
      </w:r>
      <w:r>
        <w:rPr/>
        <w:fldChar w:fldCharType="separate"/>
      </w:r>
      <w:r>
        <w:rPr/>
        <w:t>/PID/</w:t>
      </w:r>
      <w:r>
        <w:rPr/>
        <w:fldChar w:fldCharType="end"/>
      </w:r>
    </w:p>
    <w:p>
      <w:pPr>
        <w:pStyle w:val="Nadpisdokumentu"/>
        <w:numPr>
          <w:ilvl w:val="0"/>
          <w:numId w:val="0"/>
        </w:numPr>
        <w:ind w:hanging="0" w:left="0"/>
        <w:outlineLvl w:val="0"/>
        <w:rPr>
          <w:u w:val="double"/>
        </w:rPr>
      </w:pPr>
      <w:r>
        <w:rPr/>
        <w:t xml:space="preserve">Manažerský report </w:t>
      </w:r>
      <w:r>
        <w:rPr/>
        <w:t>2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297"/>
        <w:gridCol w:w="2290"/>
        <w:gridCol w:w="2051"/>
      </w:tblGrid>
      <w:tr>
        <w:trPr>
          <w:trHeight w:val="87" w:hRule="atLeast"/>
        </w:trPr>
        <w:tc>
          <w:tcPr>
            <w:tcW w:w="5297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>
                <w:rStyle w:val="Styl10b"/>
              </w:rPr>
            </w:pPr>
            <w:r>
              <w:rPr>
                <w:rStyle w:val="Styl10b"/>
              </w:rPr>
              <w:t>Spisová značka: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"UohsSPZN"</w:instrText>
            </w:r>
            <w:r>
              <w:rPr/>
              <w:fldChar w:fldCharType="separate"/>
            </w:r>
            <w:r>
              <w:rPr/>
              <w:t>/Spisová značka/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Vyřizuje:</w:t>
            </w:r>
          </w:p>
        </w:tc>
        <w:tc>
          <w:tcPr>
            <w:tcW w:w="2051" w:type="dxa"/>
            <w:tcBorders/>
          </w:tcPr>
          <w:p>
            <w:pPr>
              <w:pStyle w:val="Styl10bDoprava"/>
              <w:rPr/>
            </w:pPr>
            <w:r>
              <w:rPr/>
            </w:r>
          </w:p>
        </w:tc>
      </w:tr>
      <w:tr>
        <w:trPr/>
        <w:tc>
          <w:tcPr>
            <w:tcW w:w="5297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</w:tabs>
              <w:rPr/>
            </w:pPr>
            <w:r>
              <w:rPr>
                <w:rStyle w:val="Styl10b"/>
              </w:rPr>
              <w:t>Číslo jednací:</w:t>
            </w:r>
            <w:r>
              <w:rPr/>
              <w:t xml:space="preserve"> </w:t>
              <w:tab/>
            </w:r>
            <w:r>
              <w:rPr/>
              <w:fldChar w:fldCharType="begin"/>
            </w:r>
            <w:r>
              <w:rPr/>
              <w:instrText xml:space="preserve"> DOCPROPERTY "UohsCJ"</w:instrText>
            </w:r>
            <w:r>
              <w:rPr/>
              <w:fldChar w:fldCharType="separate"/>
            </w:r>
            <w:r>
              <w:rPr/>
              <w:t>/Číslo jednací/</w:t>
            </w:r>
            <w:r>
              <w:rPr/>
              <w:fldChar w:fldCharType="end"/>
            </w:r>
          </w:p>
        </w:tc>
        <w:tc>
          <w:tcPr>
            <w:tcW w:w="2290" w:type="dxa"/>
            <w:tcBorders/>
          </w:tcPr>
          <w:p>
            <w:pPr>
              <w:pStyle w:val="Normal"/>
              <w:rPr/>
            </w:pPr>
            <w:r>
              <w:rPr/>
              <w:fldChar w:fldCharType="begin"/>
            </w:r>
            <w:r>
              <w:rPr/>
              <w:instrText xml:space="preserve"> DOCPROPERTY "UohsLastName"</w:instrText>
            </w:r>
            <w:r>
              <w:rPr/>
              <w:fldChar w:fldCharType="separate"/>
            </w:r>
            <w:r>
              <w:rPr/>
              <w:t>/Příjmení/</w:t>
            </w:r>
            <w:r>
              <w:rPr/>
              <w:fldChar w:fldCharType="end"/>
            </w:r>
          </w:p>
        </w:tc>
        <w:tc>
          <w:tcPr>
            <w:tcW w:w="2051" w:type="dxa"/>
            <w:tcBorders/>
          </w:tcPr>
          <w:p>
            <w:pPr>
              <w:pStyle w:val="StylDoprava"/>
              <w:keepNext w:val="true"/>
              <w:rPr/>
            </w:pPr>
            <w:bookmarkStart w:id="0" w:name="Text6"/>
            <w:r>
              <w:rPr/>
              <w:t xml:space="preserve">Brno </w:t>
            </w:r>
            <w:bookmarkEnd w:id="0"/>
            <w:r>
              <w:rPr/>
              <w:fldChar w:fldCharType="begin"/>
            </w:r>
            <w:r>
              <w:rPr/>
              <w:instrText xml:space="preserve"> DOCPROPERTY "UohsDate"</w:instrText>
            </w:r>
            <w:r>
              <w:rPr/>
              <w:fldChar w:fldCharType="separate"/>
            </w:r>
            <w:r>
              <w:rPr/>
              <w:t>/Datum/</w:t>
            </w:r>
            <w:r>
              <w:rPr/>
              <w:fldChar w:fldCharType="end"/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851" w:top="2410" w:footer="851" w:bottom="1418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Odstavec"/>
        <w:rPr>
          <w:b/>
          <w:bCs/>
        </w:rPr>
      </w:pPr>
      <w:r>
        <w:rPr>
          <w:b/>
          <w:bCs/>
        </w:rPr>
        <w:t>o provedení analýzy chování a vývoje cen a o vložení dokumentů do spisu</w:t>
      </w:r>
    </w:p>
    <w:p>
      <w:pPr>
        <w:pStyle w:val="Odstavec"/>
        <w:rPr/>
      </w:pPr>
      <w:r>
        <w:rPr/>
        <w:t>Úřad pro ochranu hospodářské soutěže (dále jen „</w:t>
      </w:r>
      <w:r>
        <w:rPr>
          <w:b/>
          <w:bCs/>
        </w:rPr>
        <w:t>Úřad</w:t>
      </w:r>
      <w:r>
        <w:rPr/>
        <w:t xml:space="preserve">“) v souvislosti se šetřením vedeným pod sp. zn. </w:t>
      </w:r>
      <w:r>
        <w:rPr/>
        <w:fldChar w:fldCharType="begin"/>
      </w:r>
      <w:r>
        <w:rPr/>
        <w:instrText xml:space="preserve"> DOCPROPERTY "UohsSPZN"</w:instrText>
      </w:r>
      <w:r>
        <w:rPr/>
        <w:fldChar w:fldCharType="separate"/>
      </w:r>
      <w:r>
        <w:rPr/>
        <w:t>/Spisová značka/</w:t>
      </w:r>
      <w:r>
        <w:rPr/>
        <w:fldChar w:fldCharType="end"/>
      </w:r>
      <w:r>
        <w:rPr/>
        <w:t xml:space="preserve"> (dále jen „</w:t>
      </w:r>
      <w:r>
        <w:rPr>
          <w:b/>
          <w:bCs/>
        </w:rPr>
        <w:t>spis</w:t>
      </w:r>
      <w:r>
        <w:rPr/>
        <w:t xml:space="preserve">“) provedl dne </w:t>
      </w:r>
      <w:r>
        <w:rPr>
          <w:b/>
          <w:bCs/>
          <w:shd w:fill="auto" w:val="clear"/>
        </w:rPr>
        <w:t>[[processedAt{„format“:“d. LLL yyyy“}]]</w:t>
      </w:r>
      <w:r>
        <w:rPr>
          <w:shd w:fill="auto" w:val="clear"/>
        </w:rPr>
        <w:t xml:space="preserve"> analýzu chování a vývoje cen značek vybrané skupiny produktů (dále jen „</w:t>
      </w:r>
      <w:r>
        <w:rPr>
          <w:b/>
          <w:bCs/>
          <w:shd w:fill="auto" w:val="clear"/>
        </w:rPr>
        <w:t>analýza</w:t>
      </w:r>
      <w:r>
        <w:rPr>
          <w:shd w:fill="auto" w:val="clear"/>
        </w:rPr>
        <w:t>“) za účelem detekce indicií možné přítomnosti praktiky spočívající v určování cen pro další prodej. Analýza byla provedena na datech z cenové databáze Úřadu.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Úřad tímto vkládá do spisu:</w:t>
      </w:r>
    </w:p>
    <w:p>
      <w:pPr>
        <w:pStyle w:val="Odstavec"/>
        <w:numPr>
          <w:ilvl w:val="0"/>
          <w:numId w:val="3"/>
        </w:numPr>
        <w:rPr>
          <w:highlight w:val="none"/>
          <w:shd w:fill="auto" w:val="clear"/>
        </w:rPr>
      </w:pPr>
      <w:r>
        <w:rPr>
          <w:shd w:fill="auto" w:val="clear"/>
        </w:rPr>
        <w:t>soubor „</w:t>
      </w:r>
      <w:r>
        <w:rPr>
          <w:i/>
          <w:iCs/>
          <w:shd w:fill="auto" w:val="clear"/>
        </w:rPr>
        <w:t>data_[[processedAt]].xlsx</w:t>
      </w:r>
      <w:r>
        <w:rPr>
          <w:shd w:fill="auto" w:val="clear"/>
        </w:rPr>
        <w:t>“ aplikace Excel, který obsahuje podkladová data využitá pro dotčenou analýzu.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 xml:space="preserve">Analýza byla provedena na cenách vybraných produktů a značek za období od </w:t>
      </w:r>
      <w:r>
        <w:rPr>
          <w:b/>
          <w:bCs/>
          <w:shd w:fill="auto" w:val="clear"/>
        </w:rPr>
        <w:t>[[dateFromDMY]]</w:t>
      </w:r>
      <w:r>
        <w:rPr>
          <w:shd w:fill="auto" w:val="clear"/>
        </w:rPr>
        <w:t xml:space="preserve"> do </w:t>
      </w:r>
      <w:r>
        <w:rPr>
          <w:b/>
          <w:bCs/>
          <w:shd w:fill="auto" w:val="clear"/>
        </w:rPr>
        <w:t>[[dateToDMY]]</w:t>
      </w:r>
      <w:r>
        <w:rPr>
          <w:shd w:fill="auto" w:val="clear"/>
        </w:rPr>
        <w:t xml:space="preserve">, přičemž této analýze bylo podrobeno </w:t>
      </w:r>
      <w:r>
        <w:rPr>
          <w:b/>
          <w:bCs/>
          <w:shd w:fill="auto" w:val="clear"/>
        </w:rPr>
        <w:t>[[#stat]][[priceCount]][[/stat]]</w:t>
      </w:r>
      <w:r>
        <w:rPr>
          <w:shd w:fill="auto" w:val="clear"/>
        </w:rPr>
        <w:t xml:space="preserve"> Úřadem pozorovaných a veřejně dostupných cen </w:t>
      </w:r>
      <w:r>
        <w:rPr>
          <w:b/>
          <w:bCs/>
          <w:shd w:fill="auto" w:val="clear"/>
        </w:rPr>
        <w:t>[[#stat]][[productCount]][[/stat]]</w:t>
      </w:r>
      <w:r>
        <w:rPr>
          <w:shd w:fill="auto" w:val="clear"/>
        </w:rPr>
        <w:t xml:space="preserve"> produktů celkem </w:t>
      </w:r>
      <w:r>
        <w:rPr>
          <w:b/>
          <w:bCs/>
          <w:shd w:fill="auto" w:val="clear"/>
        </w:rPr>
        <w:t>[[#stat]][[brandCount]][[/stat]]</w:t>
      </w:r>
      <w:r>
        <w:rPr>
          <w:shd w:fill="auto" w:val="clear"/>
        </w:rPr>
        <w:t xml:space="preserve"> značek. Provedená analýza je přílohou č. 2 tohoto přípisu.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Metodika a výsledky jsou popsány v analýze. Analýza byla provedena automatizovaně.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Úřad tímto vkládá do spisu:</w:t>
      </w:r>
    </w:p>
    <w:p>
      <w:pPr>
        <w:pStyle w:val="Odstavec"/>
        <w:numPr>
          <w:ilvl w:val="0"/>
          <w:numId w:val="5"/>
        </w:numPr>
        <w:rPr>
          <w:highlight w:val="none"/>
          <w:shd w:fill="auto" w:val="clear"/>
        </w:rPr>
      </w:pPr>
      <w:r>
        <w:rPr>
          <w:shd w:fill="auto" w:val="clear"/>
        </w:rPr>
        <w:t>soubor „</w:t>
      </w:r>
      <w:r>
        <w:rPr>
          <w:i/>
          <w:iCs/>
          <w:shd w:fill="auto" w:val="clear"/>
        </w:rPr>
        <w:t>script_[[processedAt]].txt</w:t>
      </w:r>
      <w:r>
        <w:rPr>
          <w:shd w:fill="auto" w:val="clear"/>
        </w:rPr>
        <w:t>“, který obsahuje skript, kterým byla automatizovaná analýza provedena.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 pozdravem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1" w:name="Text12"/>
      <w:bookmarkStart w:id="2" w:name="Text10"/>
      <w:r>
        <w:rPr/>
        <w:t xml:space="preserve">Jméno Příjmení </w:t>
      </w:r>
      <w:bookmarkEnd w:id="1"/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Style w:val="Tun"/>
          <w:bCs/>
        </w:rPr>
      </w:pPr>
      <w:r>
        <w:rPr>
          <w:rStyle w:val="Tun"/>
          <w:bCs/>
        </w:rPr>
        <w:t>Př</w:t>
      </w:r>
      <w:r>
        <w:rPr>
          <w:rStyle w:val="Tun"/>
          <w:bCs/>
          <w:shd w:fill="auto" w:val="clear"/>
        </w:rPr>
        <w:t>ílohy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shd w:fill="auto" w:val="clear"/>
        </w:rPr>
        <w:t>data_[[processedAt]].xlsx.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shd w:fill="auto" w:val="clear"/>
        </w:rPr>
        <w:t xml:space="preserve">Analýza chování a vývoje cen </w:t>
      </w:r>
      <w:bookmarkStart w:id="3" w:name="_Hlk210306523"/>
      <w:r>
        <w:rPr>
          <w:shd w:fill="auto" w:val="clear"/>
        </w:rPr>
        <w:t xml:space="preserve">značek vybrané skupiny produktů </w:t>
      </w:r>
      <w:bookmarkEnd w:id="3"/>
      <w:r>
        <w:rPr>
          <w:shd w:fill="auto" w:val="clear"/>
        </w:rPr>
        <w:t>za období od [[dateFromDMY]] do [[dateToDMY]].</w:t>
      </w:r>
    </w:p>
    <w:p>
      <w:pPr>
        <w:pStyle w:val="ListParagraph"/>
        <w:numPr>
          <w:ilvl w:val="0"/>
          <w:numId w:val="4"/>
        </w:numPr>
        <w:rPr>
          <w:highlight w:val="none"/>
          <w:shd w:fill="auto" w:val="clear"/>
        </w:rPr>
      </w:pPr>
      <w:r>
        <w:rPr>
          <w:shd w:fill="auto" w:val="clear"/>
        </w:rPr>
        <w:t>script_[[processedAt]].txt.</w:t>
      </w:r>
    </w:p>
    <w:p>
      <w:pPr>
        <w:sectPr>
          <w:type w:val="continuous"/>
          <w:pgSz w:w="11906" w:h="16838"/>
          <w:pgMar w:left="1134" w:right="1134" w:gutter="0" w:header="851" w:top="2410" w:footer="851" w:bottom="1418"/>
          <w:formProt w:val="false"/>
          <w:titlePg/>
          <w:textDirection w:val="lrTb"/>
          <w:docGrid w:type="default" w:linePitch="100" w:charSpace="0"/>
        </w:sectPr>
      </w:pPr>
      <w:r>
        <w:br w:type="page"/>
      </w:r>
    </w:p>
    <w:p>
      <w:pPr>
        <w:pStyle w:val="Normal"/>
        <w:spacing w:before="0"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Analýza chování a vývoje cen 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značek vybrané skupiny produktů za období od [[dateFromDMY]] do [[dateToDMY]] </w:t>
      </w:r>
    </w:p>
    <w:p>
      <w:pPr>
        <w:pStyle w:val="Normal"/>
        <w:rPr/>
      </w:pPr>
      <w:r>
        <w:rPr/>
      </w:r>
    </w:p>
    <w:p>
      <w:pPr>
        <w:pStyle w:val="TOCHeading"/>
        <w:jc w:val="left"/>
        <w:rPr/>
      </w:pPr>
      <w:r>
        <w:rPr/>
        <w:commentReference w:id="0"/>
      </w:r>
      <w:r>
        <w:rPr>
          <w:rFonts w:cs="Calibri" w:ascii="Calibri" w:hAnsi="Calibri" w:asciiTheme="minorHAnsi" w:cstheme="minorHAnsi" w:hAnsiTheme="minorHAnsi"/>
          <w:b/>
          <w:bCs/>
          <w:szCs w:val="24"/>
        </w:rPr>
        <w:t>Základní popisná statistika:</w:t>
      </w:r>
    </w:p>
    <w:p>
      <w:pPr>
        <w:pStyle w:val="Normal"/>
        <w:spacing w:before="120" w:after="120"/>
        <w:jc w:val="left"/>
        <w:rPr>
          <w:rFonts w:ascii="Calibri" w:hAnsi="Calibri" w:cs="Calibri" w:asciiTheme="minorHAnsi" w:cstheme="minorHAnsi" w:hAnsiTheme="minorHAnsi"/>
          <w:b/>
          <w:bCs/>
          <w:szCs w:val="24"/>
        </w:rPr>
      </w:pPr>
      <w:r>
        <w:rPr>
          <w:rFonts w:cs="Calibri" w:cstheme="minorHAnsi"/>
          <w:b/>
          <w:bCs/>
          <w:szCs w:val="24"/>
        </w:rPr>
      </w:r>
    </w:p>
    <w:p>
      <w:pPr>
        <w:pStyle w:val="Normal"/>
        <w:spacing w:before="120" w:after="120"/>
        <w:jc w:val="left"/>
        <w:rPr>
          <w:rFonts w:ascii="Calibri" w:hAnsi="Calibri" w:cs="Calibri" w:asciiTheme="minorHAnsi" w:cstheme="minorHAnsi" w:hAnsiTheme="minorHAnsi"/>
          <w:b/>
          <w:bCs/>
          <w:szCs w:val="24"/>
        </w:rPr>
      </w:pPr>
      <w:r>
        <w:rPr>
          <w:rFonts w:cs="Calibri" w:cstheme="minorHAnsi"/>
          <w:b/>
          <w:bCs/>
          <w:szCs w:val="24"/>
        </w:rPr>
        <w:t>Charakteristika značek v kategorii:</w:t>
      </w:r>
    </w:p>
    <w:tbl>
      <w:tblPr>
        <w:tblStyle w:val="Mkatabulky"/>
        <w:tblW w:w="97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82"/>
        <w:gridCol w:w="2973"/>
        <w:gridCol w:w="2923"/>
      </w:tblGrid>
      <w:tr>
        <w:trPr/>
        <w:tc>
          <w:tcPr>
            <w:tcW w:w="3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Times New Roman" w:cs="Times New Roman"/>
                <w:b/>
                <w:bCs/>
                <w:kern w:val="0"/>
                <w:szCs w:val="20"/>
                <w:lang w:val="cs-CZ" w:eastAsia="cs-CZ" w:bidi="ar-SA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  <w:t>Značka</w:t>
            </w:r>
          </w:p>
        </w:tc>
        <w:tc>
          <w:tcPr>
            <w:tcW w:w="2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Times New Roman" w:cs="Times New Roman"/>
                <w:b/>
                <w:bCs/>
                <w:kern w:val="0"/>
                <w:szCs w:val="20"/>
                <w:lang w:val="cs-CZ" w:eastAsia="cs-CZ" w:bidi="ar-SA"/>
              </w:rPr>
            </w:pPr>
            <w:commentRangeStart w:id="1"/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  <w:t>Počet produktů</w:t>
            </w:r>
            <w:commentRangeEnd w:id="1"/>
            <w:r>
              <w:commentReference w:id="1"/>
            </w:r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</w:r>
          </w:p>
        </w:tc>
        <w:tc>
          <w:tcPr>
            <w:tcW w:w="2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Calibri" w:hAnsi="Calibri" w:eastAsia="Times New Roman" w:cs="Calibri" w:asciiTheme="minorHAnsi" w:cstheme="minorHAnsi" w:hAnsiTheme="minorHAnsi"/>
                <w:b/>
                <w:bCs/>
                <w:kern w:val="0"/>
                <w:szCs w:val="24"/>
                <w:lang w:val="cs-CZ" w:eastAsia="cs-CZ" w:bidi="ar-SA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  <w:t>Počet cen</w:t>
            </w:r>
          </w:p>
        </w:tc>
      </w:tr>
      <w:tr>
        <w:trPr/>
        <w:tc>
          <w:tcPr>
            <w:tcW w:w="3882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eastAsia="Times New Roman" w:cs="Calibri" w:cstheme="minorHAnsi"/>
                <w:kern w:val="0"/>
                <w:szCs w:val="24"/>
                <w:lang w:val="cs-CZ" w:eastAsia="cs-CZ" w:bidi="ar-SA"/>
              </w:rPr>
              <w:t>[[#brands]][[brand]]</w:t>
            </w:r>
          </w:p>
        </w:tc>
        <w:tc>
          <w:tcPr>
            <w:tcW w:w="297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TableContents"/>
              <w:suppressAutoHyphens w:val="true"/>
              <w:spacing w:before="0" w:after="0"/>
              <w:rPr>
                <w:rFonts w:ascii="Calibri" w:hAnsi="Calibri" w:cs="Calibri" w:asciiTheme="minorHAnsi" w:cstheme="minorHAnsi" w:hAnsiTheme="minorHAnsi"/>
                <w:color w:val="000000"/>
                <w:sz w:val="20"/>
              </w:rPr>
            </w:pPr>
            <w:r>
              <w:rPr>
                <w:rFonts w:eastAsia="Times New Roman" w:cs="Calibri" w:cstheme="minorHAnsi"/>
                <w:color w:val="000000"/>
                <w:kern w:val="0"/>
                <w:sz w:val="20"/>
                <w:szCs w:val="20"/>
                <w:lang w:val="cs-CZ" w:eastAsia="cs-CZ" w:bidi="ar-SA"/>
              </w:rPr>
              <w:t>[[Nprod]]</w:t>
            </w:r>
          </w:p>
        </w:tc>
        <w:tc>
          <w:tcPr>
            <w:tcW w:w="292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AutoHyphens w:val="true"/>
              <w:spacing w:before="0" w:after="0"/>
              <w:rPr>
                <w:rFonts w:ascii="Calibri" w:hAnsi="Calibri" w:cs="Calibri" w:asciiTheme="minorHAnsi" w:cstheme="minorHAnsi" w:hAnsiTheme="minorHAnsi"/>
                <w:color w:val="000000"/>
                <w:sz w:val="20"/>
              </w:rPr>
            </w:pPr>
            <w:r>
              <w:rPr>
                <w:rFonts w:eastAsia="Times New Roman" w:cs="Calibri" w:cstheme="minorHAnsi"/>
                <w:color w:val="000000"/>
                <w:kern w:val="0"/>
                <w:sz w:val="20"/>
                <w:szCs w:val="20"/>
                <w:lang w:val="cs-CZ" w:eastAsia="cs-CZ" w:bidi="ar-SA"/>
              </w:rPr>
              <w:t>[[Nprice]][[/brands]]</w:t>
            </w:r>
          </w:p>
        </w:tc>
      </w:tr>
    </w:tbl>
    <w:p>
      <w:pPr>
        <w:pStyle w:val="Normal"/>
        <w:spacing w:before="120" w:after="120"/>
        <w:rPr>
          <w:rFonts w:ascii="Calibri" w:hAnsi="Calibri" w:cs="Calibri" w:asciiTheme="minorHAnsi" w:cstheme="minorHAnsi" w:hAnsiTheme="minorHAnsi"/>
          <w:b/>
          <w:bCs/>
          <w:szCs w:val="24"/>
        </w:rPr>
      </w:pPr>
      <w:r>
        <w:rPr>
          <w:rFonts w:cs="Calibri" w:cstheme="minorHAnsi"/>
          <w:b/>
          <w:bCs/>
          <w:szCs w:val="24"/>
        </w:rPr>
        <w:t>Indexy sladění cen značky v čase:</w:t>
      </w:r>
    </w:p>
    <w:p>
      <w:pPr>
        <w:pStyle w:val="Normal"/>
        <w:suppressAutoHyphens w:val="false"/>
        <w:spacing w:before="120" w:after="120"/>
        <w:contextualSpacing/>
        <w:rPr/>
      </w:pPr>
      <w:r>
        <w:rPr/>
        <w:t xml:space="preserve">Na základě provedeného výběru byl analyzován cenový vývoj produktů dané značky, kdy pro každý pozorovaný den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ve vybraném období byl u vybrané značky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vypočten jeho index sladění cen značky (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</m:oMath>
      <w:r>
        <w:rPr/>
        <w:t>) získaný jako:</w:t>
      </w:r>
    </w:p>
    <w:p>
      <w:pPr>
        <w:pStyle w:val="Normal"/>
        <w:suppressAutoHyphens w:val="false"/>
        <w:spacing w:before="120" w:after="120"/>
        <w:ind w:left="720"/>
        <w:contextualSpacing/>
        <w:jc w:val="center"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  <m:r>
          <w:rPr>
            <w:rFonts w:ascii="Cambria Math" w:hAnsi="Cambria Math"/>
          </w:rPr>
          <m:t xml:space="preserve">=</m:t>
        </m:r>
        <m:f>
          <m:num>
            <m:nary>
              <m:naryPr>
                <m:chr m:val="∑"/>
                <m:subHide m:val="1"/>
                <m:supHide m:val="1"/>
              </m:naryPr>
              <m:sub/>
              <m:sup/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X</m:t>
                    </m:r>
                  </m:sup>
                </m:sSubSup>
              </m:e>
            </m:nary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X</m:t>
                </m:r>
              </m:sub>
            </m:sSub>
          </m:den>
        </m:f>
      </m:oMath>
      <w:r>
        <w:rPr/>
        <w:t>,</w:t>
      </w:r>
    </w:p>
    <w:p>
      <w:pPr>
        <w:pStyle w:val="Normal"/>
        <w:spacing w:before="120" w:after="120"/>
        <w:rPr>
          <w:rFonts w:cs="Calibri"/>
        </w:rPr>
      </w:pPr>
      <w:r>
        <w:rPr>
          <w:rFonts w:cs="Calibri"/>
        </w:rPr>
        <w:t xml:space="preserve">kde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</m:oMath>
      <w:r>
        <w:rPr>
          <w:rFonts w:cs="Calibri"/>
        </w:rPr>
        <w:t xml:space="preserve"> je počet produktů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cs="Calibri"/>
        </w:rPr>
        <w:t xml:space="preserve"> pozorovaných v databázi a přiřazených ke značce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cs="Calibri"/>
        </w:rPr>
        <w:t xml:space="preserve"> v daný den pozorování ve vybrané kategorii produktů. Index sladění cen značky je tedy průměrnou hodnotou indexů sladění cen jednotlivých produktů této značky v dané kategorii a nabývá hodnot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  <m:r>
          <w:rPr>
            <w:rFonts w:ascii="Cambria Math" w:hAnsi="Cambria Math"/>
          </w:rPr>
          <m:t xml:space="preserve">∈</m:t>
        </m:r>
        <m:d>
          <m:dPr>
            <m:begChr m:val="("/>
            <m:endChr m:val=""/>
          </m:dPr>
          <m:e>
            <m:d>
              <m:dPr>
                <m:begChr m:val=""/>
                <m:endChr m:val="⟩"/>
              </m:dPr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</m:d>
      </m:oMath>
      <w:r>
        <w:rPr>
          <w:rFonts w:cs="Calibri"/>
        </w:rPr>
        <w:t>, přičemž platí, že nemůže nabývat hodnoty 0, neboť cenový odstup B bude vždy nenulový, a hodnoty 1 dosahuje za situace dokonalé sladěnosti cen, tj. situace kdy lze o všech produktech dané značky konstatovat, že jsou jejich příslušné ceny u všech prodejců stejné. Čím blíže je hodnota indexu sladění cen značky 1, tím více cen produktů této značky je na trhu sladěných při současném menším cenovém odstupu B.</w:t>
      </w:r>
    </w:p>
    <w:p>
      <w:pPr>
        <w:pStyle w:val="Normal"/>
        <w:suppressAutoHyphens w:val="false"/>
        <w:spacing w:before="120" w:after="120"/>
        <w:contextualSpacing/>
        <w:rPr/>
      </w:pPr>
      <w:r>
        <w:rPr/>
        <w:t>Byť obecně nelze určit hraniční hodnotu tohoto indexu, která by indikovala možné slaďování cen, lze obecně konstatovat, že představují hodnoty tohoto indexu:</w:t>
      </w:r>
    </w:p>
    <w:p>
      <w:pPr>
        <w:pStyle w:val="Normal"/>
        <w:numPr>
          <w:ilvl w:val="0"/>
          <w:numId w:val="7"/>
        </w:numPr>
        <w:suppressAutoHyphens w:val="false"/>
        <w:spacing w:before="120" w:after="120"/>
        <w:ind w:hanging="720" w:left="1276"/>
        <w:contextualSpacing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X</m:t>
            </m:r>
          </m:sup>
        </m:sSubSup>
        <m:r>
          <w:rPr>
            <w:rFonts w:ascii="Cambria Math" w:hAnsi="Cambria Math"/>
          </w:rPr>
          <m:t xml:space="preserve">∈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4</m:t>
            </m:r>
          </m:e>
        </m:d>
      </m:oMath>
      <w:r>
        <w:rPr/>
        <w:t xml:space="preserve"> </w:t>
      </w:r>
      <w:r>
        <w:rPr/>
        <w:t>případné slaďování cen produktů dané značky lze označit za nevýznamné co do rozsahu pozorovaných subjektů a produktů dané zvolené kategorie,</w:t>
      </w:r>
    </w:p>
    <w:p>
      <w:pPr>
        <w:pStyle w:val="Normal"/>
        <w:numPr>
          <w:ilvl w:val="0"/>
          <w:numId w:val="7"/>
        </w:numPr>
        <w:suppressAutoHyphens w:val="false"/>
        <w:spacing w:before="120" w:after="120"/>
        <w:ind w:hanging="720" w:left="1276"/>
        <w:contextualSpacing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X</m:t>
            </m:r>
          </m:sup>
        </m:sSubSup>
        <m:r>
          <w:rPr>
            <w:rFonts w:ascii="Cambria Math" w:hAnsi="Cambria Math"/>
          </w:rPr>
          <m:t xml:space="preserve">∈</m:t>
        </m:r>
        <m:d>
          <m:dPr>
            <m:begChr m:val="⟨"/>
            <m:endChr m:val=""/>
          </m:dPr>
          <m:e>
            <m:d>
              <m:dPr>
                <m:begChr m:val="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6</m:t>
                </m:r>
              </m:e>
            </m:d>
          </m:e>
        </m:d>
      </m:oMath>
      <w:r>
        <w:rPr/>
        <w:t xml:space="preserve"> </w:t>
      </w:r>
      <w:r>
        <w:rPr/>
        <w:t xml:space="preserve">jednu z možných indicií na pravděpodobné slaďování cen produktů dané značky ve vybrané kategorii, neboť významná část subjektů tenduje k cenovému dnu napříč produktovým portfoliem dané značky ve vybrané kategorii, </w:t>
      </w:r>
    </w:p>
    <w:p>
      <w:pPr>
        <w:pStyle w:val="Normal"/>
        <w:numPr>
          <w:ilvl w:val="0"/>
          <w:numId w:val="7"/>
        </w:numPr>
        <w:suppressAutoHyphens w:val="false"/>
        <w:spacing w:before="120" w:after="120"/>
        <w:ind w:hanging="720" w:left="1276"/>
        <w:contextualSpacing/>
        <w:rPr/>
      </w:pP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Bt</m:t>
            </m:r>
          </m:sub>
          <m:sup>
            <m:r>
              <w:rPr>
                <w:rFonts w:ascii="Cambria Math" w:hAnsi="Cambria Math"/>
              </w:rPr>
              <m:t xml:space="preserve">X</m:t>
            </m:r>
          </m:sup>
        </m:sSubSup>
        <m:r>
          <w:rPr>
            <w:rFonts w:ascii="Cambria Math" w:hAnsi="Cambria Math"/>
          </w:rPr>
          <m:t xml:space="preserve">∈</m:t>
        </m:r>
        <m:d>
          <m:dPr>
            <m:begChr m:val="⟨"/>
            <m:endChr m:val=""/>
          </m:dPr>
          <m:e>
            <m:d>
              <m:dPr>
                <m:begChr m:val="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d>
          </m:e>
        </m:d>
      </m:oMath>
      <w:r>
        <w:rPr/>
        <w:t xml:space="preserve"> </w:t>
      </w:r>
      <w:r>
        <w:rPr/>
        <w:t>silnou indicii na možné slaďování cen produktů dané značky ve vybrané kategorii. S ohledem na to, že index vypovídá o širším produktovém portfoliu, lze přiměřeně vyloučit jinou koordinaci cenové politiky subjektů na nabídkové straně</w:t>
      </w:r>
      <w:r>
        <w:rPr>
          <w:rStyle w:val="FootnoteReference"/>
          <w:vertAlign w:val="superscript"/>
        </w:rPr>
        <w:footnoteReference w:id="2"/>
      </w:r>
      <w:r>
        <w:rPr/>
        <w:t xml:space="preserve"> i jiné nestandardní tržní chování a jevy</w:t>
      </w:r>
      <w:r>
        <w:rPr>
          <w:rStyle w:val="FootnoteReference"/>
          <w:vertAlign w:val="superscript"/>
        </w:rPr>
        <w:footnoteReference w:id="3"/>
      </w:r>
      <w:r>
        <w:rPr/>
        <w:t>.</w:t>
      </w:r>
    </w:p>
    <w:p>
      <w:pPr>
        <w:pStyle w:val="Normal"/>
        <w:suppressAutoHyphens w:val="false"/>
        <w:spacing w:before="120" w:after="120"/>
        <w:rPr/>
      </w:pPr>
      <w:r>
        <w:rPr/>
        <w:t>Hodnota 1 je vysvětlena výše.</w:t>
      </w:r>
    </w:p>
    <w:p>
      <w:pPr>
        <w:pStyle w:val="Normal"/>
        <w:spacing w:before="120" w:after="120"/>
        <w:rPr>
          <w:rFonts w:ascii="Calibri" w:hAnsi="Calibri" w:cs="Calibri" w:asciiTheme="minorHAnsi" w:cstheme="minorHAnsi" w:hAnsiTheme="minorHAnsi"/>
          <w:szCs w:val="24"/>
        </w:rPr>
      </w:pPr>
      <w:r>
        <w:rPr>
          <w:rFonts w:cs="Calibri" w:cstheme="minorHAnsi"/>
          <w:szCs w:val="24"/>
        </w:rPr>
        <w:t>Výsledky provedené analýzy zobrazuje následující tabulka.</w:t>
      </w:r>
    </w:p>
    <w:p>
      <w:pPr>
        <w:pStyle w:val="Grafslovan"/>
        <w:numPr>
          <w:ilvl w:val="0"/>
          <w:numId w:val="6"/>
        </w:numPr>
        <w:spacing w:before="120" w:after="0"/>
        <w:ind w:hanging="1418" w:left="1418"/>
        <w:contextualSpacing/>
        <w:rPr/>
      </w:pPr>
      <w:r>
        <w:rPr/>
        <w:t xml:space="preserve">Hodnoty indexu sladění cen značek vybrané skupiny produktů za vybrané </w:t>
      </w:r>
      <w:commentRangeStart w:id="2"/>
      <w:r>
        <w:rPr/>
        <w:t>období</w:t>
      </w:r>
      <w:r>
        <w:rPr/>
      </w:r>
      <w:commentRangeEnd w:id="2"/>
      <w:r>
        <w:commentReference w:id="2"/>
      </w:r>
      <w:r>
        <w:rPr/>
        <w:t>.</w:t>
      </w:r>
    </w:p>
    <w:tbl>
      <w:tblPr>
        <w:tblStyle w:val="Mkatabulky"/>
        <w:tblW w:w="97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88"/>
        <w:gridCol w:w="4889"/>
      </w:tblGrid>
      <w:tr>
        <w:trPr/>
        <w:tc>
          <w:tcPr>
            <w:tcW w:w="48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val="cs-CZ" w:eastAsia="cs-CZ" w:bidi="ar-SA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  <w:t>Značka</w:t>
            </w:r>
          </w:p>
        </w:tc>
        <w:tc>
          <w:tcPr>
            <w:tcW w:w="48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b/>
                <w:bCs/>
                <w:kern w:val="0"/>
                <w:szCs w:val="20"/>
                <w:lang w:val="cs-CZ" w:eastAsia="cs-CZ" w:bidi="ar-SA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Cs w:val="24"/>
                <w:lang w:val="cs-CZ" w:eastAsia="cs-CZ" w:bidi="ar-SA"/>
              </w:rPr>
              <w:t>Index sladění</w:t>
            </w:r>
          </w:p>
        </w:tc>
      </w:tr>
      <w:tr>
        <w:trPr/>
        <w:tc>
          <w:tcPr>
            <w:tcW w:w="488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eastAsia="Times New Roman" w:cs="Calibri" w:cstheme="minorHAnsi"/>
                <w:kern w:val="0"/>
                <w:szCs w:val="24"/>
                <w:lang w:val="cs-CZ" w:eastAsia="cs-CZ" w:bidi="ar-SA"/>
              </w:rPr>
              <w:t>[[#brands]][[brand]]</w:t>
            </w:r>
          </w:p>
        </w:tc>
        <w:tc>
          <w:tcPr>
            <w:tcW w:w="488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Calibri" w:hAnsi="Calibri" w:cs="Calibri" w:asciiTheme="minorHAnsi" w:cstheme="minorHAnsi" w:hAnsiTheme="minorHAnsi"/>
                <w:szCs w:val="24"/>
              </w:rPr>
            </w:pPr>
            <w:r>
              <w:rPr>
                <w:rFonts w:eastAsia="Times New Roman" w:cs="Calibri" w:cstheme="minorHAnsi"/>
                <w:kern w:val="0"/>
                <w:szCs w:val="24"/>
                <w:lang w:val="cs-CZ" w:eastAsia="cs-CZ" w:bidi="ar-SA"/>
              </w:rPr>
              <w:t>[[iB]][[/brands]]</w:t>
            </w:r>
          </w:p>
        </w:tc>
      </w:tr>
    </w:tbl>
    <w:p>
      <w:pPr>
        <w:pStyle w:val="Normal"/>
        <w:spacing w:before="0" w:after="120"/>
        <w:rPr>
          <w:rFonts w:ascii="Calibri" w:hAnsi="Calibri" w:cs="Calibri" w:asciiTheme="minorHAnsi" w:cstheme="minorHAnsi" w:hAnsiTheme="minorHAnsi"/>
          <w:i/>
          <w:i/>
          <w:iCs/>
          <w:szCs w:val="24"/>
        </w:rPr>
      </w:pPr>
      <w:r>
        <w:rPr>
          <w:rFonts w:cs="Calibri" w:cstheme="minorHAnsi"/>
          <w:i/>
          <w:iCs/>
          <w:szCs w:val="24"/>
        </w:rPr>
        <w:t>Zdroj: vlastní výpočet Úřadu.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[[%img_brand_index_sladeni]]</w:t>
      </w:r>
    </w:p>
    <w:sectPr>
      <w:headerReference w:type="default" r:id="rId8"/>
      <w:footerReference w:type="default" r:id="rId9"/>
      <w:footnotePr>
        <w:numFmt w:val="decimal"/>
      </w:footnotePr>
      <w:type w:val="nextPage"/>
      <w:pgSz w:w="11906" w:h="16838"/>
      <w:pgMar w:left="1134" w:right="1134" w:gutter="0" w:header="851" w:top="1418" w:footer="851" w:bottom="1418"/>
      <w:pgNumType w:fmt="decimal"/>
      <w:formProt w:val="false"/>
      <w:textDirection w:val="lrTb"/>
      <w:docGrid w:type="default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chay Martin" w:date="2025-09-30T12:50:00Z" w:initials="MM">
    <w:p>
      <w:pPr>
        <w:overflowPunct w:val="true"/>
        <w:jc w:val="left"/>
        <w:rPr/>
      </w:pPr>
      <w:r>
        <w:rPr>
          <w:rFonts w:ascii="Liberation Serif" w:hAnsi="Liberation Serif" w:eastAsia="DejaVu Sans" w:cs="Noto Sans Arabic"/>
          <w:szCs w:val="24"/>
          <w:lang w:val="en-US" w:eastAsia="en-US" w:bidi="en-US"/>
        </w:rPr>
        <w:t>Vyhodit konec stránky obsah pokračovat pod nadpisem</w:t>
      </w:r>
    </w:p>
  </w:comment>
  <w:comment w:id="1" w:author="Machay Martin" w:date="2025-10-02T14:19:00Z" w:initials="MM">
    <w:p>
      <w:pPr>
        <w:overflowPunct w:val="true"/>
        <w:jc w:val="left"/>
        <w:rPr/>
      </w:pPr>
      <w:r>
        <w:rPr>
          <w:rFonts w:ascii="Liberation Serif" w:hAnsi="Liberation Serif" w:eastAsia="DejaVu Sans" w:cs="Noto Sans Arabic"/>
          <w:szCs w:val="24"/>
          <w:lang w:val="en-US" w:eastAsia="en-US" w:bidi="en-US"/>
        </w:rPr>
        <w:t>Řadit podle počtu unikátních produktů sestupně</w:t>
      </w:r>
    </w:p>
  </w:comment>
  <w:comment w:id="2" w:author="Machay Martin" w:date="2025-09-30T13:06:00Z" w:initials="MM">
    <w:p>
      <w:pPr>
        <w:overflowPunct w:val="false"/>
        <w:jc w:val="left"/>
        <w:rPr/>
      </w:pPr>
      <w:r>
        <w:rPr>
          <w:rFonts w:ascii="Liberation Serif" w:hAnsi="Liberation Serif" w:eastAsia="DejaVu Sans" w:cs="Noto Sans Arabic"/>
          <w:szCs w:val="24"/>
          <w:lang w:val="en-US" w:eastAsia="en-US" w:bidi="en-US"/>
        </w:rPr>
        <w:t>Ceny uvádět v nominálních hodnotách a nijak s nimi v grafu nemanipulovat; z popsisku odstranit název produktu a histogram cen (datumy); pod grafem zobrazit „N=[[N]], [[NAME]] ([[dateFrom]] - [[dateTo]]“. Obrázek velikosti 8 x 10 cm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KGinisSmall">
    <w:charset w:val="01"/>
    <w:family w:val="roman"/>
    <w:pitch w:val="variable"/>
  </w:font>
  <w:font w:name="3 of 9 Barcod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 w:before="240" w:after="0"/>
      <w:rPr>
        <w:rFonts w:ascii="Arial" w:hAnsi="Arial" w:cs="Arial"/>
        <w:b/>
        <w:color w:val="004D7E"/>
        <w:sz w:val="16"/>
        <w:szCs w:val="16"/>
      </w:rPr>
    </w:pPr>
    <w:r>
      <w:rPr>
        <w:rFonts w:cs="Arial" w:ascii="Arial" w:hAnsi="Arial"/>
        <w:b/>
        <w:color w:val="004D7E"/>
        <w:sz w:val="16"/>
        <w:szCs w:val="16"/>
      </w:rPr>
      <w:t>Úřad pro ochranu hospodářské soutěže</w:t>
    </w:r>
  </w:p>
  <w:p>
    <w:pPr>
      <w:pStyle w:val="Normal"/>
      <w:spacing w:lineRule="auto" w:line="360"/>
      <w:rPr>
        <w:rFonts w:ascii="Arial" w:hAnsi="Arial" w:cs="Arial"/>
        <w:color w:val="40B4E5"/>
        <w:sz w:val="16"/>
        <w:szCs w:val="16"/>
      </w:rPr>
    </w:pPr>
    <w:r>
      <w:rPr>
        <w:rFonts w:cs="Arial" w:ascii="Arial" w:hAnsi="Arial"/>
        <w:color w:val="40B4E5"/>
        <w:sz w:val="16"/>
        <w:szCs w:val="16"/>
      </w:rPr>
      <w:t>třída Kpt. Jaroše 7, 602 00 Brno, Česká republika, +420 542 167 111, posta@uohs.gov.cz, uohs.gov.cz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Subjekty pokrývají různá množství trhů, a ne na všech se potkává stejná skupina subjektů. Úřad považuje takový rozsah samovolné koordinace za vysoce nepravděpodobný.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Úřad dodává, že nelze rozumně předpokládat, že při takhle široké paletě uspokojovaných potřeb by všechny takto analyzované trhy mohly vykazovat identické nestandardní tržní chování a jevy, které by nebyly zjevné z makroekonomické úrovně, např. recese.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9639" w:leader="none"/>
      </w:tabs>
      <w:rPr/>
    </w:pPr>
    <w:r>
      <w:rPr/>
      <w:drawing>
        <wp:inline distT="0" distB="0" distL="0" distR="0">
          <wp:extent cx="907415" cy="628015"/>
          <wp:effectExtent l="0" t="0" r="0" b="0"/>
          <wp:docPr id="1" name="obráze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  <w:tab/>
      <w:t xml:space="preserve">  </w:t>
    </w:r>
    <w:r>
      <w:rPr/>
      <w:drawing>
        <wp:inline distT="0" distB="0" distL="0" distR="0">
          <wp:extent cx="2169795" cy="191135"/>
          <wp:effectExtent l="0" t="0" r="0" b="0"/>
          <wp:docPr id="2" name="obrázek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69795" cy="191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t xml:space="preserve">Č. j.: </w:t>
    </w:r>
    <w:r>
      <w:rPr/>
      <w:fldChar w:fldCharType="begin"/>
    </w:r>
    <w:r>
      <w:rPr/>
      <w:instrText xml:space="preserve"> DOCPROPERTY "UohsCJ"</w:instrText>
    </w:r>
    <w:r>
      <w:rPr/>
      <w:fldChar w:fldCharType="separate"/>
    </w:r>
    <w:r>
      <w:rPr/>
      <w:t>/Číslo jednací/</w:t>
    </w:r>
    <w:r>
      <w:rPr/>
      <w:fldChar w:fldCharType="end"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Tabulka č. %1: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lowerRoman"/>
      <w:lvlText w:val="%1)"/>
      <w:lvlJc w:val="left"/>
      <w:pPr>
        <w:tabs>
          <w:tab w:val="num" w:pos="0"/>
        </w:tabs>
        <w:ind w:left="144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uiPriority="35" w:semiHidden="1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uiPriority="0" w:semiHidden="1" w:unhideWhenUsed="1"/>
    <w:lsdException w:name="annotation subject" w:semiHidden="1" w:unhideWhenUsed="1"/>
    <w:lsdException w:name="No List" w:locked="0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1e7b23"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4"/>
      <w:szCs w:val="20"/>
      <w:lang w:val="cs-CZ" w:eastAsia="cs-CZ" w:bidi="ar-SA"/>
    </w:rPr>
  </w:style>
  <w:style w:type="paragraph" w:styleId="Heading1">
    <w:name w:val="Heading 1"/>
    <w:basedOn w:val="Normal"/>
    <w:next w:val="Normal"/>
    <w:link w:val="Nadpis1Char"/>
    <w:uiPriority w:val="99"/>
    <w:qFormat/>
    <w:rsid w:val="00af76b0"/>
    <w:pPr>
      <w:keepNext w:val="true"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Heading2">
    <w:name w:val="Heading 2"/>
    <w:basedOn w:val="Normal"/>
    <w:next w:val="Normal"/>
    <w:link w:val="Nadpis2Char"/>
    <w:uiPriority w:val="99"/>
    <w:qFormat/>
    <w:rsid w:val="00af76b0"/>
    <w:pPr>
      <w:keepNext w:val="true"/>
      <w:numPr>
        <w:ilvl w:val="0"/>
        <w:numId w:val="2"/>
      </w:numPr>
      <w:spacing w:before="240" w:after="6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Nadpis3Char"/>
    <w:uiPriority w:val="99"/>
    <w:qFormat/>
    <w:rsid w:val="008b449c"/>
    <w:pPr>
      <w:keepNext w:val="true"/>
      <w:numPr>
        <w:ilvl w:val="0"/>
        <w:numId w:val="1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styleId="Nadpis2Char" w:customStyle="1">
    <w:name w:val="Nadpis 2 Char"/>
    <w:basedOn w:val="DefaultParagraphFont"/>
    <w:link w:val="Heading2"/>
    <w:uiPriority w:val="99"/>
    <w:qFormat/>
    <w:locked/>
    <w:rPr>
      <w:rFonts w:ascii="Calibri" w:hAnsi="Calibri" w:cs="Times New Roman"/>
      <w:b/>
      <w:sz w:val="24"/>
    </w:rPr>
  </w:style>
  <w:style w:type="character" w:styleId="Nadpis3Char" w:customStyle="1">
    <w:name w:val="Nadpis 3 Char"/>
    <w:basedOn w:val="DefaultParagraphFont"/>
    <w:link w:val="Heading3"/>
    <w:uiPriority w:val="99"/>
    <w:qFormat/>
    <w:locked/>
    <w:rPr>
      <w:rFonts w:ascii="Calibri" w:hAnsi="Calibri" w:cs="Times New Roman"/>
      <w:b/>
      <w:sz w:val="26"/>
    </w:rPr>
  </w:style>
  <w:style w:type="character" w:styleId="Tun" w:customStyle="1">
    <w:name w:val="Tučné"/>
    <w:uiPriority w:val="99"/>
    <w:qFormat/>
    <w:rsid w:val="00a0608b"/>
    <w:rPr>
      <w:b/>
    </w:rPr>
  </w:style>
  <w:style w:type="character" w:styleId="PageNumber">
    <w:name w:val="Page Number"/>
    <w:basedOn w:val="DefaultParagraphFont"/>
    <w:uiPriority w:val="99"/>
    <w:semiHidden/>
    <w:locked/>
    <w:rsid w:val="00a0608b"/>
    <w:rPr>
      <w:rFonts w:cs="Times New Roman"/>
    </w:rPr>
  </w:style>
  <w:style w:type="character" w:styleId="ZhlavChar" w:customStyle="1">
    <w:name w:val="Záhlaví Char"/>
    <w:basedOn w:val="DefaultParagraphFont"/>
    <w:link w:val="Header"/>
    <w:uiPriority w:val="99"/>
    <w:semiHidden/>
    <w:qFormat/>
    <w:locked/>
    <w:rPr>
      <w:rFonts w:ascii="Calibri" w:hAnsi="Calibri" w:cs="Times New Roman"/>
      <w:sz w:val="20"/>
    </w:rPr>
  </w:style>
  <w:style w:type="character" w:styleId="ZpatChar" w:customStyle="1">
    <w:name w:val="Zápatí Char"/>
    <w:basedOn w:val="DefaultParagraphFont"/>
    <w:link w:val="Footer"/>
    <w:uiPriority w:val="99"/>
    <w:semiHidden/>
    <w:qFormat/>
    <w:locked/>
    <w:rPr>
      <w:rFonts w:ascii="Calibri" w:hAnsi="Calibri" w:cs="Times New Roman"/>
      <w:sz w:val="20"/>
    </w:rPr>
  </w:style>
  <w:style w:type="character" w:styleId="OdstavecChar" w:customStyle="1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locked/>
    <w:rPr>
      <w:rFonts w:ascii="Calibri" w:hAnsi="Calibri" w:cs="Times New Roman"/>
      <w:sz w:val="20"/>
    </w:rPr>
  </w:style>
  <w:style w:type="character" w:styleId="FootnoteCharacters">
    <w:name w:val="Footnote Characters"/>
    <w:uiPriority w:val="99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RozloendokumentuChar" w:customStyle="1">
    <w:name w:val="Rozložení dokumentu Char"/>
    <w:basedOn w:val="DefaultParagraphFont"/>
    <w:link w:val="DocumentMap"/>
    <w:uiPriority w:val="99"/>
    <w:semiHidden/>
    <w:qFormat/>
    <w:locked/>
    <w:rPr>
      <w:rFonts w:ascii="Tahoma" w:hAnsi="Tahoma" w:cs="Times New Roman"/>
      <w:sz w:val="16"/>
    </w:rPr>
  </w:style>
  <w:style w:type="character" w:styleId="Kurzva" w:customStyle="1">
    <w:name w:val="Kurzíva"/>
    <w:uiPriority w:val="99"/>
    <w:qFormat/>
    <w:rsid w:val="00326be9"/>
    <w:rPr>
      <w:i/>
    </w:rPr>
  </w:style>
  <w:style w:type="character" w:styleId="TunKurzva" w:customStyle="1">
    <w:name w:val="Tučné + Kurzíva"/>
    <w:uiPriority w:val="99"/>
    <w:qFormat/>
    <w:rsid w:val="000a4806"/>
    <w:rPr>
      <w:b/>
      <w:i/>
    </w:rPr>
  </w:style>
  <w:style w:type="character" w:styleId="Styl10b" w:customStyle="1">
    <w:name w:val="Styl 10 b."/>
    <w:uiPriority w:val="99"/>
    <w:semiHidden/>
    <w:qFormat/>
    <w:locked/>
    <w:rsid w:val="00da54ae"/>
    <w:rPr>
      <w:sz w:val="20"/>
    </w:rPr>
  </w:style>
  <w:style w:type="character" w:styleId="Hyperlink">
    <w:name w:val="Hyperlink"/>
    <w:basedOn w:val="DefaultParagraphFont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qFormat/>
    <w:locked/>
    <w:rsid w:val="003806d5"/>
    <w:rPr>
      <w:rFonts w:cs="Times New Roman"/>
      <w:sz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locked/>
    <w:rPr>
      <w:rFonts w:ascii="Calibri" w:hAnsi="Calibri" w:cs="Times New Roman"/>
      <w:sz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locked/>
    <w:rPr>
      <w:rFonts w:ascii="Calibri" w:hAnsi="Calibri" w:cs="Times New Roman"/>
      <w:b/>
      <w:sz w:val="20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locked/>
    <w:rPr>
      <w:rFonts w:ascii="Tahoma" w:hAnsi="Tahoma" w:cs="Times New Roman"/>
      <w:sz w:val="16"/>
    </w:rPr>
  </w:style>
  <w:style w:type="character" w:styleId="HornindexChar" w:customStyle="1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styleId="Velikostpsma10Char" w:customStyle="1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styleId="ZarovnnnastedChar" w:customStyle="1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styleId="NormlnZNAK" w:customStyle="1">
    <w:name w:val="Normální_ZNAK"/>
    <w:basedOn w:val="DefaultParagraphFont"/>
    <w:uiPriority w:val="99"/>
    <w:qFormat/>
    <w:rsid w:val="008b7058"/>
    <w:rPr>
      <w:rFonts w:ascii="Calibri" w:hAnsi="Calibri" w:cs="Times New Roman"/>
      <w:sz w:val="24"/>
    </w:rPr>
  </w:style>
  <w:style w:type="character" w:styleId="IndexLink" w:customStyle="1">
    <w:name w:val="Index Link"/>
    <w:qFormat/>
    <w:rPr/>
  </w:style>
  <w:style w:type="character" w:styleId="PlaceholderText">
    <w:name w:val="Placeholder Text"/>
    <w:basedOn w:val="DefaultParagraphFont"/>
    <w:uiPriority w:val="99"/>
    <w:semiHidden/>
    <w:qFormat/>
    <w:locked/>
    <w:rsid w:val="006436a9"/>
    <w:rPr>
      <w:color w:val="808080"/>
    </w:rPr>
  </w:style>
  <w:style w:type="character" w:styleId="OdstavecseseznamemChar" w:customStyle="1">
    <w:name w:val="Odstavec se seznamem Char"/>
    <w:basedOn w:val="DefaultParagraphFont"/>
    <w:link w:val="ListParagraph"/>
    <w:uiPriority w:val="34"/>
    <w:qFormat/>
    <w:rsid w:val="00745ed1"/>
    <w:rPr>
      <w:rFonts w:ascii="Calibri" w:hAnsi="Calibri"/>
      <w:sz w:val="24"/>
    </w:rPr>
  </w:style>
  <w:style w:type="character" w:styleId="GrafslovanChar" w:customStyle="1">
    <w:name w:val="Graf číslovaný Char"/>
    <w:basedOn w:val="OdstavecseseznamemChar"/>
    <w:link w:val="Grafslovan"/>
    <w:qFormat/>
    <w:rsid w:val="00745ed1"/>
    <w:rPr>
      <w:rFonts w:ascii="Calibri" w:hAnsi="Calibri" w:cs="Calibri" w:asciiTheme="minorHAnsi" w:cstheme="minorHAnsi" w:hAnsiTheme="minorHAnsi"/>
      <w:sz w:val="24"/>
      <w:szCs w:val="24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Zpat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LatinkaCKGinisSmall20bPrvndek0cm" w:customStyle="1">
    <w:name w:val="Styl (Latinka) CKGinisSmall 20 b. První řádek:  0 cm"/>
    <w:uiPriority w:val="99"/>
    <w:semiHidden/>
    <w:qFormat/>
    <w:rsid w:val="00a0608b"/>
    <w:pPr>
      <w:widowControl/>
      <w:suppressAutoHyphens w:val="true"/>
      <w:bidi w:val="0"/>
      <w:spacing w:before="0" w:after="0"/>
      <w:jc w:val="left"/>
    </w:pPr>
    <w:rPr>
      <w:rFonts w:ascii="CKGinisSmall" w:hAnsi="CKGinisSmall" w:eastAsia="Times New Roman" w:cs="Times New Roman"/>
      <w:color w:val="auto"/>
      <w:kern w:val="0"/>
      <w:sz w:val="40"/>
      <w:szCs w:val="20"/>
      <w:lang w:val="cs-CZ" w:eastAsia="cs-CZ" w:bidi="ar-SA"/>
    </w:rPr>
  </w:style>
  <w:style w:type="paragraph" w:styleId="Odstavec" w:customStyle="1">
    <w:name w:val="Odstavec"/>
    <w:basedOn w:val="Normal"/>
    <w:link w:val="OdstavecChar"/>
    <w:uiPriority w:val="99"/>
    <w:qFormat/>
    <w:rsid w:val="008052e6"/>
    <w:pPr>
      <w:spacing w:before="120" w:after="120"/>
    </w:pPr>
    <w:rPr/>
  </w:style>
  <w:style w:type="paragraph" w:styleId="FootnoteText">
    <w:name w:val="Footnote Text"/>
    <w:basedOn w:val="Normal"/>
    <w:link w:val="TextpoznpodarouChar"/>
    <w:uiPriority w:val="99"/>
    <w:semiHidden/>
    <w:rsid w:val="00a0608b"/>
    <w:pPr/>
    <w:rPr>
      <w:sz w:val="20"/>
    </w:rPr>
  </w:style>
  <w:style w:type="paragraph" w:styleId="DocumentMap">
    <w:name w:val="Document Map"/>
    <w:basedOn w:val="Normal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styleId="Nadpisdokumentu" w:customStyle="1">
    <w:name w:val="Nadpis dokumentu"/>
    <w:basedOn w:val="Normal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styleId="Zarovnnnasted" w:customStyle="1">
    <w:name w:val="Zarovnání na střed"/>
    <w:basedOn w:val="Normal"/>
    <w:link w:val="ZarovnnnastedChar"/>
    <w:uiPriority w:val="99"/>
    <w:qFormat/>
    <w:rsid w:val="00650dd6"/>
    <w:pPr>
      <w:jc w:val="center"/>
    </w:pPr>
    <w:rPr/>
  </w:style>
  <w:style w:type="paragraph" w:styleId="StylDoprava" w:customStyle="1">
    <w:name w:val="Styl Doprava"/>
    <w:basedOn w:val="Normal"/>
    <w:uiPriority w:val="99"/>
    <w:semiHidden/>
    <w:qFormat/>
    <w:locked/>
    <w:rsid w:val="00da54ae"/>
    <w:pPr>
      <w:jc w:val="right"/>
    </w:pPr>
    <w:rPr/>
  </w:style>
  <w:style w:type="paragraph" w:styleId="Styl10bDoprava" w:customStyle="1">
    <w:name w:val="Styl 10 b. Doprava"/>
    <w:basedOn w:val="Normal"/>
    <w:uiPriority w:val="99"/>
    <w:semiHidden/>
    <w:qFormat/>
    <w:locked/>
    <w:rsid w:val="00da54ae"/>
    <w:pPr>
      <w:jc w:val="right"/>
    </w:pPr>
    <w:rPr>
      <w:sz w:val="20"/>
    </w:rPr>
  </w:style>
  <w:style w:type="paragraph" w:styleId="AnnotationText">
    <w:name w:val="Annotation Text"/>
    <w:basedOn w:val="Normal"/>
    <w:link w:val="TextkomenteChar"/>
    <w:uiPriority w:val="99"/>
    <w:semiHidden/>
    <w:locked/>
    <w:rsid w:val="003806d5"/>
    <w:pPr/>
    <w:rPr>
      <w:sz w:val="20"/>
    </w:rPr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qFormat/>
    <w:locked/>
    <w:rsid w:val="003806d5"/>
    <w:pPr/>
    <w:rPr>
      <w:b/>
      <w:bCs/>
    </w:rPr>
  </w:style>
  <w:style w:type="paragraph" w:styleId="BalloonText">
    <w:name w:val="Balloon Text"/>
    <w:basedOn w:val="Normal"/>
    <w:link w:val="TextbublinyChar"/>
    <w:uiPriority w:val="99"/>
    <w:semiHidden/>
    <w:qFormat/>
    <w:locked/>
    <w:rsid w:val="003806d5"/>
    <w:pPr/>
    <w:rPr>
      <w:rFonts w:ascii="Tahoma" w:hAnsi="Tahoma" w:cs="Tahoma"/>
      <w:sz w:val="16"/>
      <w:szCs w:val="16"/>
    </w:rPr>
  </w:style>
  <w:style w:type="paragraph" w:styleId="Velikostpsma10" w:customStyle="1">
    <w:name w:val="Velikost písma 10"/>
    <w:basedOn w:val="Normal"/>
    <w:link w:val="Velikostpsma10Char"/>
    <w:uiPriority w:val="99"/>
    <w:qFormat/>
    <w:rsid w:val="001e7b23"/>
    <w:pPr>
      <w:outlineLvl w:val="0"/>
    </w:pPr>
    <w:rPr>
      <w:sz w:val="20"/>
    </w:rPr>
  </w:style>
  <w:style w:type="paragraph" w:styleId="Hornindex" w:customStyle="1">
    <w:name w:val="Horní index"/>
    <w:basedOn w:val="Normal"/>
    <w:link w:val="HornindexChar"/>
    <w:uiPriority w:val="99"/>
    <w:qFormat/>
    <w:rsid w:val="001e7b23"/>
    <w:pPr/>
    <w:rPr>
      <w:vertAlign w:val="superscript"/>
    </w:rPr>
  </w:style>
  <w:style w:type="paragraph" w:styleId="Dolnindex" w:customStyle="1">
    <w:name w:val="Dolní index"/>
    <w:basedOn w:val="Normal"/>
    <w:uiPriority w:val="99"/>
    <w:qFormat/>
    <w:rsid w:val="001e7b23"/>
    <w:pPr/>
    <w:rPr>
      <w:vertAlign w:val="subscript"/>
    </w:rPr>
  </w:style>
  <w:style w:type="paragraph" w:styleId="Styl1" w:customStyle="1">
    <w:name w:val="Styl1"/>
    <w:basedOn w:val="Odstavec"/>
    <w:qFormat/>
    <w:rsid w:val="00c94f5d"/>
    <w:pPr/>
    <w:rPr/>
  </w:style>
  <w:style w:type="paragraph" w:styleId="ListParagraph">
    <w:name w:val="List Paragraph"/>
    <w:basedOn w:val="Normal"/>
    <w:link w:val="OdstavecseseznamemChar"/>
    <w:uiPriority w:val="34"/>
    <w:qFormat/>
    <w:locked/>
    <w:rsid w:val="0002798e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Index"/>
    <w:pPr>
      <w:tabs>
        <w:tab w:val="clear" w:pos="708"/>
        <w:tab w:val="right" w:pos="9638" w:leader="dot"/>
      </w:tabs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Grafslovan" w:customStyle="1">
    <w:name w:val="Graf číslovaný"/>
    <w:basedOn w:val="ListParagraph"/>
    <w:link w:val="GrafslovanChar"/>
    <w:qFormat/>
    <w:rsid w:val="00745ed1"/>
    <w:pPr>
      <w:numPr>
        <w:ilvl w:val="0"/>
        <w:numId w:val="6"/>
      </w:numPr>
      <w:spacing w:before="120" w:after="120"/>
      <w:contextualSpacing/>
    </w:pPr>
    <w:rPr>
      <w:rFonts w:ascii="Calibri" w:hAnsi="Calibri" w:cs="Calibri" w:asciiTheme="minorHAnsi" w:cstheme="minorHAnsi" w:hAnsiTheme="minorHAnsi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lovn3" w:customStyle="1">
    <w:name w:val="Číslování 3."/>
    <w:qFormat/>
  </w:style>
  <w:style w:type="numbering" w:styleId="Sodrkami" w:customStyle="1">
    <w:name w:val="S odrážkami"/>
    <w:qFormat/>
  </w:style>
  <w:style w:type="numbering" w:styleId="slovn2" w:customStyle="1">
    <w:name w:val="Číslování 2"/>
    <w:qFormat/>
  </w:style>
  <w:style w:type="numbering" w:styleId="slovn" w:customStyle="1">
    <w:name w:val="Číslování"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99"/>
    <w:semiHidden/>
    <w:rsid w:val="0054320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otnotes" Target="footnotes.xml"/><Relationship Id="rId11" Type="http://schemas.openxmlformats.org/officeDocument/2006/relationships/comments" Target="comments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Application>LibreOffice/24.2.7.2$Linux_X86_64 LibreOffice_project/420$Build-2</Application>
  <AppVersion>15.0000</AppVersion>
  <Pages>4</Pages>
  <Words>618</Words>
  <Characters>3823</Characters>
  <CharactersWithSpaces>4394</CharactersWithSpaces>
  <Paragraphs>59</Paragraphs>
  <Company>ÚOHS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2024-01-15T13:10:00Z</dcterms:created>
  <dc:creator>Úřad pro ochranu hospodářské soutěže</dc:creator>
  <dc:description/>
  <dc:language>en-US</dc:language>
  <cp:lastModifiedBy/>
  <dcterms:modified xsi:type="dcterms:W3CDTF">2026-01-19T18:58:09Z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