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file 5. Instrument audit: four measurement problems, symptoms and fixes</w:t>
      </w:r>
    </w:p>
    <w:p>
      <w:pPr>
        <w:pStyle w:val="Heading1"/>
      </w:pPr>
      <w:r>
        <w:t>Purpose</w:t>
      </w:r>
    </w:p>
    <w:p>
      <w:r>
        <w:rPr>
          <w:b w:val="0"/>
        </w:rPr>
        <w:t>This note records four measurement problems that produced plausible but wrong numbers during development. Each was fixed in code and is now protected by an executable audit or fail-loud gate.</w:t>
      </w:r>
    </w:p>
    <w:p>
      <w:pPr>
        <w:pStyle w:val="Heading1"/>
      </w:pPr>
      <w:r>
        <w:t>Problem 1: MAPQ threshold</w:t>
      </w:r>
    </w:p>
    <w:p>
      <w:r>
        <w:rPr>
          <w:b w:val="0"/>
        </w:rPr>
        <w:t>A default minimum MAPQ of 20 removed reads carrying a large share of the chr21 error signal. The 30x chr21 model was retrained with minimum MAPQ 0, and the threshold is now reported explicitly.</w:t>
      </w:r>
    </w:p>
    <w:p>
      <w:pPr>
        <w:pStyle w:val="Heading1"/>
      </w:pPr>
      <w:r>
        <w:t>Problem 2: insertion-length cap</w:t>
      </w:r>
    </w:p>
    <w:p>
      <w:r>
        <w:rPr>
          <w:b w:val="0"/>
        </w:rPr>
        <w:t>A single insertion state made every insertion one base long. Run-length states I1-I3/I4+ and D1-D3/D4+ remove this structural cap and are used for the reported model.</w:t>
      </w:r>
    </w:p>
    <w:p>
      <w:pPr>
        <w:pStyle w:val="Heading1"/>
      </w:pPr>
      <w:r>
        <w:t>Problem 3: silent profile fallback</w:t>
      </w:r>
    </w:p>
    <w:p>
      <w:r>
        <w:rPr>
          <w:b w:val="0"/>
        </w:rPr>
        <w:t>A missing read-length profile silently fell back to a platform default. The entry gate now refuses to start without a read-length and quality profile, and the exit gate verifies produced read count, total bases and mean read length within 10% of the request.</w:t>
      </w:r>
    </w:p>
    <w:p>
      <w:pPr>
        <w:pStyle w:val="Heading1"/>
      </w:pPr>
      <w:r>
        <w:t>Problem 4: k-mer estimator spread</w:t>
      </w:r>
    </w:p>
    <w:p>
      <w:r>
        <w:rPr>
          <w:b w:val="0"/>
        </w:rPr>
        <w:t>At 250 reads per side the k-mer sub-score had a replicate spread larger than the between-route differences it was used to rank. The reported estimator uses 1000 reads per side and a paired bootstrap over reads; the k-mer term is treated as descriptive rather than as the primary GC claim.</w:t>
      </w:r>
    </w:p>
    <w:p>
      <w:pPr>
        <w:pStyle w:val="Heading1"/>
      </w:pPr>
      <w:r>
        <w:t>Verification</w:t>
      </w:r>
    </w:p>
    <w:p>
      <w:r>
        <w:rPr>
          <w:b w:val="0"/>
        </w:rPr>
        <w:t>The verification entry points are `reproduce.sh --tests`, `reproduce.sh --static-check` and `reproduce.sh --smoke`; the reviewer checklist is docs/REVIEWER_GUIDE.md.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2026-09-29T00:00:00Z</dcterms:created>
  <dcterms:modified xsi:type="dcterms:W3CDTF">2026-09-29T00:00:00Z</dcterms:modified>
  <cp:category/>
</cp:coreProperties>
</file>