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[Author names]</w:t>
      </w:r>
    </w:p>
    <w:p w14:paraId="7E1F2DDE">
      <w:pPr>
        <w:spacing w:after="0" w:line="480" w:lineRule="auto"/>
        <w:jc w:val="center"/>
      </w:pPr>
      <w:r>
        <w:rPr>
          <w:rFonts w:ascii="Times New Roman" w:cs="Times New Roman" w:eastAsia="SimSun" w:hAnsi="Times New Roman"/>
          <w:i/>
          <w:iCs/>
          <w:sz w:val="24"/>
          <w:szCs w:val="24"/>
        </w:rPr>
        <w:t>[Affiliations]</w:t>
      </w:r>
    </w:p>
    <w:p w14:paraId="4F2A2422">
      <w:pPr>
        <w:spacing w:after="0" w:line="480" w:lineRule="auto"/>
        <w:ind w:firstLine="475"/>
        <w:jc w:val="both"/>
      </w:pPr>
      <w:r>
        <w:rPr>
          <w:rFonts w:ascii="Times New Roman" w:cs="Times New Roman" w:eastAsia="SimSun" w:hAnsi="Times New Roman"/>
          <w:sz w:val="24"/>
          <w:szCs w:val="24"/>
        </w:rPr>
        <w:t>Corresponding author: [AUTHOR INPUT REQUIRED: name, affiliation and email].</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W3.8 major-revision manuscript, 2026-10-14.</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Long-read error rates are not uniform: they vary with local sequence context, including GC content. Most widely used simulators still expose error as a global process, and the metrics commonly used to compare simulators do not directly measure context-dependent error. This leaves two connected questions: whether a GC-aware model changes the local error structure, and whether the evaluation instrument can detect that change.</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with a reproducible fidelity harness. The model is evaluated with a controlled one-bin versus GC-aware ablation, a six-genome directional panel, and coverage-matched human chr21 downstream layers. GC-aware simulation moved the local GC-error curve in the expected direction for four of six genomes in both replicates; the strict cross-species gate was not met, so the cross-species result remains directional. In A. thaliana, five or more bins raised curve correlation from r = 0.779 (SD 0.062) to r &gt;= 0.960. A second, pre-specified six-seed cohort confirmed the single-species effect (mean delta r = 0.3008; 95% CI 0.1624 to 0.4391; paired t-test p = 0.0025), while the original cross-species gate remains unchanged. The harness separates read-sampling from between-window uncertainty, and process-level scaling preserves FASTQ identity while reducing wall time.</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 reproducible evaluation harness, and a process-scalable simulator. A pre-specified single-species cohort confirms the A. thaliana GC-conditioning effect, while cross-species generalization remains directional. The study shows that simulator benchmarking must align the measurement instrument with the claim and report both statistical and computational performance.</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7D88F740">
      <w:pPr>
        <w:spacing w:after="0" w:line="480" w:lineRule="auto"/>
        <w:ind w:firstLine="475"/>
        <w:jc w:val="both"/>
      </w:pPr>
      <w:r>
        <w:rPr>
          <w:rFonts w:ascii="Times New Roman" w:cs="Times New Roman" w:eastAsia="SimSun" w:hAnsi="Times New Roman"/>
          <w:sz w:val="24"/>
          <w:szCs w:val="24"/>
        </w:rPr>
        <w:t>Local GC content can influence long-read error through several routes. GC-rich or GC-poor sequence can alter the kinetics and signal characteristics of the nanopore, change the likelihood of secondary structure or stalling, and change how ambiguously a read segment aligns near repeats. These effects need not change the global error rate; they change where errors are concentrated along the reference. A simulator that matches only a global error rate can therefore look accurate on aggregate metrics while missing the local error structure that downstream mapping, variant calling and assembly actually consume.</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transformer-based signal models [7, 8], context-aware simulation for parameter optimisation [9]. These context-aware efforts establish the value of sequence context, but they do not define a GC-conditioned transition model evaluated with a GC-stratified error instrument. More rigorous long-read benchmark references are also needed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7D88F740">
      <w:pPr>
        <w:spacing w:after="0" w:line="480" w:lineRule="auto"/>
        <w:ind w:firstLine="475"/>
        <w:jc w:val="both"/>
      </w:pPr>
      <w:r>
        <w:rPr>
          <w:rFonts w:ascii="Times New Roman" w:cs="Times New Roman" w:eastAsia="SimSun" w:hAnsi="Times New Roman"/>
          <w:sz w:val="24"/>
          <w:szCs w:val="24"/>
        </w:rPr>
        <w:t>Figure 1 makes the measurement problem concrete. Panel a shows the six reference genomes and their local GC distributions; panel b shows an illustrative real-versus-simulated GC-error curve. The relevant observation is not a single average error rate but the shape of the curve across GC bins: E. coli is comparatively flat, whereas GC-heterogeneous genomes contain local error structure that a global model can miss. This contrast motivates both GC-conditioned state transitions and the GC-stratified instrument used for evaluation.</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7D88F740">
      <w:pPr>
        <w:spacing w:after="0" w:line="480" w:lineRule="auto"/>
        <w:ind w:firstLine="475"/>
        <w:jc w:val="both"/>
      </w:pPr>
      <w:r>
        <w:rPr>
          <w:rFonts w:ascii="Times New Roman" w:cs="Times New Roman" w:eastAsia="SimSun" w:hAnsi="Times New Roman"/>
          <w:sz w:val="24"/>
          <w:szCs w:val="24"/>
        </w:rPr>
        <w:t>We first define the model and the fidelity problem, then isolate GC conditioning with a one-bin control. The next analysis tests whether the effect generalises across six genomes under the pre-registered gate. We then quantify measurement uncertainty, report an independent indel ablation, compare descriptive and downstream performance with existing simulators, and close with computational scaling and the boundary of the evidence. The composite score is not used as evidence for GC conditioning.</w:t>
      </w:r>
    </w:p>
    <w:p w14:paraId="501EE450">
      <w:pPr>
        <w:pStyle w:val="Heading2"/>
        <w:spacing w:after="120" w:before="280" w:line="240" w:lineRule="auto"/>
      </w:pPr>
      <w:r>
        <w:rPr>
          <w:rFonts w:ascii="Times New Roman" w:cs="Times New Roman" w:eastAsia="SimSun" w:hAnsi="Times New Roman"/>
          <w:b/>
          <w:bCs/>
          <w:sz w:val="26"/>
          <w:szCs w:val="26"/>
        </w:rPr>
        <w:t>Model design and what the GC claim requires</w:t>
      </w:r>
    </w:p>
    <w:p w14:paraId="7D88F740">
      <w:pPr>
        <w:spacing w:after="0" w:line="480" w:lineRule="auto"/>
        <w:ind w:firstLine="475"/>
        <w:jc w:val="both"/>
      </w:pPr>
      <w:r>
        <w:rPr>
          <w:rFonts w:ascii="Times New Roman" w:cs="Times New Roman" w:eastAsia="SimSun" w:hAnsi="Times New Roman"/>
          <w:sz w:val="24"/>
          <w:szCs w:val="24"/>
        </w:rPr>
        <w:t>We begin with the model, its parameters and the property that can be measured, without comparing tools. This section states the transition model, the GC binning and the controlled contrast tested below.</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06839B6">
      <w:pPr>
        <w:pageBreakBefore/>
        <w:spacing w:after="0" w:line="480" w:lineRule="auto"/>
      </w:pPr>
      <w:r>
        <w:rPr>
          <w:rFonts w:ascii="Times New Roman" w:cs="Times New Roman" w:eastAsia="SimSun" w:hAnsi="Times New Roman"/>
          <w:sz w:val="24"/>
          <w:szCs w:val="24"/>
        </w:rPr>
        <w:t xml:space="preserve"/>
      </w:r>
    </w:p>
    <w:p w14:paraId="43E8CD64">
      <w:pPr>
        <w:pStyle w:val="Heading2"/>
        <w:spacing w:after="120" w:before="280" w:line="240" w:lineRule="auto"/>
      </w:pPr>
      <w:r>
        <w:rPr>
          <w:rFonts w:ascii="Times New Roman" w:cs="Times New Roman" w:eastAsia="SimSun" w:hAnsi="Times New Roman"/>
          <w:b/>
          <w:bCs/>
          <w:sz w:val="26"/>
          <w:szCs w:val="26"/>
        </w:rPr>
        <w:t>Controlled GC-conditioning ablation</w:t>
      </w:r>
    </w:p>
    <w:p w14:paraId="7D88F740">
      <w:pPr>
        <w:spacing w:after="0" w:line="480" w:lineRule="auto"/>
        <w:ind w:firstLine="475"/>
        <w:jc w:val="both"/>
      </w:pPr>
      <w:r>
        <w:rPr>
          <w:rFonts w:ascii="Times New Roman" w:cs="Times New Roman" w:eastAsia="SimSun" w:hAnsi="Times New Roman"/>
          <w:sz w:val="24"/>
          <w:szCs w:val="24"/>
        </w:rPr>
        <w:t>The key comparison is controlled. The one-bin and GC-aware models use the same reads, MAPQ threshold, windows and read budget; the only intentional change is whether transition matrices are conditioned on GC. The design therefore isolates the contribution of GC conditioning from every other model choice.</w:t>
      </w:r>
    </w:p>
    <w:p w14:paraId="6E209730">
      <w:pPr>
        <w:pStyle w:val="Heading3"/>
        <w:spacing w:after="120" w:before="220" w:line="240" w:lineRule="auto"/>
      </w:pPr>
      <w:r>
        <w:rPr>
          <w:rFonts w:ascii="Times New Roman" w:cs="Times New Roman" w:eastAsia="SimSun" w:hAnsi="Times New Roman"/>
          <w:b/>
          <w:bCs/>
          <w:i/>
          <w:iCs/>
          <w:sz w:val="24"/>
          <w:szCs w:val="24"/>
        </w:rPr>
        <w:t>What the two fidelity instruments measure</w:t>
      </w:r>
    </w:p>
    <w:p w14:paraId="61FBF2DC">
      <w:pPr>
        <w:spacing w:after="0" w:line="480" w:lineRule="auto"/>
        <w:ind w:firstLine="475"/>
        <w:jc w:val="both"/>
      </w:pPr>
      <w:r>
        <w:rPr>
          <w:rFonts w:ascii="Times New Roman" w:cs="Times New Roman" w:eastAsia="SimSun" w:hAnsi="Times New Roman"/>
          <w:sz w:val="24"/>
          <w:szCs w:val="24"/>
        </w:rPr>
        <w:t>The composite score aggregates read length, QV, GC content and k-mer composition. It measures marginal distributional similarity and is reported as descriptive fidelity. The GC claim uses a different measurement: the error rate of aligned bases inside 100-bp windows, grouped by local GC content and compared with the real curve by Pearson correlation and mean absolute deviation. A one-bin model cannot generate a GC-stratified profile, so its finite-sample correlation reflects global error-level alignment rather than GC-conditional capability. The pre-registered decision compares the one-bin control with the GC-aware model across bins and species.</w:t>
      </w:r>
    </w:p>
    <w:p w14:paraId="4DB9DEA4">
      <w:pPr>
        <w:pStyle w:val="Heading3"/>
        <w:spacing w:after="120" w:before="220" w:line="240" w:lineRule="auto"/>
      </w:pPr>
      <w:r>
        <w:rPr>
          <w:rFonts w:ascii="Times New Roman" w:cs="Times New Roman" w:eastAsia="SimSun" w:hAnsi="Times New Roman"/>
          <w:b/>
          <w:bCs/>
          <w:i/>
          <w:iCs/>
          <w:sz w:val="24"/>
          <w:szCs w:val="24"/>
        </w:rPr>
        <w:t>GC-stratified curve isolates the GC effect</w:t>
      </w:r>
    </w:p>
    <w:p w14:paraId="6BB2F4A8">
      <w:pPr>
        <w:spacing w:after="0" w:line="480" w:lineRule="auto"/>
        <w:ind w:firstLine="475"/>
        <w:jc w:val="both"/>
      </w:pPr>
      <w:r>
        <w:rPr>
          <w:rFonts w:ascii="Times New Roman" w:cs="Times New Roman" w:eastAsia="SimSun" w:hAnsi="Times New Roman"/>
          <w:sz w:val="24"/>
          <w:szCs w:val="24"/>
        </w:rPr>
        <w:t>On the profile-matched bin ablation, the composite score shows no separable difference across 1, 5, 10 and 20 bins in either ablation species (A. thaliana 92.6-96.6; E. coli 84.8-87.6; overlapping intervals; Fig. 9a). This is expected: none of its terms measures local GC-conditioned error. The GC-stratified curve is therefore the instrument used for the mechanism claim.</w:t>
      </w:r>
    </w:p>
    <w:p w14:paraId="460CA3EC">
      <w:pPr>
        <w:spacing w:after="0" w:line="480" w:lineRule="auto"/>
        <w:ind w:firstLine="475"/>
        <w:jc w:val="both"/>
      </w:pPr>
      <w:r>
        <w:rPr>
          <w:rFonts w:ascii="Times New Roman" w:cs="Times New Roman" w:eastAsia="SimSun" w:hAnsi="Times New Roman"/>
          <w:sz w:val="24"/>
          <w:szCs w:val="24"/>
        </w:rPr>
        <w:t>On the GC-stratified curve, the one-bin model was lower than the GC-aware configurations. In A. thaliana, curve r rose from 0.779 at one bin to at least 0.960 at five or more bins; in E. coli, the one-bin control was not the worst configuration, which is why the original two-species gate is not met. Table 5 reports the full profile-matched ablation, and the following paragraph states the scope of the independent A. thaliana cohort.</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r>
        <w:t>Confirmatory replication. In a prospectively specified cohort using three new seeds (44, 55 and 66), the A. thaliana 5-bin model showed a positive change in the GC-curve correlation over the 1-bin control (mean delta r = 0.2370; 95% CI -0.0776 to 0.5516; paired t-test p = 0.0834). Mean GC-MAD was 4.4144 percentage points for the 1-bin model and 4.4863 percentage points for the 5-bin model (delta = 0.0719 percentage points); MAD is reported descriptively and was not part of the primary replication endpoint. Across the six seeds from the discovery and replication cohorts, the mean delta r was 0.2091 (95% CI 0.1124 to 0.3057; p = 0.0026). The independent cohort was directionally positive in all three new seeds but did not meet the pre-specified p &lt; 0.05 threshold. The pooled six-seed sensitivity analysis is significant, but it is not a substitute for the independent test.</w:t>
      </w:r>
    </w:p>
    <w:p w14:paraId="7D88F740">
      <w:pPr>
        <w:spacing w:after="0" w:line="480" w:lineRule="auto"/>
        <w:ind w:firstLine="475"/>
        <w:jc w:val="both"/>
      </w:pPr>
      <w:r>
        <w:rPr>
          <w:rFonts w:ascii="Times New Roman" w:cs="Times New Roman" w:eastAsia="SimSun" w:hAnsi="Times New Roman"/>
          <w:sz w:val="24"/>
          <w:szCs w:val="24"/>
        </w:rPr>
        <w:t>Second pre-specified replication. A second independent A. thaliana cohort was fixed before running with six new seeds (77, 88, 99, 111, 122 and 133) and the same primary endpoint, the paired difference in GC-curve Pearson r between 5-bin and 1-bin models. The cohort confirmed the single-species effect (mean delta r = 0.3008; 95% CI 0.1624 to 0.4391; paired t-test p = 0.0025). The first independent cohort (seeds 44, 55 and 66) remains reported separately as directionally positive but not confirmatory (p = 0.0834). Across all 12 seeds from the discovery, first-replication and second-replication cohorts, the pooled sensitivity analysis gave mean delta r = 0.2549 (95% CI 0.1796 to 0.3302; p &lt;0.0001). The original cross-species gate is not reopened or retroactively changed. These cohorts are summarized in Table 6.</w:t>
      </w:r>
    </w:p>
    <w:p w14:paraId="7D88F740">
      <w:pPr>
        <w:spacing w:after="0" w:line="480" w:lineRule="auto"/>
        <w:ind w:firstLine="475"/>
        <w:jc w:val="both"/>
      </w:pPr>
      <w:r>
        <w:rPr>
          <w:rFonts w:ascii="Times New Roman" w:cs="Times New Roman" w:eastAsia="SimSun" w:hAnsi="Times New Roman"/>
          <w:sz w:val="24"/>
          <w:szCs w:val="24"/>
        </w:rPr>
        <w:t>Table 6. Pre-specified A. thaliana replication cohorts.</w:t>
      </w:r>
    </w:p>
    <w:tbl>
      <w:tblPr>
        <w:jc w:val="center"/>
        <w:tblLayout w:type="fixed"/>
        <w:tblLook w:firstColumn="1" w:firstRow="1" w:lastColumn="0" w:lastRow="0" w:noHBand="0" w:noVBand="1" w:val="04A0"/>
        <w:tblW w:w="9360" w:type="dxa"/>
        <w:tblInd w:w="120" w:type="dxa"/>
      </w:tblPr>
      <w:tblGrid>
        <w:gridCol w:w="1000"/>
        <w:gridCol w:w="3200"/>
        <w:gridCol w:w="450"/>
        <w:gridCol w:w="1100"/>
        <w:gridCol w:w="2400"/>
        <w:gridCol w:w="1210"/>
      </w:tblGrid>
      <w:tr>
        <w:tc>
          <w:tcPr>
            <w:tcW w:w="1000" w:type="dxa"/>
          </w:tcPr>
          <w:p>
            <w:pPr>
              <w:spacing w:before="0" w:after="0"/>
              <w:jc w:val="center"/>
            </w:pPr>
            <w:r/>
            <w:r>
              <w:rPr>
                <w:rFonts w:ascii="Times New Roman" w:hAnsi="Times New Roman"/>
                <w:b/>
                <w:sz w:val="17"/>
              </w:rPr>
              <w:t>Cohort</w:t>
            </w:r>
          </w:p>
        </w:tc>
        <w:tc>
          <w:tcPr>
            <w:tcW w:w="3200" w:type="dxa"/>
          </w:tcPr>
          <w:p>
            <w:pPr>
              <w:spacing w:before="0" w:after="0"/>
              <w:jc w:val="center"/>
            </w:pPr>
            <w:r/>
            <w:r>
              <w:rPr>
                <w:rFonts w:ascii="Times New Roman" w:hAnsi="Times New Roman"/>
                <w:b/>
                <w:sz w:val="17"/>
              </w:rPr>
              <w:t>Seeds</w:t>
            </w:r>
          </w:p>
        </w:tc>
        <w:tc>
          <w:tcPr>
            <w:tcW w:w="450" w:type="dxa"/>
          </w:tcPr>
          <w:p>
            <w:pPr>
              <w:spacing w:before="0" w:after="0"/>
              <w:jc w:val="center"/>
            </w:pPr>
            <w:r/>
            <w:r>
              <w:rPr>
                <w:rFonts w:ascii="Times New Roman" w:hAnsi="Times New Roman"/>
                <w:b/>
                <w:sz w:val="17"/>
              </w:rPr>
              <w:t>n</w:t>
            </w:r>
          </w:p>
        </w:tc>
        <w:tc>
          <w:tcPr>
            <w:tcW w:w="1100" w:type="dxa"/>
          </w:tcPr>
          <w:p>
            <w:pPr>
              <w:spacing w:before="0" w:after="0"/>
              <w:jc w:val="center"/>
            </w:pPr>
            <w:r/>
            <w:r>
              <w:rPr>
                <w:rFonts w:ascii="Times New Roman" w:hAnsi="Times New Roman"/>
                <w:b/>
                <w:sz w:val="17"/>
              </w:rPr>
              <w:t>Mean delta r</w:t>
            </w:r>
          </w:p>
        </w:tc>
        <w:tc>
          <w:tcPr>
            <w:tcW w:w="2400" w:type="dxa"/>
          </w:tcPr>
          <w:p>
            <w:pPr>
              <w:spacing w:before="0" w:after="0"/>
              <w:jc w:val="center"/>
            </w:pPr>
            <w:r/>
            <w:r>
              <w:rPr>
                <w:rFonts w:ascii="Times New Roman" w:hAnsi="Times New Roman"/>
                <w:b/>
                <w:sz w:val="17"/>
              </w:rPr>
              <w:t>95% CI</w:t>
            </w:r>
          </w:p>
        </w:tc>
        <w:tc>
          <w:tcPr>
            <w:tcW w:w="1210" w:type="dxa"/>
          </w:tcPr>
          <w:p>
            <w:pPr>
              <w:spacing w:before="0" w:after="0"/>
              <w:jc w:val="center"/>
            </w:pPr>
            <w:r/>
            <w:r>
              <w:rPr>
                <w:rFonts w:ascii="Times New Roman" w:hAnsi="Times New Roman"/>
                <w:b/>
                <w:sz w:val="17"/>
              </w:rPr>
              <w:t>p</w:t>
            </w:r>
          </w:p>
        </w:tc>
      </w:tr>
      <w:tr>
        <w:tc>
          <w:tcPr>
            <w:tcW w:w="1000" w:type="dxa"/>
          </w:tcPr>
          <w:p>
            <w:pPr>
              <w:spacing w:before="0" w:after="0"/>
              <w:jc w:val="center"/>
            </w:pPr>
            <w:r/>
            <w:r>
              <w:rPr>
                <w:rFonts w:ascii="Times New Roman" w:hAnsi="Times New Roman"/>
                <w:b w:val="0"/>
                <w:sz w:val="17"/>
              </w:rPr>
              <w:t>Discovery</w:t>
            </w:r>
          </w:p>
        </w:tc>
        <w:tc>
          <w:tcPr>
            <w:tcW w:w="3200" w:type="dxa"/>
          </w:tcPr>
          <w:p>
            <w:pPr>
              <w:spacing w:before="0" w:after="0"/>
              <w:jc w:val="center"/>
            </w:pPr>
            <w:r/>
            <w:r>
              <w:rPr>
                <w:rFonts w:ascii="Times New Roman" w:hAnsi="Times New Roman"/>
                <w:b w:val="0"/>
                <w:sz w:val="17"/>
              </w:rPr>
              <w:t>11, 22, 33</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0.1811</w:t>
            </w:r>
          </w:p>
        </w:tc>
        <w:tc>
          <w:tcPr>
            <w:tcW w:w="2400" w:type="dxa"/>
          </w:tcPr>
          <w:p>
            <w:pPr>
              <w:spacing w:before="0" w:after="0"/>
              <w:jc w:val="center"/>
            </w:pPr>
            <w:r/>
            <w:r>
              <w:rPr>
                <w:rFonts w:ascii="Times New Roman" w:hAnsi="Times New Roman"/>
                <w:b w:val="0"/>
                <w:sz w:val="17"/>
              </w:rPr>
              <w:t>[0.0492, 0.3130]</w:t>
            </w:r>
          </w:p>
        </w:tc>
        <w:tc>
          <w:tcPr>
            <w:tcW w:w="1210" w:type="dxa"/>
          </w:tcPr>
          <w:p>
            <w:pPr>
              <w:spacing w:before="0" w:after="0"/>
              <w:jc w:val="center"/>
            </w:pPr>
            <w:r/>
            <w:r>
              <w:rPr>
                <w:rFonts w:ascii="Times New Roman" w:hAnsi="Times New Roman"/>
                <w:b w:val="0"/>
                <w:sz w:val="17"/>
              </w:rPr>
              <w:t>0.0275</w:t>
            </w:r>
          </w:p>
        </w:tc>
      </w:tr>
      <w:tr>
        <w:tc>
          <w:tcPr>
            <w:tcW w:w="1000" w:type="dxa"/>
          </w:tcPr>
          <w:p>
            <w:pPr>
              <w:spacing w:before="0" w:after="0"/>
              <w:jc w:val="center"/>
            </w:pPr>
            <w:r/>
            <w:r>
              <w:rPr>
                <w:rFonts w:ascii="Times New Roman" w:hAnsi="Times New Roman"/>
                <w:b w:val="0"/>
                <w:sz w:val="17"/>
              </w:rPr>
              <w:t>First replication</w:t>
            </w:r>
          </w:p>
        </w:tc>
        <w:tc>
          <w:tcPr>
            <w:tcW w:w="3200" w:type="dxa"/>
          </w:tcPr>
          <w:p>
            <w:pPr>
              <w:spacing w:before="0" w:after="0"/>
              <w:jc w:val="center"/>
            </w:pPr>
            <w:r/>
            <w:r>
              <w:rPr>
                <w:rFonts w:ascii="Times New Roman" w:hAnsi="Times New Roman"/>
                <w:b w:val="0"/>
                <w:sz w:val="17"/>
              </w:rPr>
              <w:t>44, 55, 66</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0.2370</w:t>
            </w:r>
          </w:p>
        </w:tc>
        <w:tc>
          <w:tcPr>
            <w:tcW w:w="2400" w:type="dxa"/>
          </w:tcPr>
          <w:p>
            <w:pPr>
              <w:spacing w:before="0" w:after="0"/>
              <w:jc w:val="center"/>
            </w:pPr>
            <w:r/>
            <w:r>
              <w:rPr>
                <w:rFonts w:ascii="Times New Roman" w:hAnsi="Times New Roman"/>
                <w:b w:val="0"/>
                <w:sz w:val="17"/>
              </w:rPr>
              <w:t>[-0.0776, 0.5516]</w:t>
            </w:r>
          </w:p>
        </w:tc>
        <w:tc>
          <w:tcPr>
            <w:tcW w:w="1210" w:type="dxa"/>
          </w:tcPr>
          <w:p>
            <w:pPr>
              <w:spacing w:before="0" w:after="0"/>
              <w:jc w:val="center"/>
            </w:pPr>
            <w:r/>
            <w:r>
              <w:rPr>
                <w:rFonts w:ascii="Times New Roman" w:hAnsi="Times New Roman"/>
                <w:b w:val="0"/>
                <w:sz w:val="17"/>
              </w:rPr>
              <w:t>0.0834</w:t>
            </w:r>
          </w:p>
        </w:tc>
      </w:tr>
      <w:tr>
        <w:tc>
          <w:tcPr>
            <w:tcW w:w="1000" w:type="dxa"/>
          </w:tcPr>
          <w:p>
            <w:pPr>
              <w:spacing w:before="0" w:after="0"/>
              <w:jc w:val="center"/>
            </w:pPr>
            <w:r/>
            <w:r>
              <w:rPr>
                <w:rFonts w:ascii="Times New Roman" w:hAnsi="Times New Roman"/>
                <w:b w:val="0"/>
                <w:sz w:val="17"/>
              </w:rPr>
              <w:t>Second replication</w:t>
            </w:r>
          </w:p>
        </w:tc>
        <w:tc>
          <w:tcPr>
            <w:tcW w:w="3200" w:type="dxa"/>
          </w:tcPr>
          <w:p>
            <w:pPr>
              <w:spacing w:before="0" w:after="0"/>
              <w:jc w:val="center"/>
            </w:pPr>
            <w:r/>
            <w:r>
              <w:rPr>
                <w:rFonts w:ascii="Times New Roman" w:hAnsi="Times New Roman"/>
                <w:b w:val="0"/>
                <w:sz w:val="17"/>
              </w:rPr>
              <w:t>77, 88, 99, 111, 122, 133</w:t>
            </w:r>
          </w:p>
        </w:tc>
        <w:tc>
          <w:tcPr>
            <w:tcW w:w="450" w:type="dxa"/>
          </w:tcPr>
          <w:p>
            <w:pPr>
              <w:spacing w:before="0" w:after="0"/>
              <w:jc w:val="center"/>
            </w:pPr>
            <w:r/>
            <w:r>
              <w:rPr>
                <w:rFonts w:ascii="Times New Roman" w:hAnsi="Times New Roman"/>
                <w:b w:val="0"/>
                <w:sz w:val="17"/>
              </w:rPr>
              <w:t>6</w:t>
            </w:r>
          </w:p>
        </w:tc>
        <w:tc>
          <w:tcPr>
            <w:tcW w:w="1100" w:type="dxa"/>
          </w:tcPr>
          <w:p>
            <w:pPr>
              <w:spacing w:before="0" w:after="0"/>
              <w:jc w:val="center"/>
            </w:pPr>
            <w:r/>
            <w:r>
              <w:rPr>
                <w:rFonts w:ascii="Times New Roman" w:hAnsi="Times New Roman"/>
                <w:b w:val="0"/>
                <w:sz w:val="17"/>
              </w:rPr>
              <w:t>0.3008</w:t>
            </w:r>
          </w:p>
        </w:tc>
        <w:tc>
          <w:tcPr>
            <w:tcW w:w="2400" w:type="dxa"/>
          </w:tcPr>
          <w:p>
            <w:pPr>
              <w:spacing w:before="0" w:after="0"/>
              <w:jc w:val="center"/>
            </w:pPr>
            <w:r/>
            <w:r>
              <w:rPr>
                <w:rFonts w:ascii="Times New Roman" w:hAnsi="Times New Roman"/>
                <w:b w:val="0"/>
                <w:sz w:val="17"/>
              </w:rPr>
              <w:t>[0.1624, 0.4391]</w:t>
            </w:r>
          </w:p>
        </w:tc>
        <w:tc>
          <w:tcPr>
            <w:tcW w:w="1210" w:type="dxa"/>
          </w:tcPr>
          <w:p>
            <w:pPr>
              <w:spacing w:before="0" w:after="0"/>
              <w:jc w:val="center"/>
            </w:pPr>
            <w:r/>
            <w:r>
              <w:rPr>
                <w:rFonts w:ascii="Times New Roman" w:hAnsi="Times New Roman"/>
                <w:b w:val="0"/>
                <w:sz w:val="17"/>
              </w:rPr>
              <w:t>0.0025</w:t>
            </w:r>
          </w:p>
        </w:tc>
      </w:tr>
      <w:tr>
        <w:tc>
          <w:tcPr>
            <w:tcW w:w="1000" w:type="dxa"/>
          </w:tcPr>
          <w:p>
            <w:pPr>
              <w:spacing w:before="0" w:after="0"/>
              <w:jc w:val="center"/>
            </w:pPr>
            <w:r/>
            <w:r>
              <w:rPr>
                <w:rFonts w:ascii="Times New Roman" w:hAnsi="Times New Roman"/>
                <w:b w:val="0"/>
                <w:sz w:val="17"/>
              </w:rPr>
              <w:t>Pooled sensitivity</w:t>
            </w:r>
          </w:p>
        </w:tc>
        <w:tc>
          <w:tcPr>
            <w:tcW w:w="3200" w:type="dxa"/>
          </w:tcPr>
          <w:p>
            <w:pPr>
              <w:spacing w:before="0" w:after="0"/>
              <w:jc w:val="center"/>
            </w:pPr>
            <w:r/>
            <w:r>
              <w:rPr>
                <w:rFonts w:ascii="Times New Roman" w:hAnsi="Times New Roman"/>
                <w:b w:val="0"/>
                <w:sz w:val="17"/>
              </w:rPr>
              <w:t>11, 22, 33, 44, 55, 66, 77, 88, 99, 111, 122, 133</w:t>
            </w:r>
          </w:p>
        </w:tc>
        <w:tc>
          <w:tcPr>
            <w:tcW w:w="450" w:type="dxa"/>
          </w:tcPr>
          <w:p>
            <w:pPr>
              <w:spacing w:before="0" w:after="0"/>
              <w:jc w:val="center"/>
            </w:pPr>
            <w:r/>
            <w:r>
              <w:rPr>
                <w:rFonts w:ascii="Times New Roman" w:hAnsi="Times New Roman"/>
                <w:b w:val="0"/>
                <w:sz w:val="17"/>
              </w:rPr>
              <w:t>12</w:t>
            </w:r>
          </w:p>
        </w:tc>
        <w:tc>
          <w:tcPr>
            <w:tcW w:w="1100" w:type="dxa"/>
          </w:tcPr>
          <w:p>
            <w:pPr>
              <w:spacing w:before="0" w:after="0"/>
              <w:jc w:val="center"/>
            </w:pPr>
            <w:r/>
            <w:r>
              <w:rPr>
                <w:rFonts w:ascii="Times New Roman" w:hAnsi="Times New Roman"/>
                <w:b w:val="0"/>
                <w:sz w:val="17"/>
              </w:rPr>
              <w:t>0.2549</w:t>
            </w:r>
          </w:p>
        </w:tc>
        <w:tc>
          <w:tcPr>
            <w:tcW w:w="2400" w:type="dxa"/>
          </w:tcPr>
          <w:p>
            <w:pPr>
              <w:spacing w:before="0" w:after="0"/>
              <w:jc w:val="center"/>
            </w:pPr>
            <w:r/>
            <w:r>
              <w:rPr>
                <w:rFonts w:ascii="Times New Roman" w:hAnsi="Times New Roman"/>
                <w:b w:val="0"/>
                <w:sz w:val="17"/>
              </w:rPr>
              <w:t>[0.1796, 0.3302]</w:t>
            </w:r>
          </w:p>
        </w:tc>
        <w:tc>
          <w:tcPr>
            <w:tcW w:w="1210" w:type="dxa"/>
          </w:tcPr>
          <w:p>
            <w:pPr>
              <w:spacing w:before="0" w:after="0"/>
              <w:jc w:val="center"/>
            </w:pPr>
            <w:r/>
            <w:r>
              <w:rPr>
                <w:rFonts w:ascii="Times New Roman" w:hAnsi="Times New Roman"/>
                <w:b w:val="0"/>
                <w:sz w:val="17"/>
              </w:rPr>
              <w:t>&lt;0.0001</w:t>
            </w:r>
          </w:p>
        </w:tc>
      </w:tr>
    </w:tbl>
    <w:p w14:paraId="706839B6">
      <w:pPr>
        <w:pageBreakBefore/>
        <w:spacing w:after="0" w:line="480" w:lineRule="auto"/>
      </w:pPr>
      <w:r>
        <w:rPr>
          <w:rFonts w:ascii="Times New Roman" w:cs="Times New Roman" w:eastAsia="SimSun" w:hAnsi="Times New Roman"/>
          <w:sz w:val="24"/>
          <w:szCs w:val="24"/>
        </w:rPr>
        <w:t xml:space="preserve"/>
      </w:r>
    </w:p>
    <w:p w14:paraId="5D31563E">
      <w:pPr>
        <w:pStyle w:val="Heading3"/>
        <w:spacing w:after="120" w:before="220" w:line="240" w:lineRule="auto"/>
      </w:pPr>
      <w:r>
        <w:rPr>
          <w:rFonts w:ascii="Times New Roman" w:cs="Times New Roman" w:eastAsia="SimSun" w:hAnsi="Times New Roman"/>
          <w:b/>
          <w:bCs/>
          <w:i/>
          <w:iCs/>
          <w:sz w:val="24"/>
          <w:szCs w:val="24"/>
        </w:rPr>
        <w:t>Six-species panel and the pre-registered gate</w:t>
      </w:r>
    </w:p>
    <w:p w14:paraId="7D88F740">
      <w:pPr>
        <w:spacing w:after="0" w:line="480" w:lineRule="auto"/>
        <w:ind w:firstLine="475"/>
        <w:jc w:val="both"/>
      </w:pPr>
      <w:r>
        <w:rPr>
          <w:rFonts w:ascii="Times New Roman" w:cs="Times New Roman" w:eastAsia="SimSun" w:hAnsi="Times New Roman"/>
          <w:sz w:val="24"/>
          <w:szCs w:val="24"/>
        </w:rPr>
        <w:t>The controlled ablation establishes an effect in one structured genome. The next analysis asks whether the direction generalises across six genomes and whether it satisfies the pre-registered cross-species gate.</w:t>
      </w:r>
    </w:p>
    <w:p w14:paraId="5B1A949C">
      <w:pPr>
        <w:spacing w:after="0" w:line="480" w:lineRule="auto"/>
        <w:ind w:firstLine="475"/>
        <w:jc w:val="both"/>
      </w:pPr>
      <w:r>
        <w:rPr>
          <w:rFonts w:ascii="Times New Roman" w:cs="Times New Roman" w:eastAsia="SimSun" w:hAnsi="Times New Roman"/>
          <w:sz w:val="24"/>
          <w:szCs w:val="24"/>
        </w:rPr>
        <w:t>The six-species panel tests whether the direction from the controlled ablation generalises. The k-mer statistic is not a GC-stratified instrument: 11 of 12 route/replicate comparisons had a difference interval containing zero, and the single interval excluding zero favoured the one-bin control without reproducing. The GC-stratified curve is therefore reported separately in Table 7: the GC-aware model is directionally favoured in both replicates for four of six genomes, whereas A. thaliana and D. melanogaster are mixed. The pre-registered cross-species gate was not met, so this analysis supports directional scope, not a universal superiority claim.</w:t>
      </w:r>
    </w:p>
    <w:p w14:paraId="31BFA6C6">
      <w:pPr>
        <w:spacing w:after="0" w:line="480" w:lineRule="auto"/>
        <w:ind w:firstLine="475"/>
        <w:jc w:val="both"/>
      </w:pPr>
      <w:r>
        <w:rPr>
          <w:rFonts w:ascii="Times New Roman" w:cs="Times New Roman" w:eastAsia="SimSun" w:hAnsi="Times New Roman"/>
          <w:sz w:val="24"/>
          <w:szCs w:val="24"/>
        </w:rPr>
        <w:t>Verified against the v2 six-species panel: 4/6 genomes favour GC-aware in both replicates; the exceptions are A. thaliana and D. melanogaster.</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14:paraId="706839B6">
      <w:pPr>
        <w:pageBreakBefore/>
        <w:spacing w:after="0" w:line="480" w:lineRule="auto"/>
      </w:pPr>
      <w:r>
        <w:rPr>
          <w:rFonts w:ascii="Times New Roman" w:cs="Times New Roman" w:eastAsia="SimSun" w:hAnsi="Times New Roman"/>
          <w:sz w:val="24"/>
          <w:szCs w:val="24"/>
        </w:rPr>
        <w:t xml:space="preserve"/>
      </w:r>
    </w:p>
    <w:p w14:paraId="2CA748A4">
      <w:pPr>
        <w:pStyle w:val="Heading3"/>
        <w:spacing w:after="120" w:before="220" w:line="240" w:lineRule="auto"/>
      </w:pPr>
      <w:r>
        <w:rPr>
          <w:rFonts w:ascii="Times New Roman" w:cs="Times New Roman" w:eastAsia="SimSun" w:hAnsi="Times New Roman"/>
          <w:b/>
          <w:bCs/>
          <w:i/>
          <w:iCs/>
          <w:sz w:val="24"/>
          <w:szCs w:val="24"/>
        </w:rPr>
        <w:t>Depth, sampling and measurement floor</w:t>
      </w:r>
    </w:p>
    <w:p w14:paraId="7D88F740">
      <w:pPr>
        <w:spacing w:after="0" w:line="480" w:lineRule="auto"/>
        <w:ind w:firstLine="475"/>
        <w:jc w:val="both"/>
      </w:pPr>
      <w:r>
        <w:rPr>
          <w:rFonts w:ascii="Times New Roman" w:cs="Times New Roman" w:eastAsia="SimSun" w:hAnsi="Times New Roman"/>
          <w:sz w:val="24"/>
          <w:szCs w:val="24"/>
        </w:rPr>
        <w:t>The measured difference must be interpreted against the precision of the instrument. We separate read-sampling uncertainty from between-window structural uncertainty and state the depth at which the measurement answers an effect-size question.</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8.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14:paraId="706839B6">
      <w:pPr>
        <w:pageBreakBefore/>
        <w:spacing w:after="0" w:line="480" w:lineRule="auto"/>
      </w:pPr>
      <w:r>
        <w:rPr>
          <w:rFonts w:ascii="Times New Roman" w:cs="Times New Roman" w:eastAsia="SimSun" w:hAnsi="Times New Roman"/>
          <w:sz w:val="24"/>
          <w:szCs w:val="24"/>
        </w:rPr>
        <w:t xml:space="preserve"/>
      </w:r>
    </w:p>
    <w:p w14:paraId="7F41F470">
      <w:pPr>
        <w:pStyle w:val="Heading2"/>
        <w:spacing w:after="120" w:before="220" w:line="240" w:lineRule="auto"/>
      </w:pPr>
      <w:r>
        <w:rPr>
          <w:rFonts w:ascii="Times New Roman" w:cs="Times New Roman" w:eastAsia="SimSun" w:hAnsi="Times New Roman"/>
          <w:b/>
          <w:bCs/>
          <w:i/>
          <w:iCs/>
          <w:sz w:val="24"/>
          <w:szCs w:val="24"/>
        </w:rPr>
        <w:t>Independent model ablation: length-aware indel encoding</w:t>
      </w:r>
    </w:p>
    <w:p w14:paraId="7D88F740">
      <w:pPr>
        <w:spacing w:after="0" w:line="480" w:lineRule="auto"/>
        <w:ind w:firstLine="475"/>
        <w:jc w:val="both"/>
      </w:pPr>
      <w:r>
        <w:rPr>
          <w:rFonts w:ascii="Times New Roman" w:cs="Times New Roman" w:eastAsia="SimSun" w:hAnsi="Times New Roman"/>
          <w:sz w:val="24"/>
          <w:szCs w:val="24"/>
        </w:rPr>
        <w:t>The GC comparison is not affected by this ablation. It asks whether the run-length state space removes a structural insertion-length bias while leaving the GC comparison intact.</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706839B6">
      <w:pPr>
        <w:pageBreakBefore/>
        <w:spacing w:after="0" w:line="480" w:lineRule="auto"/>
      </w:pPr>
      <w:r>
        <w:rPr>
          <w:rFonts w:ascii="Times New Roman" w:cs="Times New Roman" w:eastAsia="SimSun" w:hAnsi="Times New Roman"/>
          <w:sz w:val="24"/>
          <w:szCs w:val="24"/>
        </w:rPr>
        <w:t xml:space="preserve"/>
      </w:r>
    </w:p>
    <w:p w14:paraId="6E7E151C">
      <w:pPr>
        <w:pStyle w:val="Heading2"/>
        <w:spacing w:after="120" w:before="280" w:line="240" w:lineRule="auto"/>
      </w:pPr>
      <w:r>
        <w:rPr>
          <w:rFonts w:ascii="Times New Roman" w:cs="Times New Roman" w:eastAsia="SimSun" w:hAnsi="Times New Roman"/>
          <w:b/>
          <w:bCs/>
          <w:sz w:val="26"/>
          <w:szCs w:val="26"/>
        </w:rPr>
        <w:t>Descriptive fidelity relative to existing simulators</w:t>
      </w:r>
    </w:p>
    <w:p w14:paraId="7D88F740">
      <w:pPr>
        <w:spacing w:after="0" w:line="480" w:lineRule="auto"/>
        <w:ind w:firstLine="475"/>
        <w:jc w:val="both"/>
      </w:pPr>
      <w:r>
        <w:rPr>
          <w:rFonts w:ascii="Times New Roman" w:cs="Times New Roman" w:eastAsia="SimSun" w:hAnsi="Times New Roman"/>
          <w:sz w:val="24"/>
          <w:szCs w:val="24"/>
        </w:rPr>
        <w:t xml:space="preserve"> We next ask a comparative question: on descriptive and downstream endpoints, how does GCerrHMM sit relative to existing simulators? These metrics are reported as fidelity summaries; they do not substitute for the GC-stratified instrument.</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 As a single-variable ablation, the length-aware indel encoding improves GCerrHMM's composite on E. coli from 83.5 to 87.6, driven by a 16-point gain in the k-mer sub-score.</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14:paraId="2B21C4E4">
      <w:pPr>
        <w:spacing w:after="0" w:line="480" w:lineRule="auto"/>
        <w:ind w:firstLine="475"/>
        <w:jc w:val="both"/>
      </w:pPr>
      <w:r>
        <w:rPr>
          <w:rFonts w:ascii="Times New Roman" w:cs="Times New Roman" w:eastAsia="SimSun" w:hAnsi="Times New Roman"/>
          <w:sz w:val="24"/>
          <w:szCs w:val="24"/>
          <w:shd w:fill="FFF2CC" w:val="clear"/>
        </w:rPr>
        <w:t>See Table 2.</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14:paraId="43E696F8">
      <w:pPr>
        <w:spacing w:after="0" w:line="480" w:lineRule="auto"/>
        <w:ind w:firstLine="475"/>
        <w:jc w:val="both"/>
      </w:pPr>
      <w:r>
        <w:rPr>
          <w:rFonts w:ascii="Times New Roman" w:cs="Times New Roman" w:eastAsia="SimSun" w:hAnsi="Times New Roman"/>
          <w:sz w:val="24"/>
          <w:szCs w:val="24"/>
          <w:shd w:fill="FFF2CC" w:val="clear"/>
        </w:rPr>
        <w:t>See Table 4.</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Computational performance and scaling</w:t>
      </w:r>
    </w:p>
    <w:p>
      <w:pPr>
        <w:spacing w:line="480" w:lineRule="auto" w:after="0"/>
      </w:pPr>
      <w:r>
        <w:rPr>
          <w:b/>
          <w:i w:val="0"/>
          <w:sz w:val="18"/>
        </w:rPr>
        <w:t>Table 9. Computational resource benchmark on the E. coli reference and real ONT alignment.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c>
          <w:tcPr>
            <w:tcW w:type="dxa" w:w="2088"/>
          </w:tcPr>
          <w:p>
            <w:pPr>
              <w:jc w:val="center"/>
            </w:pPr>
            <w:r/>
            <w:r>
              <w:rPr>
                <w:rFonts w:ascii="Times New Roman" w:hAnsi="Times New Roman"/>
                <w:b/>
                <w:sz w:val="18"/>
              </w:rPr>
              <w:t>Stage</w:t>
            </w:r>
          </w:p>
        </w:tc>
        <w:tc>
          <w:tcPr>
            <w:tcW w:type="dxa" w:w="936"/>
          </w:tcPr>
          <w:p>
            <w:pPr>
              <w:jc w:val="center"/>
            </w:pPr>
            <w:r/>
            <w:r>
              <w:rPr>
                <w:rFonts w:ascii="Times New Roman" w:hAnsi="Times New Roman"/>
                <w:b/>
                <w:sz w:val="18"/>
              </w:rPr>
              <w:t>Workers</w:t>
            </w:r>
          </w:p>
        </w:tc>
        <w:tc>
          <w:tcPr>
            <w:tcW w:type="dxa" w:w="1512"/>
          </w:tcPr>
          <w:p>
            <w:pPr>
              <w:jc w:val="center"/>
            </w:pPr>
            <w:r/>
            <w:r>
              <w:rPr>
                <w:rFonts w:ascii="Times New Roman" w:hAnsi="Times New Roman"/>
                <w:b/>
                <w:sz w:val="18"/>
              </w:rPr>
              <w:t>Wall time (s)</w:t>
            </w:r>
          </w:p>
        </w:tc>
        <w:tc>
          <w:tcPr>
            <w:tcW w:type="dxa" w:w="1512"/>
          </w:tcPr>
          <w:p>
            <w:pPr>
              <w:jc w:val="center"/>
            </w:pPr>
            <w:r/>
            <w:r>
              <w:rPr>
                <w:rFonts w:ascii="Times New Roman" w:hAnsi="Times New Roman"/>
                <w:b/>
                <w:sz w:val="18"/>
              </w:rPr>
              <w:t>Peak RSS (MB)</w:t>
            </w:r>
          </w:p>
        </w:tc>
        <w:tc>
          <w:tcPr>
            <w:tcW w:type="dxa" w:w="1440"/>
          </w:tcPr>
          <w:p>
            <w:pPr>
              <w:jc w:val="center"/>
            </w:pPr>
            <w:r/>
            <w:r>
              <w:rPr>
                <w:rFonts w:ascii="Times New Roman" w:hAnsi="Times New Roman"/>
                <w:b/>
                <w:sz w:val="18"/>
              </w:rPr>
              <w:t>Reads/s</w:t>
            </w:r>
          </w:p>
        </w:tc>
        <w:tc>
          <w:tcPr>
            <w:tcW w:type="dxa" w:w="1152"/>
          </w:tcPr>
          <w:p>
            <w:pPr>
              <w:jc w:val="center"/>
            </w:pPr>
            <w:r/>
            <w:r>
              <w:rPr>
                <w:rFonts w:ascii="Times New Roman" w:hAnsi="Times New Roman"/>
                <w:b/>
                <w:sz w:val="18"/>
              </w:rPr>
              <w:t>Speedup</w:t>
            </w:r>
          </w:p>
        </w:tc>
      </w:tr>
      <w:tr>
        <w:tc>
          <w:tcPr>
            <w:tcW w:type="dxa" w:w="2088"/>
          </w:tcPr>
          <w:p>
            <w:pPr>
              <w:jc w:val="center"/>
            </w:pPr>
            <w:r/>
            <w:r>
              <w:rPr>
                <w:rFonts w:ascii="Times New Roman" w:hAnsi="Times New Roman"/>
                <w:b w:val="0"/>
                <w:sz w:val="18"/>
              </w:rPr>
              <w:t>Train GC-HMM</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88.12</w:t>
            </w:r>
          </w:p>
        </w:tc>
        <w:tc>
          <w:tcPr>
            <w:tcW w:type="dxa" w:w="1512"/>
          </w:tcPr>
          <w:p>
            <w:pPr>
              <w:jc w:val="center"/>
            </w:pPr>
            <w:r/>
            <w:r>
              <w:rPr>
                <w:rFonts w:ascii="Times New Roman" w:hAnsi="Times New Roman"/>
                <w:b w:val="0"/>
                <w:sz w:val="18"/>
              </w:rPr>
              <w:t>72.7</w:t>
            </w:r>
          </w:p>
        </w:tc>
        <w:tc>
          <w:tcPr>
            <w:tcW w:type="dxa" w:w="1440"/>
          </w:tcPr>
          <w:p>
            <w:pPr>
              <w:jc w:val="center"/>
            </w:pPr>
            <w:r/>
            <w:r>
              <w:rPr>
                <w:rFonts w:ascii="Times New Roman" w:hAnsi="Times New Roman"/>
                <w:b w:val="0"/>
                <w:sz w:val="18"/>
              </w:rPr>
              <w:t>-</w:t>
            </w:r>
          </w:p>
        </w:tc>
        <w:tc>
          <w:tcPr>
            <w:tcW w:type="dxa" w:w="1152"/>
          </w:tcPr>
          <w:p>
            <w:pPr>
              <w:jc w:val="center"/>
            </w:pPr>
            <w:r/>
            <w:r>
              <w:rPr>
                <w:rFonts w:ascii="Times New Roman" w:hAnsi="Times New Roman"/>
                <w:b w:val="0"/>
                <w:sz w:val="18"/>
              </w:rPr>
              <w:t>-</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29.56</w:t>
            </w:r>
          </w:p>
        </w:tc>
        <w:tc>
          <w:tcPr>
            <w:tcW w:type="dxa" w:w="1512"/>
          </w:tcPr>
          <w:p>
            <w:pPr>
              <w:jc w:val="center"/>
            </w:pPr>
            <w:r/>
            <w:r>
              <w:rPr>
                <w:rFonts w:ascii="Times New Roman" w:hAnsi="Times New Roman"/>
                <w:b w:val="0"/>
                <w:sz w:val="18"/>
              </w:rPr>
              <w:t>106.7</w:t>
            </w:r>
          </w:p>
        </w:tc>
        <w:tc>
          <w:tcPr>
            <w:tcW w:type="dxa" w:w="1440"/>
          </w:tcPr>
          <w:p>
            <w:pPr>
              <w:jc w:val="center"/>
            </w:pPr>
            <w:r/>
            <w:r>
              <w:rPr>
                <w:rFonts w:ascii="Times New Roman" w:hAnsi="Times New Roman"/>
                <w:b w:val="0"/>
                <w:sz w:val="18"/>
              </w:rPr>
              <w:t>157.8</w:t>
            </w:r>
          </w:p>
        </w:tc>
        <w:tc>
          <w:tcPr>
            <w:tcW w:type="dxa" w:w="1152"/>
          </w:tcPr>
          <w:p>
            <w:pPr>
              <w:jc w:val="center"/>
            </w:pPr>
            <w:r/>
            <w:r>
              <w:rPr>
                <w:rFonts w:ascii="Times New Roman" w:hAnsi="Times New Roman"/>
                <w:b w:val="0"/>
                <w:sz w:val="18"/>
              </w:rPr>
              <w:t>1.00x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2</w:t>
            </w:r>
          </w:p>
        </w:tc>
        <w:tc>
          <w:tcPr>
            <w:tcW w:type="dxa" w:w="1512"/>
          </w:tcPr>
          <w:p>
            <w:pPr>
              <w:jc w:val="center"/>
            </w:pPr>
            <w:r/>
            <w:r>
              <w:rPr>
                <w:rFonts w:ascii="Times New Roman" w:hAnsi="Times New Roman"/>
                <w:b w:val="0"/>
                <w:sz w:val="18"/>
              </w:rPr>
              <w:t>17.11</w:t>
            </w:r>
          </w:p>
        </w:tc>
        <w:tc>
          <w:tcPr>
            <w:tcW w:type="dxa" w:w="1512"/>
          </w:tcPr>
          <w:p>
            <w:pPr>
              <w:jc w:val="center"/>
            </w:pPr>
            <w:r/>
            <w:r>
              <w:rPr>
                <w:rFonts w:ascii="Times New Roman" w:hAnsi="Times New Roman"/>
                <w:b w:val="0"/>
                <w:sz w:val="18"/>
              </w:rPr>
              <w:t>122.4</w:t>
            </w:r>
          </w:p>
        </w:tc>
        <w:tc>
          <w:tcPr>
            <w:tcW w:type="dxa" w:w="1440"/>
          </w:tcPr>
          <w:p>
            <w:pPr>
              <w:jc w:val="center"/>
            </w:pPr>
            <w:r/>
            <w:r>
              <w:rPr>
                <w:rFonts w:ascii="Times New Roman" w:hAnsi="Times New Roman"/>
                <w:b w:val="0"/>
                <w:sz w:val="18"/>
              </w:rPr>
              <w:t>272.6</w:t>
            </w:r>
          </w:p>
        </w:tc>
        <w:tc>
          <w:tcPr>
            <w:tcW w:type="dxa" w:w="1152"/>
          </w:tcPr>
          <w:p>
            <w:pPr>
              <w:jc w:val="center"/>
            </w:pPr>
            <w:r/>
            <w:r>
              <w:rPr>
                <w:rFonts w:ascii="Times New Roman" w:hAnsi="Times New Roman"/>
                <w:b w:val="0"/>
                <w:sz w:val="18"/>
              </w:rPr>
              <w:t>1.73x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4</w:t>
            </w:r>
          </w:p>
        </w:tc>
        <w:tc>
          <w:tcPr>
            <w:tcW w:type="dxa" w:w="1512"/>
          </w:tcPr>
          <w:p>
            <w:pPr>
              <w:jc w:val="center"/>
            </w:pPr>
            <w:r/>
            <w:r>
              <w:rPr>
                <w:rFonts w:ascii="Times New Roman" w:hAnsi="Times New Roman"/>
                <w:b w:val="0"/>
                <w:sz w:val="18"/>
              </w:rPr>
              <w:t>10.64</w:t>
            </w:r>
          </w:p>
        </w:tc>
        <w:tc>
          <w:tcPr>
            <w:tcW w:type="dxa" w:w="1512"/>
          </w:tcPr>
          <w:p>
            <w:pPr>
              <w:jc w:val="center"/>
            </w:pPr>
            <w:r/>
            <w:r>
              <w:rPr>
                <w:rFonts w:ascii="Times New Roman" w:hAnsi="Times New Roman"/>
                <w:b w:val="0"/>
                <w:sz w:val="18"/>
              </w:rPr>
              <w:t>123.0</w:t>
            </w:r>
          </w:p>
        </w:tc>
        <w:tc>
          <w:tcPr>
            <w:tcW w:type="dxa" w:w="1440"/>
          </w:tcPr>
          <w:p>
            <w:pPr>
              <w:jc w:val="center"/>
            </w:pPr>
            <w:r/>
            <w:r>
              <w:rPr>
                <w:rFonts w:ascii="Times New Roman" w:hAnsi="Times New Roman"/>
                <w:b w:val="0"/>
                <w:sz w:val="18"/>
              </w:rPr>
              <w:t>438.4</w:t>
            </w:r>
          </w:p>
        </w:tc>
        <w:tc>
          <w:tcPr>
            <w:tcW w:type="dxa" w:w="1152"/>
          </w:tcPr>
          <w:p>
            <w:pPr>
              <w:jc w:val="center"/>
            </w:pPr>
            <w:r/>
            <w:r>
              <w:rPr>
                <w:rFonts w:ascii="Times New Roman" w:hAnsi="Times New Roman"/>
                <w:b w:val="0"/>
                <w:sz w:val="18"/>
              </w:rPr>
              <w:t>2.78x</w:t>
            </w:r>
          </w:p>
        </w:tc>
      </w:tr>
    </w:tbl>
    <w:p w14:paraId="7D88F740">
      <w:pPr>
        <w:spacing w:after="0" w:line="480" w:lineRule="auto"/>
        <w:ind w:firstLine="475"/>
        <w:jc w:val="both"/>
      </w:pPr>
      <w:r>
        <w:rPr>
          <w:rFonts w:ascii="Times New Roman" w:cs="Times New Roman" w:eastAsia="SimSun" w:hAnsi="Times New Roman"/>
          <w:sz w:val="24"/>
          <w:szCs w:val="24"/>
        </w:rPr>
        <w:t>Table 9 reports the measured resource profile. Training the 10-bin E. coli model took 88.12 s and used 72.7 MB peak RSS. At 10x coverage, simulation time fell from 29.56 s with one worker to 10.64 s with four workers (2.78x), while the generated FASTQ was SHA-256-identical across one-, two- and four-worker runs. The generator therefore provides practical process-level scaling without changing the simulated read set.</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Summary of evidence and scope</w:t>
      </w:r>
    </w:p>
    <w:p w14:paraId="7D88F740">
      <w:pPr>
        <w:spacing w:after="0" w:line="480" w:lineRule="auto"/>
        <w:ind w:firstLine="475"/>
        <w:jc w:val="both"/>
      </w:pPr>
      <w:r>
        <w:rPr>
          <w:rFonts w:ascii="Times New Roman" w:cs="Times New Roman" w:eastAsia="SimSun" w:hAnsi="Times New Roman"/>
          <w:sz w:val="24"/>
          <w:szCs w:val="24"/>
        </w:rPr>
        <w:t>Together, these results support a species-dependent, directional GC-conditional effect rather than universal superiority on every metric. The strongest controlled result is the A. thaliana 1-bin versus 5-bin comparison; the six-genome panel is reported as directional because the strict pre-registered gate was not met; and the human chr21 downstream ranks show consistency with a real anchor rather than universal performance. The computational table separates this claim structure from practical feasibility: the simulator scales at the worker level while preserving deterministic output.</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supports a boundary hypothesis: the strongest positive case was H. sapiens chr21; A. thaliana was mixed across the discovery route panel, and the 1-bin versus 5-bin contrast was confirmed in a second pre-specified six-seed cohort; D. melanogaster remained mixed. The pre-registered directional gate still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Matching measurements to the stated claim</w:t>
      </w:r>
    </w:p>
    <w:p w14:paraId="19D5D576">
      <w:pPr>
        <w:spacing w:after="0" w:line="480" w:lineRule="auto"/>
        <w:ind w:firstLine="475"/>
        <w:jc w:val="both"/>
      </w:pPr>
      <w:r>
        <w:rPr>
          <w:rFonts w:ascii="Times New Roman" w:cs="Times New Roman" w:eastAsia="SimSun" w:hAnsi="Times New Roman"/>
          <w:sz w:val="24"/>
          <w:szCs w:val="24"/>
        </w:rPr>
        <w:t>The composite score measures marginal distributional similarity, not GC-conditioned error. Because none of its terms is a function of local GC content, no configuration of a GC-aware model can move it through the GC mechanism; indeed, the bin ablation leaves the composite flat while the stratified instrument changes. We therefore report the composite as a descriptive summary and reserve the GC-stratified error curve, with explicit intervals, for the GC claim. The same discipline resolves an apparent contradiction in the depth analysis: read-sampling spread shrinks with depth while the between-window bootstrap does not, and only the former is a power statement.</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Context-aware simulation has also been explored for mapping-parameter optimisation [9], and a 2026 benchmark showed that existing simulators do not reproduce every context-dependent error pattern [11]. GCerrHMM differs in mechanism and evaluation: local GC content selects the transition matrix used during generation, and the effect is scored by a GC-stratified error curve rather than by a global aggregate score.</w:t>
      </w:r>
    </w:p>
    <w:p>
      <w:pPr>
        <w:spacing w:line="480" w:lineRule="auto" w:after="0"/>
      </w:pPr>
      <w:r>
        <w:rPr>
          <w:b/>
          <w:i w:val="0"/>
          <w:sz w:val="18"/>
        </w:rPr>
        <w:t>Table 10. Relationship to representative long-read simulators.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1837"/>
        <w:gridCol w:w="1837"/>
        <w:gridCol w:w="1837"/>
        <w:gridCol w:w="1837"/>
      </w:tblGrid>
      <w:tr>
        <w:trPr>
          <w:tblHeader w:val="true"/>
        </w:trPr>
        <w:tc>
          <w:tcPr>
            <w:tcW w:type="dxa" w:w="1296"/>
          </w:tcPr>
          <w:p>
            <w:pPr>
              <w:spacing w:line="240" w:lineRule="auto" w:after="0"/>
            </w:pPr>
            <w:r>
              <w:t>Tool</w:t>
            </w:r>
            <w:r>
              <w:rPr>
                <w:b/>
                <w:sz w:val="15"/>
              </w:rPr>
            </w:r>
          </w:p>
        </w:tc>
        <w:tc>
          <w:tcPr>
            <w:tcW w:type="dxa" w:w="2880"/>
          </w:tcPr>
          <w:p>
            <w:pPr>
              <w:spacing w:line="240" w:lineRule="auto" w:after="0"/>
            </w:pPr>
            <w:r>
              <w:t>Primary model</w:t>
            </w:r>
            <w:r>
              <w:rPr>
                <w:b/>
                <w:sz w:val="15"/>
              </w:rPr>
            </w:r>
          </w:p>
        </w:tc>
        <w:tc>
          <w:tcPr>
            <w:tcW w:type="dxa" w:w="1728"/>
          </w:tcPr>
          <w:p>
            <w:pPr>
              <w:spacing w:line="240" w:lineRule="auto" w:after="0"/>
            </w:pPr>
            <w:r>
              <w:t>Local context</w:t>
            </w:r>
            <w:r>
              <w:rPr>
                <w:b/>
                <w:sz w:val="15"/>
              </w:rPr>
            </w:r>
          </w:p>
        </w:tc>
        <w:tc>
          <w:tcPr>
            <w:tcW w:type="dxa" w:w="1944"/>
          </w:tcPr>
          <w:p>
            <w:pPr>
              <w:spacing w:line="240" w:lineRule="auto" w:after="0"/>
            </w:pPr>
            <w:r>
              <w:t>Evaluation emphasis</w:t>
            </w:r>
            <w:r>
              <w:rPr>
                <w:b/>
                <w:sz w:val="15"/>
              </w:rPr>
            </w:r>
          </w:p>
        </w:tc>
        <w:tc>
          <w:tcPr>
            <w:tcW w:type="dxa" w:w="2880"/>
          </w:tcPr>
          <w:p>
            <w:pPr>
              <w:spacing w:line="240" w:lineRule="auto" w:after="0"/>
            </w:pPr>
            <w:r>
              <w:t>Relationship to this study</w:t>
            </w:r>
            <w:r>
              <w:rPr>
                <w:b/>
                <w:sz w:val="15"/>
              </w:rPr>
            </w:r>
          </w:p>
        </w:tc>
      </w:tr>
      <w:tr>
        <w:tc>
          <w:tcPr>
            <w:tcW w:type="dxa" w:w="1296"/>
          </w:tcPr>
          <w:p>
            <w:pPr>
              <w:spacing w:line="240" w:lineRule="auto" w:after="0"/>
            </w:pPr>
            <w:r>
              <w:t>NanoSim [1]</w:t>
            </w:r>
            <w:r>
              <w:rPr>
                <w:b w:val="0"/>
                <w:sz w:val="15"/>
              </w:rPr>
            </w:r>
          </w:p>
        </w:tc>
        <w:tc>
          <w:tcPr>
            <w:tcW w:type="dxa" w:w="2880"/>
          </w:tcPr>
          <w:p>
            <w:pPr>
              <w:spacing w:line="240" w:lineRule="auto" w:after="0"/>
            </w:pPr>
            <w:r>
              <w:t>Alignment-derived error profiles and Markov chain</w:t>
            </w:r>
            <w:r>
              <w:rPr>
                <w:b w:val="0"/>
                <w:sz w:val="15"/>
              </w:rPr>
            </w:r>
          </w:p>
        </w:tc>
        <w:tc>
          <w:tcPr>
            <w:tcW w:type="dxa" w:w="1728"/>
          </w:tcPr>
          <w:p>
            <w:pPr>
              <w:spacing w:line="240" w:lineRule="auto" w:after="0"/>
            </w:pPr>
            <w:r>
              <w:t>Read/alignment profile</w:t>
            </w:r>
            <w:r>
              <w:rPr>
                <w:b w:val="0"/>
                <w:sz w:val="15"/>
              </w:rPr>
            </w:r>
          </w:p>
        </w:tc>
        <w:tc>
          <w:tcPr>
            <w:tcW w:type="dxa" w:w="1944"/>
          </w:tcPr>
          <w:p>
            <w:pPr>
              <w:spacing w:line="240" w:lineRule="auto" w:after="0"/>
            </w:pPr>
            <w:r>
              <w:t>Read composition and alignment</w:t>
            </w:r>
            <w:r>
              <w:rPr>
                <w:b w:val="0"/>
                <w:sz w:val="15"/>
              </w:rPr>
            </w:r>
          </w:p>
        </w:tc>
        <w:tc>
          <w:tcPr>
            <w:tcW w:type="dxa" w:w="2880"/>
          </w:tcPr>
          <w:p>
            <w:pPr>
              <w:spacing w:line="240" w:lineRule="auto" w:after="0"/>
            </w:pPr>
            <w:r>
              <w:t>External baseline; no explicit GC-conditioned transition state</w:t>
            </w:r>
            <w:r>
              <w:rPr>
                <w:b w:val="0"/>
                <w:sz w:val="15"/>
              </w:rPr>
            </w:r>
          </w:p>
        </w:tc>
      </w:tr>
      <w:tr>
        <w:tc>
          <w:tcPr>
            <w:tcW w:type="dxa" w:w="1296"/>
          </w:tcPr>
          <w:p>
            <w:pPr>
              <w:spacing w:line="240" w:lineRule="auto" w:after="0"/>
            </w:pPr>
            <w:r>
              <w:t>PBSim3 [2]</w:t>
            </w:r>
            <w:r>
              <w:rPr>
                <w:b w:val="0"/>
                <w:sz w:val="15"/>
              </w:rPr>
            </w:r>
          </w:p>
        </w:tc>
        <w:tc>
          <w:tcPr>
            <w:tcW w:type="dxa" w:w="2880"/>
          </w:tcPr>
          <w:p>
            <w:pPr>
              <w:spacing w:line="240" w:lineRule="auto" w:after="0"/>
            </w:pPr>
            <w:r>
              <w:t>HMM error model</w:t>
            </w:r>
            <w:r>
              <w:rPr>
                <w:b w:val="0"/>
                <w:sz w:val="15"/>
              </w:rPr>
            </w:r>
          </w:p>
        </w:tc>
        <w:tc>
          <w:tcPr>
            <w:tcW w:type="dxa" w:w="1728"/>
          </w:tcPr>
          <w:p>
            <w:pPr>
              <w:spacing w:line="240" w:lineRule="auto" w:after="0"/>
            </w:pPr>
            <w:r>
              <w:t>Platform/error profile</w:t>
            </w:r>
            <w:r>
              <w:rPr>
                <w:b w:val="0"/>
                <w:sz w:val="15"/>
              </w:rPr>
            </w:r>
          </w:p>
        </w:tc>
        <w:tc>
          <w:tcPr>
            <w:tcW w:type="dxa" w:w="1944"/>
          </w:tcPr>
          <w:p>
            <w:pPr>
              <w:spacing w:line="240" w:lineRule="auto" w:after="0"/>
            </w:pPr>
            <w:r>
              <w:t>Quality and error profiles</w:t>
            </w:r>
            <w:r>
              <w:rPr>
                <w:b w:val="0"/>
                <w:sz w:val="15"/>
              </w:rPr>
            </w:r>
          </w:p>
        </w:tc>
        <w:tc>
          <w:tcPr>
            <w:tcW w:type="dxa" w:w="2880"/>
          </w:tcPr>
          <w:p>
            <w:pPr>
              <w:spacing w:line="240" w:lineRule="auto" w:after="0"/>
            </w:pPr>
            <w:r>
              <w:t>External baseline; multi-platform capability</w:t>
            </w:r>
            <w:r>
              <w:rPr>
                <w:b w:val="0"/>
                <w:sz w:val="15"/>
              </w:rPr>
            </w:r>
          </w:p>
        </w:tc>
      </w:tr>
      <w:tr>
        <w:tc>
          <w:tcPr>
            <w:tcW w:type="dxa" w:w="1296"/>
          </w:tcPr>
          <w:p>
            <w:pPr>
              <w:spacing w:line="240" w:lineRule="auto" w:after="0"/>
            </w:pPr>
            <w:r>
              <w:t>NPBSS [3]</w:t>
            </w:r>
            <w:r>
              <w:rPr>
                <w:b w:val="0"/>
                <w:sz w:val="15"/>
              </w:rPr>
            </w:r>
          </w:p>
        </w:tc>
        <w:tc>
          <w:tcPr>
            <w:tcW w:type="dxa" w:w="2880"/>
          </w:tcPr>
          <w:p>
            <w:pPr>
              <w:spacing w:line="240" w:lineRule="auto" w:after="0"/>
            </w:pPr>
            <w:r>
              <w:t>Empirical error and quality model</w:t>
            </w:r>
            <w:r>
              <w:rPr>
                <w:b w:val="0"/>
                <w:sz w:val="15"/>
              </w:rPr>
            </w:r>
          </w:p>
        </w:tc>
        <w:tc>
          <w:tcPr>
            <w:tcW w:type="dxa" w:w="1728"/>
          </w:tcPr>
          <w:p>
            <w:pPr>
              <w:spacing w:line="240" w:lineRule="auto" w:after="0"/>
            </w:pPr>
            <w:r>
              <w:t>Read/error profile</w:t>
            </w:r>
            <w:r>
              <w:rPr>
                <w:b w:val="0"/>
                <w:sz w:val="15"/>
              </w:rPr>
            </w:r>
          </w:p>
        </w:tc>
        <w:tc>
          <w:tcPr>
            <w:tcW w:type="dxa" w:w="1944"/>
          </w:tcPr>
          <w:p>
            <w:pPr>
              <w:spacing w:line="240" w:lineRule="auto" w:after="0"/>
            </w:pPr>
            <w:r>
              <w:t>Error-QV and assembly</w:t>
            </w:r>
            <w:r>
              <w:rPr>
                <w:b w:val="0"/>
                <w:sz w:val="15"/>
              </w:rPr>
            </w:r>
          </w:p>
        </w:tc>
        <w:tc>
          <w:tcPr>
            <w:tcW w:type="dxa" w:w="2880"/>
          </w:tcPr>
          <w:p>
            <w:pPr>
              <w:spacing w:line="240" w:lineRule="auto" w:after="0"/>
            </w:pPr>
            <w:r>
              <w:t>Methodological comparator for empirical simulation</w:t>
            </w:r>
            <w:r>
              <w:rPr>
                <w:b w:val="0"/>
                <w:sz w:val="15"/>
              </w:rPr>
            </w:r>
          </w:p>
        </w:tc>
      </w:tr>
      <w:tr>
        <w:tc>
          <w:tcPr>
            <w:tcW w:type="dxa" w:w="1296"/>
          </w:tcPr>
          <w:p>
            <w:pPr>
              <w:spacing w:line="240" w:lineRule="auto" w:after="0"/>
            </w:pPr>
            <w:r>
              <w:t>GCerrHMM</w:t>
            </w:r>
            <w:r>
              <w:rPr>
                <w:b w:val="0"/>
                <w:sz w:val="15"/>
              </w:rPr>
            </w:r>
          </w:p>
        </w:tc>
        <w:tc>
          <w:tcPr>
            <w:tcW w:type="dxa" w:w="2880"/>
          </w:tcPr>
          <w:p>
            <w:pPr>
              <w:spacing w:line="240" w:lineRule="auto" w:after="0"/>
            </w:pPr>
            <w:r>
              <w:t>GC-aware error HMM with run-length indel states</w:t>
            </w:r>
            <w:r>
              <w:rPr>
                <w:b w:val="0"/>
                <w:sz w:val="15"/>
              </w:rPr>
            </w:r>
          </w:p>
        </w:tc>
        <w:tc>
          <w:tcPr>
            <w:tcW w:type="dxa" w:w="1728"/>
          </w:tcPr>
          <w:p>
            <w:pPr>
              <w:spacing w:line="240" w:lineRule="auto" w:after="0"/>
            </w:pPr>
            <w:r>
              <w:t>100-bp reference window and GC bin</w:t>
            </w:r>
            <w:r>
              <w:rPr>
                <w:b w:val="0"/>
                <w:sz w:val="15"/>
              </w:rPr>
            </w:r>
          </w:p>
        </w:tc>
        <w:tc>
          <w:tcPr>
            <w:tcW w:type="dxa" w:w="1944"/>
          </w:tcPr>
          <w:p>
            <w:pPr>
              <w:spacing w:line="240" w:lineRule="auto" w:after="0"/>
            </w:pPr>
            <w:r>
              <w:t>GC-curve fidelity and delta-to-real</w:t>
            </w:r>
            <w:r>
              <w:rPr>
                <w:b w:val="0"/>
                <w:sz w:val="15"/>
              </w:rPr>
            </w:r>
          </w:p>
        </w:tc>
        <w:tc>
          <w:tcPr>
            <w:tcW w:type="dxa" w:w="2880"/>
          </w:tcPr>
          <w:p>
            <w:pPr>
              <w:spacing w:line="240" w:lineRule="auto" w:after="0"/>
            </w:pPr>
            <w:r>
              <w:t>Models the GC-dependent error structure explicitly</w:t>
            </w:r>
            <w:r>
              <w:rPr>
                <w:b w:val="0"/>
                <w:sz w:val="15"/>
              </w:rPr>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cross-species GC-conditional effect remains directional evidence with effect sizes across 10-30x. The second pre-specified A. thaliana 1-bin versus 5-bin cohort was confirmed, while the first independent cohort was directionally positive but not confirmatory and the original cross-species gate remains unmet.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 An independent A. thaliana cohort was directionally positive in all three new seeds but did not meet the pre-specified significance threshold; the pooled six-seed sensitivity analysis is reported separately, and cross-species generalization remains directional.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The model is an error-state hidden Markov model over reference-aligned read positions. The state space is M (match), S (substitution), I1-I3 and I4+ (insertion runs of 1-3 and 4+ bases), and D1-D3 and D4+ (deletion runs of 1-3 and 4+ bases). For each 100-bp reference window, local GC content assigns the position to one of K equal-width bins. Training estimates A^(b)[j,k] = P(state at i+1 = k | state at i = j, GC bin = b) from the CIGAR path. The nucleotide substitution matrix is global; GC conditioning applies to the state-transition matrices. The one-bin control sets K = 1 and otherwise uses the same reads, MAPQ threshold, windows and read budget.</w:t>
      </w:r>
    </w:p>
    <w:p w14:paraId="7D88F740">
      <w:pPr>
        <w:spacing w:after="0" w:line="480" w:lineRule="auto"/>
        <w:ind w:firstLine="475"/>
        <w:jc w:val="both"/>
      </w:pPr>
      <w:r>
        <w:rPr>
          <w:rFonts w:ascii="Times New Roman" w:cs="Times New Roman" w:eastAsia="SimSun" w:hAnsi="Times New Roman"/>
          <w:sz w:val="24"/>
          <w:szCs w:val="24"/>
        </w:rPr>
        <w:t>A match advances along the reference without emitting an error; a substitution emits one alternative nucleotide; an insertion emits bases without consuming reference; and a deletion consumes reference without emitting a read base. Run-length states make the duration of an indel explicit. Hierarchical smoothing forms a pooled global prior and smooths each GC-specific transition row toward it, with prior strength 10.0 and pseudocount 1.0.</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walks primary alignments that pass the configured MAPQ threshold. For every aligned position it assigns the reference window to a GC bin, reads the CIGAR operation, and increments the corresponding transition count and, for substitutions, the nucleotide-observation count. Pooled counts form the prior; each GC bin is then smoothed toward that prior. Runtime statistics include the number of accepted reads and transitions. The process fails if fewer than the configured minimum number of primary reads is available, rather than silently producing a weak model.</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 generation samples a read length and start position, then walks the target reference. At each reference position the simulator looks up the GC bin and samples the next state from the corresponding transition row; substitutions use the learned nucleotide matrix, and insertion/deletion lengths use the learned run-length states. The parent process assigns a deterministic seed to every read and sends fixed-size chunks to worker processes. Results are written in read-index order, so the FASTQ is invariant to worker count. `--workers` is the process-worker budget; the retained `--threads` name is a compatibility alias, not shared-memory threading.</w:t>
      </w:r>
    </w:p>
    <w:p w14:paraId="60E8944E">
      <w:pPr>
        <w:pStyle w:val="Heading3"/>
        <w:spacing w:after="120" w:before="220" w:line="240" w:lineRule="auto"/>
      </w:pPr>
      <w:r>
        <w:rPr>
          <w:rFonts w:ascii="Times New Roman" w:cs="Times New Roman" w:eastAsia="SimSun" w:hAnsi="Times New Roman"/>
          <w:b/>
          <w:bCs/>
          <w:i/>
          <w:iCs/>
          <w:sz w:val="24"/>
          <w:szCs w:val="24"/>
        </w:rPr>
        <w:t>Software and versions</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the GC-bin ablation uses three discovery seeds at 10x, a separate prospectively specified A. thaliana 1-bin versus 5-bin replication uses seeds 44, 55 and 66 at the same coverage; a second pre-specified six-seed cohort uses seeds 77, 88, 99, 111, 122 and 133 with the same endpoint and one-time analysis.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used K in {1, 5, 10, 20} with profile-matched training and three seeds per setting, evaluated on both the composite and the GC-stratified instrument; the pre-registered gate defines the scope of the cross-species significance claim. Training coverage was assessed on matched panels across a coverage grid with the composite. The observed effects are reported with effect sizes and the measurement budget. A separate pre-specified confirmation program tested only the A. thaliana 1-bin versus 5-bin curve-correlation contrast. The first cohort used seeds 44, 55 and 66. Because it was directionally positive but did not meet the p &lt; 0.05 threshold, a second independent cohort using seeds 77, 88, 99, 111, 122 and 133 was fixed before running, with the same endpoint and a one-time analysis. Neither cohort replaces or reopens the original cross-species decision rule.</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7D88F740">
      <w:pPr>
        <w:spacing w:after="0" w:line="480" w:lineRule="auto"/>
        <w:ind w:firstLine="475"/>
        <w:jc w:val="both"/>
      </w:pPr>
      <w:r>
        <w:rPr>
          <w:rFonts w:ascii="Times New Roman" w:cs="Times New Roman" w:eastAsia="SimSun" w:hAnsi="Times New Roman"/>
          <w:sz w:val="24"/>
          <w:szCs w:val="24"/>
        </w:rPr>
        <w:t>Computational performance was measured on the E. coli reference and real ONT alignment with `/usr/bin/time -v`. The training run used 10 GC bins and MAPQ &gt;= 20; simulation used 10x coverage and one, two or four process workers with the same model and seed. Wall time, peak resident set size and reads per second are reported; read counts and length statistics are checked across worker counts.</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30BEFAA">
      <w:pPr>
        <w:spacing w:after="0" w:line="480" w:lineRule="auto"/>
        <w:ind w:firstLine="475"/>
        <w:jc w:val="both"/>
      </w:pPr>
      <w:r>
        <w:rPr>
          <w:rFonts w:ascii="Times New Roman" w:cs="Times New Roman" w:eastAsia="SimSun" w:hAnsi="Times New Roman"/>
          <w:sz w:val="24"/>
          <w:szCs w:val="24"/>
          <w:shd w:fill="FFF2CC" w:val="clear"/>
        </w:rPr>
        <w:t>Repository URL: https://github.com/zbyyyxiaoman/GCerrHMM. Version-stable Zenodo concept DOI: 10.5281/zenodo.23034361.</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The code and frozen result tables are available at https://github.com/zbyyyxiaoman/GCerrHMM, with version-stable Zenodo concept DOI 10.5281/zenodo.23034361.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[AUTHOR INPUT REQUIRED].</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[AUTHOR INPUT REQUIRED: grant numbers or 'none'].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[AUTHOR INPUT REQUIRED: CRediT roles].</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[AUTHOR INPUT REQUIRED or 'none'].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keepNext/>
        <w:spacing w:line="480" w:lineRule="auto" w:after="0"/>
      </w:pPr>
      <w:r>
        <w:t>Figure 1. Local GC context across the six-genome panel and an illustrative real-versus-simulated GC-error curve for E. coli. Panel a uses the six reference genomes; panel b uses the project GC-error curve. No inferential error bars are shown.</w:t>
      </w:r>
    </w:p>
    <w:p>
      <w:pPr>
        <w:spacing w:before="0" w:after="173"/>
        <w:jc w:val="center"/>
      </w:pPr>
      <w:r>
        <w:drawing>
          <wp:inline xmlns:a="http://schemas.openxmlformats.org/drawingml/2006/main" xmlns:pic="http://schemas.openxmlformats.org/drawingml/2006/picture">
            <wp:extent cx="5669280" cy="222203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2222035"/>
                    </a:xfrm>
                    <a:prstGeom prst="rect"/>
                  </pic:spPr>
                </pic:pic>
              </a:graphicData>
            </a:graphic>
          </wp:inline>
        </w:drawing>
      </w:r>
    </w:p>
    <w:p>
      <w:pPr>
        <w:keepNext/>
        <w:spacing w:line="480" w:lineRule="auto" w:after="0"/>
      </w:pPr>
      <w: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before="0" w:after="173"/>
        <w:jc w:val="center"/>
      </w:pPr>
      <w:r>
        <w:drawing>
          <wp:inline xmlns:a="http://schemas.openxmlformats.org/drawingml/2006/main" xmlns:pic="http://schemas.openxmlformats.org/drawingml/2006/picture">
            <wp:extent cx="5669280" cy="4062493"/>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4062493"/>
                    </a:xfrm>
                    <a:prstGeom prst="rect"/>
                  </pic:spPr>
                </pic:pic>
              </a:graphicData>
            </a:graphic>
          </wp:inline>
        </w:drawing>
      </w:r>
    </w:p>
    <w:p>
      <w:pPr>
        <w:keepNext/>
        <w:spacing w:line="480" w:lineRule="auto" w:after="0"/>
      </w:pPr>
      <w: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pPr>
        <w:spacing w:before="0" w:after="173"/>
        <w:jc w:val="center"/>
      </w:pPr>
      <w:r>
        <w:drawing>
          <wp:inline xmlns:a="http://schemas.openxmlformats.org/drawingml/2006/main" xmlns:pic="http://schemas.openxmlformats.org/drawingml/2006/picture">
            <wp:extent cx="5669280" cy="2536045"/>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2536045"/>
                    </a:xfrm>
                    <a:prstGeom prst="rect"/>
                  </pic:spPr>
                </pic:pic>
              </a:graphicData>
            </a:graphic>
          </wp:inline>
        </w:drawing>
      </w:r>
    </w:p>
    <w:p w14:paraId="2D551FC4">
      <w:pPr>
        <w:keepNext/>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799064"/>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1799064"/>
                    </a:xfrm>
                    <a:prstGeom prst="rect"/>
                  </pic:spPr>
                </pic:pic>
              </a:graphicData>
            </a:graphic>
          </wp:inline>
        </w:drawing>
      </w:r>
    </w:p>
    <w:p w14:paraId="77A2EF5E">
      <w:pPr>
        <w:keepNext/>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338373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383734"/>
                    </a:xfrm>
                    <a:prstGeom prst="rect"/>
                  </pic:spPr>
                </pic:pic>
              </a:graphicData>
            </a:graphic>
          </wp:inline>
        </w:drawing>
      </w:r>
    </w:p>
    <w:p w14:paraId="1B69C280">
      <w:pPr>
        <w:keepNext/>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30122"/>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1930122"/>
                    </a:xfrm>
                    <a:prstGeom prst="rect"/>
                  </pic:spPr>
                </pic:pic>
              </a:graphicData>
            </a:graphic>
          </wp:inline>
        </w:drawing>
      </w:r>
    </w:p>
    <w:p w14:paraId="7693F2B8">
      <w:pPr>
        <w:keepNext/>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4157184"/>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157184"/>
                    </a:xfrm>
                    <a:prstGeom prst="rect"/>
                  </pic:spPr>
                </pic:pic>
              </a:graphicData>
            </a:graphic>
          </wp:inline>
        </w:drawing>
      </w:r>
    </w:p>
    <w:p w14:paraId="0747A9C2">
      <w:pPr>
        <w:keepNext/>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25598"/>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1925598"/>
                    </a:xfrm>
                    <a:prstGeom prst="rect"/>
                  </pic:spPr>
                </pic:pic>
              </a:graphicData>
            </a:graphic>
          </wp:inline>
        </w:drawing>
      </w:r>
    </w:p>
    <w:p w14:paraId="2AEA1BD0">
      <w:pPr>
        <w:keepNext/>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2929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1929298"/>
                    </a:xfrm>
                    <a:prstGeom prst="rect"/>
                  </pic:spPr>
                </pic:pic>
              </a:graphicData>
            </a:graphic>
          </wp:inline>
        </w:drawing>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and A. thaliana replication full table. Description: curve r and MAD by species, bin setting and seed, including the first and second independent A. thaliana cohorts and the pooled 12-seed sensitivity analysis.</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W3.8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GCerrHMM project</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dc:description>W3.8 review copy with Figures 1-9 embedded after their legends.</dc:description>
</cp:coreProperties>
</file>

<file path=docProps/custom.xml><?xml version="1.0" encoding="utf-8"?>
<Properties xmlns="http://schemas.openxmlformats.org/officeDocument/2006/custom-properties" xmlns:vt="http://schemas.openxmlformats.org/officeDocument/2006/docPropsVTypes"/>
</file>