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 w:eastAsia="Microsoft YaHei"/>
          <w:b/>
          <w:color w:val="1F4D78"/>
          <w:sz w:val="40"/>
        </w:rPr>
        <w:t>GCerrHMM 编辑意见回应说明</w:t>
      </w:r>
    </w:p>
    <w:p>
      <w:pPr>
        <w:spacing w:after="60"/>
        <w:jc w:val="center"/>
      </w:pPr>
      <w:r>
        <w:rPr>
          <w:rFonts w:ascii="Calibri" w:hAnsi="Calibri" w:eastAsia="Microsoft YaHei"/>
          <w:b w:val="0"/>
          <w:color w:val="1F4D78"/>
          <w:sz w:val="24"/>
        </w:rPr>
        <w:t>针对《评估意见(1)》的逐条回应与修改记录</w:t>
      </w:r>
    </w:p>
    <w:p>
      <w:pPr>
        <w:spacing w:after="240"/>
        <w:jc w:val="center"/>
      </w:pPr>
      <w:r>
        <w:rPr>
          <w:rFonts w:ascii="Calibri" w:hAnsi="Calibri" w:eastAsia="Microsoft YaHei"/>
          <w:b w:val="0"/>
          <w:color w:val="666666"/>
          <w:sz w:val="19"/>
        </w:rPr>
        <w:t>稿件版本：W3.7 | 日期：2026-10-08 | 文件版本：1.1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一、总体说明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我们逐条审阅了评估意见，并在本地 W3.7 版本中完成了结构性修改。本轮修改不改变已冻结的科学结论：六物种 GC 条件化效应仍按方向性证据报告，预注册的跨物种 gate 仍未通过，拟南芥独立队列方向为正但未达到预设显著性阈值。修改重点是让研究问题、测量工具、结果组织和代码复现路径更清楚，而不是把不利结果改写成优势结论。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二、逐条回应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520"/>
        <w:gridCol w:w="1760"/>
        <w:gridCol w:w="4020"/>
        <w:gridCol w:w="3060"/>
      </w:tblGrid>
      <w:tr>
        <w:tc>
          <w:tcPr>
            <w:tcW w:w="520" w:type="dxa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编号</w:t>
            </w:r>
          </w:p>
        </w:tc>
        <w:tc>
          <w:tcPr>
            <w:tcW w:w="1760" w:type="dxa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原意见摘要</w:t>
            </w:r>
          </w:p>
        </w:tc>
        <w:tc>
          <w:tcPr>
            <w:tcW w:w="4020" w:type="dxa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回应与修改</w:t>
            </w:r>
          </w:p>
        </w:tc>
        <w:tc>
          <w:tcPr>
            <w:tcW w:w="3060" w:type="dxa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修改位置/证据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A-1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摘要背景逻辑前后不连贯。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重写 Abstract Background：先说明长读长错误依赖局部上下文，再说明现有模拟器仍暴露全局错误过程，最后指出常用指标不能直接测量上下文错误，因此形成两个连接问题。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Abstract Background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A-2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摘要结果部分实验细节冗余。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压缩 Abstract Results，只保留核心模型、六物种方向性结果、受控消融、人类 chr21 下游一致性和计算扩展性；详细数值留在 Results。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Abstract Results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A-3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结论需与背景和结果对应。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重写 Conclusions：模型贡献、测量工具、方向性证据、计算性能依次对应 Background 提出的问题。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Abstract Conclusions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B-1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背景未解释 GC 为何影响测序错误；建议把 Fig. 1 放在背景。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 GC 影响错误的机制段落，讨论信号/酶动力学、二级结构或停滞、重复区域比对歧义，并说明这些影响改变错误的空间分布而非只改变全局错误率。Fig. 1 原本已在 Background，本次补充了解读。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Background；Fig. 1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B-2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Fig. 1 的目的、指标含义和主要观察不足。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新增解释性段落：Fig. 1a 展示六个参考基因组的局部 GC 分布，Fig. 1b 展示真实与模拟 GC-error 曲线；核心观察是曲线形状，而不是单一平均错误率。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Background；Fig. 1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B-3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应与 CycSim 等上下文相关错误建模工作比较。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编辑意见将 CycSim 归为文献 [14]。当前稿件中 [14] 是 SAMtools；CycSim 是 metabolic-model 工具，不是 long-read simulator。因此没有按该编号添加错误引用，而是改写与 context-aware simulation [9] 和 simulator benchmark [11] 的比较，明确 GCerrHMM 的差异是 GC 条件化 transition matrix + GC-stratified instrument。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Background; Relation to existing simulators; refs [9], [11]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R-1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Results 对实验设计和指标解释不足。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 Results roadmap，明确每个结果块回答的问题，并区分 composite 的描述性作用与 GC-stratified curve 的 GC 论断作用。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Results roadmap; Level-1 evaluation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R-2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Results 组织不清，且 GCerrHMM 没有一致优势。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增加 claim-scope 总结，明确论文支持物种依赖的方向性 GC 效应，而不是全面优于所有工具；同时区分外部工具比较、GC 模块独立贡献和下游一致性。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Summary of evidence and claim scope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R-3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补充训练时间、生成吞吐、峰值内存和并行扩展性。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新增 Table 8：E. coli 训练 wall time 88.12 s、peak RSS 72.73 MB；10x 模拟 1/2/4 workers 为 29.56/17.11/10.64 s，4-worker speedup 2.78x；1/2/4 workers FASTQ SHA-256 完全一致。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Table 8; docs/reproducibility/resource_benchmark_20261008.*</w:t>
            </w:r>
          </w:p>
        </w:tc>
      </w:tr>
      <w:tr>
        <w:tc>
          <w:tcPr>
            <w:tcW w:w="520" w:type="dxa"/>
            <w:vAlign w:val="center"/>
          </w:tcPr>
          <w:p>
            <w:pPr/>
            <w:r/>
            <w:r>
              <w:rPr>
                <w:b w:val="0"/>
                <w:sz w:val="22"/>
              </w:rPr>
              <w:t>R-4</w:t>
            </w:r>
          </w:p>
        </w:tc>
        <w:tc>
          <w:tcPr>
            <w:tcW w:w="1760" w:type="dxa"/>
            <w:vAlign w:val="center"/>
          </w:tcPr>
          <w:p>
            <w:pPr/>
            <w:r/>
            <w:r>
              <w:rPr>
                <w:b w:val="0"/>
                <w:sz w:val="22"/>
              </w:rPr>
              <w:t>Results 仍偏向数据报告，不同证据层的逻辑衔接不够清楚。</w:t>
            </w:r>
          </w:p>
        </w:tc>
        <w:tc>
          <w:tcPr>
            <w:tcW w:w="4020" w:type="dxa"/>
            <w:vAlign w:val="center"/>
          </w:tcPr>
          <w:p>
            <w:pPr/>
            <w:r/>
            <w:r>
              <w:rPr>
                <w:b w:val="0"/>
                <w:sz w:val="22"/>
              </w:rPr>
              <w:t>按 claim 类型物理重排 Results：模型定义 → 受控 GC 消融 → 六物种 gate → 不确定性 → 独立 indel 消融 → 外部工具比较与下游一致性 → 计算性能 → claim 总结。每个主要块增加一句 signpost，说明该块能支持什么结论、不能支持什么结论。</w:t>
            </w:r>
          </w:p>
        </w:tc>
        <w:tc>
          <w:tcPr>
            <w:tcW w:w="3060" w:type="dxa"/>
            <w:vAlign w:val="center"/>
          </w:tcPr>
          <w:p>
            <w:pPr/>
            <w:r/>
            <w:r>
              <w:rPr>
                <w:b w:val="0"/>
                <w:sz w:val="22"/>
              </w:rPr>
              <w:t>W3.7 Results；英文 PDF 32 页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M-1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Methods 软件版本列表打断核心方法描述。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保留版本完整性，但移到独立的 “Software and versions” 小节，放在模型和生成算法之后。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Methods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M-2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状态符号和专业术语定义不足。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补充 M、S、I1-I3、I4+、D1-D3、D4+ 的定义，明确 transition matrix A^(b)[j,k] 的含义，并说明 GC 条件化作用于 transition matrix，替换矩阵保持全局。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Model definition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M-3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核心方法描述不足，且与实验设置混杂。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拆分为 Training 和 Read generation 两段：前者描述 CIGAR 计数、GC bin、先验和平滑；后者描述读长、GC bin、状态采样、替换与 indel 生成。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Parameter estimation; Read generation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O-1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GitHub 文档不清，部分功能（如线程）无法使用。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README 新增 reviewer quick start、core workflow、预期输出和资源 benchmark 命令。当前代码支持 process-level workers，`--workers` 为正式参数，`--threads` 仅为兼容别名；tests 通过。若评估者仍遇到线程错误，需要提供具体命令、操作系统和 release tag。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README.md; src/generate_simulated.py; scripts/benchmark_resource_usage.py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O-2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存在模板化表达和疑似 AI 生成痕迹。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重写摘要、结论和 Discussion 中的模板化措辞，减少重复性判断句，并把“测量问题”写成具体机制、指标和证据链。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Abstract; Discussion</w:t>
            </w:r>
          </w:p>
        </w:tc>
      </w:tr>
      <w:tr>
        <w:tc>
          <w:tcPr>
            <w:tcW w:w="5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O-3</w:t>
            </w:r>
          </w:p>
        </w:tc>
        <w:tc>
          <w:tcPr>
            <w:tcW w:w="17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排版和格式需要全面检查。</w:t>
            </w:r>
          </w:p>
        </w:tc>
        <w:tc>
          <w:tcPr>
            <w:tcW w:w="40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更新标题页版本为 W3.7，检查图表编号、Table 8/9、页数和空白页。作者邮箱、基金、竞争利益和 CRediT 仍需作者本人填写。</w:t>
            </w:r>
          </w:p>
        </w:tc>
        <w:tc>
          <w:tcPr>
            <w:tcW w:w="306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W3.7 PDF; W3.7_response_to_editor.md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三、未按原意见执行的事项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CycSim 不是 long-read simulator，且当前稿件 [14] 并非 CycSim。我们没有为了满足引用编号而加入不相关文献，而是补充了真正相关的context-aware simulation [9] 和 simulator benchmark [11] 比较。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线程功能在当前代码库中可以运行：生成器使用 process-level parallelism，worker 上限为 16，已有 CLI、测试和 scaling benchmark。评估意见中的“线程功能无法使用”在当前版本无法复现；如果对方保留了具体错误信息，需要进一步按 release tag 和操作系统定位。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四、验证记录</w:t>
      </w:r>
    </w:p>
    <w:tbl>
      <w:tblPr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B7C3D0"/>
          <w:insideV w:val="single" w:sz="4" w:space="0" w:color="B7C3D0"/>
        </w:tblBorders>
        <w:tblCellMar>
          <w:top w:w="80" w:type="dxa"/>
          <w:start w:w="120" w:type="dxa"/>
          <w:bottom w:w="80" w:type="dxa"/>
          <w:end w:w="120" w:type="dxa"/>
        </w:tblCellMar>
        <w:tblW w:w="9360" w:type="dxa"/>
        <w:tblInd w:w="120" w:type="dxa"/>
      </w:tblPr>
      <w:tblGrid>
        <w:gridCol w:w="3120"/>
        <w:gridCol w:w="6240"/>
      </w:tblGrid>
      <w:tr>
        <w:tc>
          <w:tcPr>
            <w:tcW w:w="3120" w:type="dxa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验证项</w:t>
            </w:r>
          </w:p>
        </w:tc>
        <w:tc>
          <w:tcPr>
            <w:tcW w:w="6240" w:type="dxa"/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源代码单元测试</w:t>
            </w:r>
          </w:p>
        </w:tc>
        <w:tc>
          <w:tcPr>
            <w:tcW w:w="624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TESTS_OK passed=22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源代码静态检查</w:t>
            </w:r>
          </w:p>
        </w:tc>
        <w:tc>
          <w:tcPr>
            <w:tcW w:w="624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STATIC_AUDIT_OK python_files=114 shell_files=159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release package 测试</w:t>
            </w:r>
          </w:p>
        </w:tc>
        <w:tc>
          <w:tcPr>
            <w:tcW w:w="624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TESTS_OK passed=22；STATIC_AUDIT_OK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冻结结果 smoke check</w:t>
            </w:r>
          </w:p>
        </w:tc>
        <w:tc>
          <w:tcPr>
            <w:tcW w:w="624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REPRODUCE_SMOKE_OK</w:t>
            </w:r>
          </w:p>
        </w:tc>
      </w:tr>
      <w:tr>
        <w:tc>
          <w:tcPr>
            <w:tcW w:w="3120" w:type="dxa"/>
            <w:vAlign w:val="center"/>
          </w:tcPr>
          <w:p>
            <w:pPr/>
            <w:r/>
            <w:r>
              <w:rPr>
                <w:b w:val="0"/>
                <w:sz w:val="22"/>
              </w:rPr>
              <w:t>W3.7 PDF 渲染</w:t>
            </w:r>
          </w:p>
        </w:tc>
        <w:tc>
          <w:tcPr>
            <w:tcW w:w="6240" w:type="dxa"/>
            <w:vAlign w:val="center"/>
          </w:tcPr>
          <w:p>
            <w:pPr/>
            <w:r/>
            <w:r>
              <w:rPr>
                <w:b w:val="0"/>
                <w:sz w:val="22"/>
              </w:rPr>
              <w:t>英文 32 页；中文回应稿 4 页；无空白页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并行 FASTQ 一致性</w:t>
            </w:r>
          </w:p>
        </w:tc>
        <w:tc>
          <w:tcPr>
            <w:tcW w:w="624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1/2/4 workers SHA-256 完全一致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五、仍需作者补充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以下字段涉及作者本人信息，当前稿件仍保留明确占位符：作者邮箱或ORCID、基金编号、竞争利益声明、CRediT 作者贡献和致谢。这些字段不应由代码或编辑意见推断，投稿前需要作者本人确认。</w:t>
      </w:r>
    </w:p>
    <w:p>
      <w:pPr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六、关键附件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英文主稿：docs/manuscript/GCerrHMM_BMC_Research_article_W3.7_submission_20261008.docx 与同名 PDF。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中文全文：docs/manuscript/GCerrHMM_Chinese_full_W3.6_20261008.docx 与同名 PDF（Results 重排在英文 W3.7 主稿中完成）。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资源数据：docs/reproducibility/resource_benchmark_20261008.csv 与 .md。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代码库修订：README.md、src/generate_simulated.py、scripts/benchmark_resource_usage.py、tests/test_reproduction_speed.py。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本轮修改仅保存在本地提交和本地审阅包中，GitHub 与 Zenodo 未做改动。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中文回应说明更新至 W3.7，表格和验证记录已同步。</dc:description>
  <cp:lastModifiedBy>GCerrHMM project</cp:lastModifiedBy>
  <cp:revision>1</cp:revision>
  <dcterms:created xsi:type="dcterms:W3CDTF">2013-12-23T23:15:00Z</dcterms:created>
  <dcterms:modified xsi:type="dcterms:W3CDTF">2013-12-23T23:15:00Z</dcterms:modified>
  <cp:category/>
</cp:coreProperties>
</file>