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Additional file 6. Two layers of uncertainty in the GC-fidelity measurement</w:t>
      </w:r>
    </w:p>
    <w:p>
      <w:pPr>
        <w:pStyle w:val="Heading1"/>
      </w:pPr>
      <w:r>
        <w:t>Read sampling</w:t>
      </w:r>
    </w:p>
    <w:p>
      <w:r>
        <w:rPr>
          <w:b w:val="0"/>
        </w:rPr>
        <w:t>Disjoint subsamples of a pooled 30x simulation gave a correlation SD of 0.176 at 5x, 0.194 at 10x and 0.009 at 15x. This component answers how deeply the reads must be sampled and is the only component interpreted as a power statement.</w:t>
      </w:r>
    </w:p>
    <w:p>
      <w:pPr>
        <w:pStyle w:val="Heading1"/>
      </w:pPr>
      <w:r>
        <w:t>Between-window heterogeneity</w:t>
      </w:r>
    </w:p>
    <w:p>
      <w:r>
        <w:rPr>
          <w:b w:val="0"/>
        </w:rPr>
        <w:t>The between-window bootstrap width was 1.01, 0.96 and 0.96 at 10x, 20x and 30x, respectively. It did not shrink with depth and is not a power statement. Conflating it with read sampling makes the same data appear both underpowered and precise.</w:t>
      </w:r>
    </w:p>
    <w:p>
      <w:pPr>
        <w:pStyle w:val="Heading1"/>
      </w:pPr>
      <w:r>
        <w:t>Interpretation</w:t>
      </w:r>
    </w:p>
    <w:p>
      <w:r>
        <w:rPr>
          <w:b w:val="0"/>
        </w:rPr>
        <w:t>At 15x the read-sampling component is small enough to exclude an effect above approximately 0.05 in correlation units. The reported GC effect is therefore an effect-size statement at 15x and above, not a claim that the experiment lacks precision at every depth.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