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衡远情况说明（虚构演示）</w:t>
      </w:r>
    </w:p>
    <w:p>
      <w:r>
        <w:t>公司、人物、交易及文件均为虚构。</w:t>
      </w:r>
    </w:p>
    <w:p>
      <w:r>
        <w:t>材料形成日期：2026-05-10</w:t>
      </w:r>
    </w:p>
    <w:p>
      <w:r>
        <w:t>2026年5月10日衡远称本金应为2600万元减200万元回款即2400万元。</w:t>
      </w:r>
    </w:p>
    <w:p>
      <w:r>
        <w:t>衡远说明认为回款是本金返还，此为一方观点。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