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目标公司情况说明（虚构演示）</w:t>
      </w:r>
    </w:p>
    <w:p>
      <w:r>
        <w:t>公司、人物、交易及文件均为虚构。</w:t>
      </w:r>
    </w:p>
    <w:p>
      <w:r>
        <w:t>材料形成日期：2026-05-15</w:t>
      </w:r>
    </w:p>
    <w:p>
      <w:r>
        <w:t>2026年5月15日目标公司认为200万元属于股东分配，不同意扣减本金口径。</w:t>
      </w:r>
    </w:p>
    <w:p>
      <w:r>
        <w:t>目标公司称应对照分配决议及附件D，目前未完整提供。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 w:eastAsia="Arial Unicode MS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