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起诉材料草稿说明（虚构演示）</w:t>
      </w:r>
    </w:p>
    <w:p>
      <w:r>
        <w:t>公司、人物、交易及文件均为虚构。</w:t>
      </w:r>
    </w:p>
    <w:p>
      <w:r>
        <w:t>材料形成日期：2026-06-30</w:t>
      </w:r>
    </w:p>
    <w:p>
      <w:r>
        <w:t>2026年6月30日草稿拟列目标公司和陆辰为被诉主体，尚无提交记录。</w:t>
      </w:r>
    </w:p>
    <w:p>
      <w:r>
        <w:t>草稿请求以最新表2680万元为基数；草稿记载不能证明责任成立。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