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ou45cjmp20ti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КОММЕРЧЕСКОЕ ПРЕДЛОЖЕНИЕ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Настоящее коммерческое предложение подготовлено в рамках запроса на разработку пилотного решения (Proof of Concept, POC) для аналитики и прогнозирования электропотребления на базе облачной платформы Amazon Web Services (AWS) с использованием сервиса бизнес-аналитики Amazon QuickSight.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Потребность Заказчика заключается в оперативной проверке возможности использования Amazon QuickSight для выявления пиковых нагрузок, аномалий потребления, наиболее загруженных объектов, а также для прогнозирования электропотребления с целью недопущения превышения заявленных лимитов мощности и оптимизации разделения потребления между структурами КМГ, подрядными организациями и сторонними потребителями.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Предлагаемый подход - реализация lean POC продолжительностью 6 календарных недель на базе существующих Excel-выгрузок Заказчика (суточные и месячные отчёты) без внедрения прямых интеграций с SCADA, АСКУЭ и биллинговыми системами на данном этапе.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Ключевые возможности создаваемого решения: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Организация защищённого Data Lake на AWS S3;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ETL-обработка и каталогизация данных через AWS Glue и Athena;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Интерактивные дашборды в Amazon QuickSight Enterprise с поддержкой SPICE;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ML Insights для автоматического выявления аномалий;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Прогнозирование потребления на 1, 3 и 6 месяцев;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Естественно-языковые запросы через QuickSight Q / Generative BI;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Детализация по иерархии: объект -&gt; подстанция -&gt; скважина;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Сверка суточных данных с месячными отчётами.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Ориентировочная стоимость и сроки представлены в соответствующих разделах настоящего предложения.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gjd8rawhvk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ПОНИМАНИЕ БИЗНЕС-ЗАДАЧИ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1mm3quylhv8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1.1. Контекст и проблематика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является крупнейшей нефтегазовой компанией Казахстана, в структуру которой входят многочисленные производственные объекты, потребляющие значительные объёмы электроэнергии. Управление электропотреблением сопряжено с рядом вызовов: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Риски превышения заявленных лимитов мощности, влекущие применение штрафных тарифов;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Необходимость разделения учёта потребления между структурами КМГ, подрядчиками и сторонними организациями;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Сложность выявления аномалий и пиковых нагрузок в условиях большого объёма данных;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Ограниченные возможности прогнозирования на основе текущих инструментов;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Ручной характер сверки суточных и месячных отчётов, сопряжённый с трудозатратами и рисками ошибок.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r8ysm57sbk05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1.2. Целевые показатели успеха POC</w:t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"/>
        <w:gridCol w:w="5430"/>
        <w:tblGridChange w:id="0">
          <w:tblGrid>
            <w:gridCol w:w="3810"/>
            <w:gridCol w:w="543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Критерий успеха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Целевое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Дашборды разработаны и согласованы с Заказчиком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3–4 дашборда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Прогнозирование потребления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1, 3 и 6 месяцев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Выявление аномалий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Автоматическое, с классификацией по типам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Сверка дневная -&gt; месячная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Погрешность не более согласованного порога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Детализация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Объект -&gt; подстанция -&gt; скважина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awqd370lfu6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1.3. Исключения из объёма пилота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Настоящий обьем работ не включает: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Интеграцию со SCADA, АСКУЭ, биллинговыми системами;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Кастомные модели машинного обучения на SageMaker / Bedrock;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Расчёт стоимости газа и ценообразование;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Мобильный доступ и систему оповещений (alerting);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Production-grade SecOps;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Полноценную сезонную модель прогнозирования (требует 12+ месяцев истории);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7mrls1q6ow5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ТЕХНИЧЕСКОЕ РЕШЕНИЕ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ygaf4ecu6at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2.1. Общая архитектура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Предлагается serverless POC-архитектура на базе AWS с использованием следующих сервисов:</w:t>
      </w:r>
    </w:p>
    <w:tbl>
      <w:tblPr>
        <w:tblStyle w:val="Table2"/>
        <w:tblW w:w="937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4680"/>
        <w:tblGridChange w:id="0">
          <w:tblGrid>
            <w:gridCol w:w="4695"/>
            <w:gridCol w:w="46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Хранение raw, curated и publish зон для Excel-файлов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 Glue / Glue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Парсинг Excel, очистка, нормализация данных, каталогизация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Athena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SQL-представления для аналитики и витрин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QuickSight Enterprise + SPICE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Интерактивные дашборды, семантический слой, вычисляемые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QuickSight ML Insights / Forecasting /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Аномалии, прогноз, авто-нарративы, NL-запросы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IAM, KMS, CloudTrail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Безопасность, управление доступом, аудит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fmrr1ty4vei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2.2. Схема архитектуры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240" w:before="480" w:line="360" w:lineRule="auto"/>
        <w:jc w:val="center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fvhk4bmq09v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  <w:drawing>
          <wp:inline distB="19050" distT="19050" distL="19050" distR="19050">
            <wp:extent cx="4800489" cy="5005388"/>
            <wp:effectExtent b="0" l="0" r="0" t="0"/>
            <wp:docPr descr="flowchart TD&#10;    subgraph Source[Источники данных]&#10;        Excel[Excel-файлы:&lt;br&gt;суточные / месячные]&#10;    end&#10;&#10;    subgraph Ingress[Загрузка и первичная обработка]&#10;        S3_Raw[S3 Raw Zone&lt;br&gt;оригинальные файлы]&#10;        Glue_ETL[AWS Glue ETL&lt;br&gt;парсинг, очистка,&lt;br&gt;нормализация, DQ]&#10;        S3_Curated[S3 Curated Zone&lt;br&gt;Parquet]&#10;        Glue_Catalog[Glue Data Catalog]&#10;    end&#10;&#10;    subgraph Compute[Аналитический слой]&#10;        Athena[Amazon Athena&lt;br&gt;SQL-представления,&lt;br&gt;витрины]&#10;    end&#10;&#10;    subgraph BI[Слой бизнес-аналитики]&#10;        QuickSight[Amazon QuickSight Enterprise&lt;br&gt;+ SPICE]&#10;        Dashboards[Дашборды 3–4 шт.]&#10;        ML[ML Insights /&lt;br&gt;Forecasting]&#10;        Q[QuickSight Q&lt;br&gt;Generative BI]&#10;    end&#10;&#10;    subgraph Security[Безопасность и аудит]&#10;        IAM[IAM — управление доступом]&#10;        KMS[KMS — шифрование]&#10;        CloudTrail[CloudTrail — аудит]&#10;    end&#10;&#10;    Excel --&gt;|загрузка| S3_Raw&#10;    S3_Raw --&gt; Glue_ETL&#10;    Glue_ETL --&gt; S3_Curated&#10;    S3_Curated --&gt; Glue_Catalog&#10;    Glue_Catalog --&gt; Athena&#10;    Athena --&gt;|SPICE refresh| QuickSight&#10;    QuickSight --&gt; Dashboards&#10;    QuickSight --&gt; ML&#10;    QuickSight --&gt; Q&#10;&#10;    IAM -.-&gt; S3_Raw&#10;    IAM -.-&gt; Glue_ETL&#10;    IAM -.-&gt; QuickSight&#10;    KMS -.-&gt; S3_Raw&#10;    KMS -.-&gt; S3_Curated&#10;    CloudTrail -.-&gt; S3_Raw&#10;    CloudTrail -.-&gt; Glue_ETL&#10;    CloudTrail -.-&gt; QuickSight" id="3" name="image1.png"/>
            <a:graphic>
              <a:graphicData uri="http://schemas.openxmlformats.org/drawingml/2006/picture">
                <pic:pic>
                  <pic:nvPicPr>
                    <pic:cNvPr descr="flowchart TD&#10;    subgraph Source[Источники данных]&#10;        Excel[Excel-файлы:&lt;br&gt;суточные / месячные]&#10;    end&#10;&#10;    subgraph Ingress[Загрузка и первичная обработка]&#10;        S3_Raw[S3 Raw Zone&lt;br&gt;оригинальные файлы]&#10;        Glue_ETL[AWS Glue ETL&lt;br&gt;парсинг, очистка,&lt;br&gt;нормализация, DQ]&#10;        S3_Curated[S3 Curated Zone&lt;br&gt;Parquet]&#10;        Glue_Catalog[Glue Data Catalog]&#10;    end&#10;&#10;    subgraph Compute[Аналитический слой]&#10;        Athena[Amazon Athena&lt;br&gt;SQL-представления,&lt;br&gt;витрины]&#10;    end&#10;&#10;    subgraph BI[Слой бизнес-аналитики]&#10;        QuickSight[Amazon QuickSight Enterprise&lt;br&gt;+ SPICE]&#10;        Dashboards[Дашборды 3–4 шт.]&#10;        ML[ML Insights /&lt;br&gt;Forecasting]&#10;        Q[QuickSight Q&lt;br&gt;Generative BI]&#10;    end&#10;&#10;    subgraph Security[Безопасность и аудит]&#10;        IAM[IAM — управление доступом]&#10;        KMS[KMS — шифрование]&#10;        CloudTrail[CloudTrail — аудит]&#10;    end&#10;&#10;    Excel --&gt;|загрузка| S3_Raw&#10;    S3_Raw --&gt; Glue_ETL&#10;    Glue_ETL --&gt; S3_Curated&#10;    S3_Curated --&gt; Glue_Catalog&#10;    Glue_Catalog --&gt; Athena&#10;    Athena --&gt;|SPICE refresh| QuickSight&#10;    QuickSight --&gt; Dashboards&#10;    QuickSight --&gt; ML&#10;    QuickSight --&gt; Q&#10;&#10;    IAM -.-&gt; S3_Raw&#10;    IAM -.-&gt; Glue_ETL&#10;    IAM -.-&gt; QuickSight&#10;    KMS -.-&gt; S3_Raw&#10;    KMS -.-&gt; S3_Curated&#10;    CloudTrail -.-&gt; S3_Raw&#10;    CloudTrail -.-&gt; Glue_ETL&#10;    CloudTrail -.-&gt; QuickSigh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489" cy="500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z3dxwkal6cu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2.3. Модель данных (звёздная схема)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Предлагается следующая структура данных: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Фактические таблицы: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суточные показания (дата, объект, подстанция, скважина, ПУ, источник, сторона, тариф, показания, коэффициент, кВт·ч, небаланс, статус DQ);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месячные балансы (месяц, объект, источник, сторона, итого кВт·ч, отчётный итог, расхождение).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Справочные таблицы (dimensions):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объекты, тип, иерархия, принадлежность КМГ;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подстанции;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скважины;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приборы учёта;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источники питания (ГПЭС, общая сеть, РФЦ, прочие);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стороны (подрядчик, третья сторона);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тарифы;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день, месяц, квартал, сезон;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заявленная мощность, пороговые значения.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Служебные таблицы: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журнал проблем качества данных.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zj159y4phl8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ПЛАН РЕАЛИЗАЦИИ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ajtsobfk1gg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3.1. Этапы и сроки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Общая продолжительность POC ~10 календарных недель.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943600" cy="110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3.2. Ключевые зависимости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Успешная реализация POC требует от Заказчика: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Предоставления примеров Excel-файлов до подписания договора;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Предоставления суточных и месячных Excel-выгрузок за период январь–июнь 2026 года (минимум 3 месяца);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Участия в воркшопе по разбору логики расчёта месячного баланса;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Оперативного согласования KPI, состава дашбордов и критериев успеха;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Своевременного утверждения региона размещения данных в AWS.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zyg3t7w6lr3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СТРУКТУРА РАБОТ (WBS)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zt6eswkuho8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  <w:drawing>
          <wp:inline distB="114300" distT="114300" distL="114300" distR="114300">
            <wp:extent cx="5943600" cy="79883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tqr3lfnlzt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СОСТАВ КОМАНДЫ</w:t>
      </w:r>
    </w:p>
    <w:tbl>
      <w:tblPr>
        <w:tblStyle w:val="Table3"/>
        <w:tblW w:w="7095.0" w:type="dxa"/>
        <w:jc w:val="left"/>
        <w:tblInd w:w="-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3510"/>
        <w:tblGridChange w:id="0">
          <w:tblGrid>
            <w:gridCol w:w="3585"/>
            <w:gridCol w:w="351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Ответственность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Планирование, статусы, риски, UAT, коммуникация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 Solutions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Архитектура, security baseline, best practices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S3 / Glue / Athena, ETL, DQ, сверка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UI Developer / QuickSight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SPICE, дашборды, ML Insights, Forecasting, 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 / Data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Проверка расчётов, UAT, месячный баланс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Итого: 5 FTE на период реализации.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71qclbhimck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ФИНАНСОВОЕ ПРЕДЛОЖЕНИЕ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sf4r4bkwewd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6.1. Стоимость работ</w:t>
      </w:r>
    </w:p>
    <w:tbl>
      <w:tblPr>
        <w:tblStyle w:val="Table4"/>
        <w:tblW w:w="7770.30746705710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4.9341142020503"/>
        <w:gridCol w:w="2535.285505124451"/>
        <w:gridCol w:w="2220.0878477306005"/>
        <w:tblGridChange w:id="0">
          <w:tblGrid>
            <w:gridCol w:w="3014.9341142020503"/>
            <w:gridCol w:w="2535.285505124451"/>
            <w:gridCol w:w="2220.087847730600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Рабочий 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Трудозатраты, 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Стоимость, 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WP1. 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Запуск и анализ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WP2.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Проектирование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$800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WP3.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Разработка и настройка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$22,000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WP4.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Приёмочное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$1,000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WP5.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Подготовка к запуску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$1,500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WP6.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Тестирование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$2,800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WP7.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Управление проектом и архитектурный надзор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$5,700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ИТОГО БЕЗ РЕЗЕРВА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~$35,000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Примечание: Стоимость указана без учёта: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Потребления ресурсов AWS (S3, Glue, Athena, QuickSight, SPICE и др.);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Юридических и нотариальных услуг;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Расширений объёма работ за пределами утверждённого POC.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zfxfsa3ss4j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.2. Ориентировочная стоимость AWS-ресурсов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5.744680851064"/>
        <w:gridCol w:w="4854.255319148936"/>
        <w:tblGridChange w:id="0">
          <w:tblGrid>
            <w:gridCol w:w="4505.744680851064"/>
            <w:gridCol w:w="4854.25531914893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Ориентировочная стоимость за период POC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AWS Glue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Athena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Amazon QuickSight Enterprise (авторы + читатели)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SPICE (ёмкость)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ИТОГО (ориентировочно)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[сумма]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before="240" w:lineRule="auto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Примечание: Точная стоимость AWS-ресурсов зависит от объёма данных, частоты обновлений и числа пользователей и будет уточнена на этапе Discovery.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x1tw1z1j4qi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УПРАВЛЕНИЕ РИСКАМИ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1.065246338216"/>
        <w:gridCol w:w="3277.869507323569"/>
        <w:gridCol w:w="3041.065246338216"/>
        <w:tblGridChange w:id="0">
          <w:tblGrid>
            <w:gridCol w:w="3041.065246338216"/>
            <w:gridCol w:w="3277.869507323569"/>
            <w:gridCol w:w="3041.06524633821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Меры по снижению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Задержка с утверждением региона размещения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Блокировка старта работ в 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 загружать данные до письменного подтверждения региона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Низкое качество Excel-данных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Рост трудозатрат на ETL/DQ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Предварительный анализ sample Excel до подписания договора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Ограниченная история (3 месяца)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Снижение точности прогноза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Позиционировать прогноз как POC baseline; запросить 12+ месяцев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Несходимость месячного баланса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Риск при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Провести воркшоп по логике расчётов; подготовить reconciliation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Расширение объёма работ (scope creep)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Рост сроков и стоимости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Жёстко зафиксировать 3–4 дашборда; изменения - через Change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ft3tsp5a0sm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РЕЗУЛЬТАТЫ И ПОСТАВЛЯЕМЫЕ МАТЕРИАЛЫ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 итогам POC Заказчику передаются:</w:t>
      </w:r>
    </w:p>
    <w:tbl>
      <w:tblPr>
        <w:tblStyle w:val="Table7"/>
        <w:tblW w:w="7343.61702127659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8.723404255319"/>
        <w:gridCol w:w="3534.8936170212764"/>
        <w:tblGridChange w:id="0">
          <w:tblGrid>
            <w:gridCol w:w="3808.723404255319"/>
            <w:gridCol w:w="3534.893617021276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Discovery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 (на русском языке)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Согласованный список KPI и дашбордов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Success criteria и UAT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ETL-скрипты и артефакты Glue / Athena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Исходный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ERD и словарь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 / диаграмма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QuickSight датасеты, SPICE, дашборды, Q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 среде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Конфигурация ML Insights /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 среде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Журнал проблем качества данных (DQ issue 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XLSX /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Представление месячной сверки (reconciliation)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 среде 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Финальная презентация для КМГ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PPTX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One-pager для брифинга руководства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Runbook по загрузке Excel и обновлению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Видео-инструкция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MP4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Обучающие материалы и 2-часовой воркшоп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PPTX / проведение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Roadmap Phase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DOCX /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bc167epgzbv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ЮРИДИЧЕСКИЕ И КОМПЛАЕНС-АСПЕКТЫ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73uc1h288j1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9.1. Правовые основания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Реализация POC осуществляется на основании: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Договора на оказание услуг (SOW / POC Charter);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Соглашения о неразглашении (NDA) - при необходимости;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Соглашения об обработке данных (DPA) - при передаче персональных данных (при наличии).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g38zektgveg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9.2. Обработка данных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Данные загружаются в AWS только после письменного утверждения региона Заказчиком;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Хранение данных - на период POC, по завершении - удаление или возврат Заказчику;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Доступ - по принципу наименьших привилегий (least privilege), с журналированием;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 обнаружении персональных данных (ФИО, контакты, табельные номера) - минимизация или маскировка.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v1i38mwpj56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9.3. Соответствие требованиям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HIPAA / BAA - не применимы (данные не являются медицинскими);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GDPR - применим только при наличии персональных данных субъектов ЕС;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fomfkffno79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УСЛОВИЯ И ПОРЯДОК ВЗАИМОДЕЙСТВИЯ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0hnpryqgmmq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10.1. График коммуникаций</w:t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1.065246338216"/>
        <w:gridCol w:w="3277.869507323569"/>
        <w:gridCol w:w="3041.065246338216"/>
        <w:tblGridChange w:id="0">
          <w:tblGrid>
            <w:gridCol w:w="3041.065246338216"/>
            <w:gridCol w:w="3277.869507323569"/>
            <w:gridCol w:w="3041.06524633821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Вид взаимодействия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Периодичность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Участники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Статус-митинг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Еженедельно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PM, ключевые стейкхолдеры КМГ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Демонстрация промежуточных результатов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 завершении каждого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Команда проекта, руководство КМГ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skw9r1z6x50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10.2. Требования к Заказчику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успешной реализации POC Заказчик обязуется: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Назначить ответственного представителя (Product Owner) со стороны КМГ;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Обеспечить оперативное согласование документов и решений;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Предоставить доступ к необходимым данным и экспертам;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Участвовать в воркшопах, UAT и финальной демонстрации.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mw3ngqn98lo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ДАЛЬНЕЙШИЕ ЭТАПЫ (PHASE II ROADMAP)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 итогам успешного завершения POC предлагается рассмотрение следующих направлений развития: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.3191489361698"/>
        <w:gridCol w:w="3696.702127659574"/>
        <w:gridCol w:w="2227.978723404255"/>
        <w:tblGridChange w:id="0">
          <w:tblGrid>
            <w:gridCol w:w="3435.3191489361698"/>
            <w:gridCol w:w="3696.702127659574"/>
            <w:gridCol w:w="2227.97872340425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rFonts w:ascii="Roboto" w:cs="Roboto" w:eastAsia="Roboto" w:hAnsi="Roboto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sz w:val="23"/>
                <w:szCs w:val="23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Интеграция со SCADA / АСКУЭ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Автоматическая загрузка данных в реальном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Интеграция с биллингом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Автоматический расчёт стоимости и выставление счетов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Кастомная модель прогноза (SageMaker)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Улучшение точности прогнозирования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Мобильный 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Дашборды и оповещения на мобильных устройствах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Production-grade SecOps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Полноценная эксплуатационная 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Расширение дашбордов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Дополнительные аналитические срезы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 запросу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