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RPM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Linux（RPM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中科方德、银河麒麟 V10、openEuler、CentOS 7+、RHEL 等 RPM 系操作系统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RPM 内嵌 Node.js 22 运行时（要求系统 glibc 2.28 及以上，银河麒麟 V10 SP2/SP3 满足；SP1 不支持本方式，请改用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RPM 包特点：内嵌 Node.js、默认 SQLite + 内存 Redis 零外部依赖、不依赖任何 .sh 脚本（适合禁止执行 shell 脚本的安全环境）、systemd 启动时自动执行数据库迁移、支持 rpm 企业级包管理。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sudo firewall-cmd --permanent --add-port=40000-41000/udp
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1：安装 RPM 包</w:t>
      </w:r>
    </w:p>
    <w:p>
      <w:pPr>
        <w:spacing w:after="100" w:before="60" w:line="320"/>
      </w:pPr>
      <w:r>
        <w:rPr>
          <w:sz w:val="21"/>
          <w:szCs w:val="21"/>
        </w:rPr>
        <w:t xml:space="preserve">将 RPM 安装包（meeting-&lt;版本&gt;-&lt;发行号&gt;.x86_64.rpm 或 .aarch64.rpm）拷贝到目标机后执行：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rpm -ivh meeting-&lt;版本&gt;-&lt;发行号&gt;.x86_64.rpm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pStyle w:val="Heading2"/>
      </w:pPr>
      <w:r>
        <w:t xml:space="preserve">步骤 2：配置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127.0.0.1）。默认 DB_DRIVER=sqlite、REDIS_HOST=memory 即可零依赖运行；如需切换 MySQL 或 PostgreSQL，按 env.example 内注释填写连接参数，并提前建库。
</w:t>
      </w:r>
    </w:p>
    <w:p>
      <w:pPr>
        <w:pStyle w:val="Heading2"/>
      </w:pPr>
      <w:r>
        <w:t xml:space="preserve">步骤 3：生成证书（可选）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生成证书后网关自动启用 HTTPS（浏览器入口变为 https）。信创环境请使用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4：启动服务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5：访问验证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rpm -Uvh meeting-&lt;新版本&gt;-&lt;发行号&gt;.x86_64.rpm
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rpm -Uvh 保留 /opt/meeting/conf/.env、data、certs 不被覆盖；API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rpm -e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卸载自动停止服务、删除程序文件与 systemd 单元，保留配置与数据目录。如需彻底清理数据（谨慎）：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及以上；银河麒麟 V10 SP1 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219（麒麟 V10 SP1），日志统一写入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2026-09-08T11:12:57.823Z</dcterms:created>
  <dcterms:modified xsi:type="dcterms:W3CDTF">2026-09-08T11:12:57.823Z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