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1：准备环境文件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2：生成证书（可选）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3：构建并启动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4：访问验证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2026-09-09T03:20:54.495Z</dcterms:created>
  <dcterms:modified xsi:type="dcterms:W3CDTF">2026-09-09T03:20:54.495Z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