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方式二：本地打包后手动上传到服务器（内网环境），再解压
</w:t>
      </w:r>
      <w:r>
        <w:rPr>
          <w:rFonts w:ascii="Consolas" w:cs="Consolas" w:eastAsia="Consolas" w:hAnsi="Consolas"/>
          <w:sz w:val="18"/>
          <w:szCs w:val="18"/>
        </w:rPr>
        <w:br/>
        <w:t xml:space="preserve">mkdir -p /opt/meeting &amp;&amp; tar -xzf 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提示：本项目根目录有三份环境模板，用途不同、不可混用——本方式使用 .env.production.example；本地开发用 .env.example；RPM/DEB/离线发布包主机部署用 deploy/native/conf/env.example。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2026-09-09T06:46:18.944Z</dcterms:created>
  <dcterms:modified xsi:type="dcterms:W3CDTF">2026-09-09T06:46:18.945Z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