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最近一直在看node,这几天正好有空就想做一个简单点的交互网站测测自己的实力，项目名为：MySite，技术栈：node+express+mongodb+ajax+bootstrap 其中mongodb可视化工具是robomongo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这里不记录详细的建站流程了，只记几个其中碰到的问题：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robomongo的连接问题：（mongodb中已被设置了auth）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解决：必须在连接时验证中输入具有控制数据库（全）的权限的user来登录，不然连不上，并且需要同步打开任务管理器中mongodb的服务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在node中连接mongodb我选择的是依赖包mongodb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MongoClient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=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1"/>
          <w:szCs w:val="21"/>
          <w:shd w:val="clear" w:fill="FFFFFF"/>
        </w:rPr>
        <w:t>require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'mongodb'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).MongoClient,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DB_CONN_STR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=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'mongodb://zcd:123456@localhost:27017/mysite'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数据库为</w:t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  <w:t>mysite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想进哪个数据库必须在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zcd:123456</w:t>
      </w:r>
      <w:r>
        <w:rPr>
          <w:rFonts w:hint="eastAsia"/>
          <w:lang w:val="en-US" w:eastAsia="zh-CN"/>
        </w:rPr>
        <w:t>这里填写具有响应数据库权限的user名+密码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针对同一个数据库的不同操作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router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1"/>
          <w:szCs w:val="21"/>
          <w:shd w:val="clear" w:fill="FFFFFF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'/'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(req, res, next) {</w:t>
      </w:r>
      <w:r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  <w:t>})</w:t>
      </w:r>
      <w:bookmarkStart w:id="0" w:name="_GoBack"/>
      <w:bookmarkEnd w:id="0"/>
      <w:r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  <w:t>需要合理利用中间件next()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  <w:t>4. ajax的异步刷新 -- 别犯傻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CA05"/>
    <w:multiLevelType w:val="singleLevel"/>
    <w:tmpl w:val="5A20C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CB54"/>
    <w:multiLevelType w:val="singleLevel"/>
    <w:tmpl w:val="5A20CB5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02D39"/>
    <w:rsid w:val="3B7458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2017-12-08T07:42:17Z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