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spacing w:after="320"/>
        <w:jc w:val="center"/>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remoteready-nt-icon.png"/>
                    <pic:cNvPicPr/>
                  </pic:nvPicPr>
                  <pic:blipFill>
                    <a:blip r:embed="rId11"/>
                    <a:stretch>
                      <a:fillRect/>
                    </a:stretch>
                  </pic:blipFill>
                  <pic:spPr>
                    <a:xfrm>
                      <a:off x="0" y="0"/>
                      <a:ext cx="960120" cy="960120"/>
                    </a:xfrm>
                    <a:prstGeom prst="rect"/>
                  </pic:spPr>
                </pic:pic>
              </a:graphicData>
            </a:graphic>
          </wp:inline>
        </w:drawing>
      </w:r>
    </w:p>
    <w:p>
      <w:pPr>
        <w:pStyle w:val="Title"/>
      </w:pPr>
      <w:r>
        <w:t>RemoteReady NT</w:t>
      </w:r>
    </w:p>
    <w:p>
      <w:pPr>
        <w:spacing w:after="360"/>
        <w:jc w:val="center"/>
      </w:pPr>
      <w:r>
        <w:rPr>
          <w:rFonts w:ascii="Arial" w:hAnsi="Arial"/>
          <w:b/>
          <w:i w:val="0"/>
          <w:color w:val="000000"/>
          <w:sz w:val="28"/>
        </w:rPr>
        <w:t>Data Driven Emergency Connectivity and Preparedness for Remote Northern Territory Communities</w:t>
      </w:r>
    </w:p>
    <w:p>
      <w:pPr>
        <w:spacing w:after="360"/>
        <w:jc w:val="center"/>
      </w:pPr>
      <w:r>
        <w:rPr>
          <w:rFonts w:ascii="Arial" w:hAnsi="Arial"/>
          <w:b/>
          <w:i w:val="0"/>
          <w:color w:val="07334E"/>
          <w:sz w:val="24"/>
        </w:rPr>
        <w:t>TEAM NUMBER XX</w:t>
        <w:br/>
      </w:r>
      <w:r>
        <w:rPr>
          <w:rFonts w:ascii="Arial" w:hAnsi="Arial"/>
          <w:b w:val="0"/>
          <w:i w:val="0"/>
          <w:color w:val="000000"/>
          <w:sz w:val="22"/>
        </w:rPr>
        <w:t>CDU IT Code Fair 2026</w:t>
        <w:br/>
        <w:t>Data Innovation Challenge</w:t>
        <w:br/>
        <w:t>29 September 2026</w:t>
      </w:r>
    </w:p>
    <w:p>
      <w:pPr>
        <w:pStyle w:val="Heading1"/>
      </w:pPr>
      <w:r>
        <w:t>Team members and roles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trPr>
        <w:tc>
          <w:tcPr>
            <w:tcW w:type="dxa" w:w="2268"/>
            <w:shd w:fill="07334E"/>
            <w:tcMar>
              <w:top w:w="95" w:type="dxa"/>
              <w:start w:w="110" w:type="dxa"/>
              <w:bottom w:w="95" w:type="dxa"/>
              <w:end w:w="110" w:type="dxa"/>
            </w:tcMar>
            <w:vAlign w:val="center"/>
          </w:tcPr>
          <w:p>
            <w:pPr>
              <w:spacing w:after="0"/>
              <w:jc w:val="center"/>
            </w:pPr>
            <w:r>
              <w:rPr>
                <w:rFonts w:ascii="Arial" w:hAnsi="Arial"/>
                <w:b/>
                <w:i w:val="0"/>
                <w:color w:val="FFFFFF"/>
                <w:sz w:val="19"/>
              </w:rPr>
              <w:t>Member</w:t>
            </w:r>
          </w:p>
        </w:tc>
        <w:tc>
          <w:tcPr>
            <w:tcW w:type="dxa" w:w="2835"/>
            <w:shd w:fill="07334E"/>
            <w:tcMar>
              <w:top w:w="95" w:type="dxa"/>
              <w:start w:w="110" w:type="dxa"/>
              <w:bottom w:w="95" w:type="dxa"/>
              <w:end w:w="110" w:type="dxa"/>
            </w:tcMar>
            <w:vAlign w:val="center"/>
          </w:tcPr>
          <w:p>
            <w:pPr>
              <w:spacing w:after="0"/>
              <w:jc w:val="left"/>
            </w:pPr>
            <w:r>
              <w:rPr>
                <w:rFonts w:ascii="Arial" w:hAnsi="Arial"/>
                <w:b/>
                <w:i w:val="0"/>
                <w:color w:val="FFFFFF"/>
                <w:sz w:val="19"/>
              </w:rPr>
              <w:t>Role</w:t>
            </w:r>
          </w:p>
        </w:tc>
        <w:tc>
          <w:tcPr>
            <w:tcW w:type="dxa" w:w="4535"/>
            <w:shd w:fill="07334E"/>
            <w:tcMar>
              <w:top w:w="95" w:type="dxa"/>
              <w:start w:w="110" w:type="dxa"/>
              <w:bottom w:w="95" w:type="dxa"/>
              <w:end w:w="110" w:type="dxa"/>
            </w:tcMar>
            <w:vAlign w:val="center"/>
          </w:tcPr>
          <w:p>
            <w:pPr>
              <w:spacing w:after="0"/>
              <w:jc w:val="left"/>
            </w:pPr>
            <w:r>
              <w:rPr>
                <w:rFonts w:ascii="Arial" w:hAnsi="Arial"/>
                <w:b/>
                <w:i w:val="0"/>
                <w:color w:val="FFFFFF"/>
                <w:sz w:val="19"/>
              </w:rPr>
              <w:t>Primary contribution</w:t>
            </w:r>
          </w:p>
        </w:tc>
      </w:tr>
      <w:tr>
        <w:trPr>
          <w:cantSplit/>
        </w:trPr>
        <w:tc>
          <w:tcPr>
            <w:tcW w:type="dxa" w:w="2268"/>
            <w:shd w:fill="FFFFFF"/>
            <w:tcMar>
              <w:top w:w="90" w:type="dxa"/>
              <w:start w:w="110" w:type="dxa"/>
              <w:bottom w:w="90" w:type="dxa"/>
              <w:end w:w="110" w:type="dxa"/>
            </w:tcMar>
            <w:vAlign w:val="center"/>
          </w:tcPr>
          <w:p>
            <w:pPr>
              <w:spacing w:after="0" w:line="240" w:lineRule="auto"/>
              <w:jc w:val="center"/>
            </w:pPr>
            <w:r>
              <w:rPr>
                <w:rFonts w:ascii="Arial" w:hAnsi="Arial"/>
                <w:b w:val="0"/>
                <w:i w:val="0"/>
                <w:color w:val="000000"/>
                <w:sz w:val="19"/>
              </w:rPr>
              <w:t>Suresh Bhandari</w:t>
            </w:r>
          </w:p>
        </w:tc>
        <w:tc>
          <w:tcPr>
            <w:tcW w:type="dxa" w:w="2835"/>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9"/>
              </w:rPr>
              <w:t>Data Research and Validation</w:t>
            </w:r>
          </w:p>
        </w:tc>
        <w:tc>
          <w:tcPr>
            <w:tcW w:type="dxa" w:w="4535"/>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9"/>
              </w:rPr>
              <w:t>Public dataset research, source documentation and data validation</w:t>
            </w:r>
          </w:p>
        </w:tc>
      </w:tr>
      <w:tr>
        <w:trPr>
          <w:cantSplit/>
        </w:trPr>
        <w:tc>
          <w:tcPr>
            <w:tcW w:type="dxa" w:w="2268"/>
            <w:shd w:fill="EAF3F8"/>
            <w:tcMar>
              <w:top w:w="90" w:type="dxa"/>
              <w:start w:w="110" w:type="dxa"/>
              <w:bottom w:w="90" w:type="dxa"/>
              <w:end w:w="110" w:type="dxa"/>
            </w:tcMar>
            <w:vAlign w:val="center"/>
          </w:tcPr>
          <w:p>
            <w:pPr>
              <w:spacing w:after="0" w:line="240" w:lineRule="auto"/>
              <w:jc w:val="center"/>
            </w:pPr>
            <w:r>
              <w:rPr>
                <w:rFonts w:ascii="Arial" w:hAnsi="Arial"/>
                <w:b w:val="0"/>
                <w:i w:val="0"/>
                <w:color w:val="000000"/>
                <w:sz w:val="19"/>
              </w:rPr>
              <w:t>Sihao Cui</w:t>
            </w:r>
          </w:p>
        </w:tc>
        <w:tc>
          <w:tcPr>
            <w:tcW w:type="dxa" w:w="2835"/>
            <w:shd w:fill="EAF3F8"/>
            <w:tcMar>
              <w:top w:w="90" w:type="dxa"/>
              <w:start w:w="110" w:type="dxa"/>
              <w:bottom w:w="90" w:type="dxa"/>
              <w:end w:w="110" w:type="dxa"/>
            </w:tcMar>
            <w:vAlign w:val="center"/>
          </w:tcPr>
          <w:p>
            <w:pPr>
              <w:spacing w:after="0" w:line="240" w:lineRule="auto"/>
              <w:jc w:val="left"/>
            </w:pPr>
            <w:r>
              <w:rPr>
                <w:rFonts w:ascii="Arial" w:hAnsi="Arial"/>
                <w:b w:val="0"/>
                <w:i w:val="0"/>
                <w:color w:val="000000"/>
                <w:sz w:val="19"/>
              </w:rPr>
              <w:t>Frontend Engineering</w:t>
            </w:r>
          </w:p>
        </w:tc>
        <w:tc>
          <w:tcPr>
            <w:tcW w:type="dxa" w:w="4535"/>
            <w:shd w:fill="EAF3F8"/>
            <w:tcMar>
              <w:top w:w="90" w:type="dxa"/>
              <w:start w:w="110" w:type="dxa"/>
              <w:bottom w:w="90" w:type="dxa"/>
              <w:end w:w="110" w:type="dxa"/>
            </w:tcMar>
            <w:vAlign w:val="center"/>
          </w:tcPr>
          <w:p>
            <w:pPr>
              <w:spacing w:after="0" w:line="240" w:lineRule="auto"/>
              <w:jc w:val="left"/>
            </w:pPr>
            <w:r>
              <w:rPr>
                <w:rFonts w:ascii="Arial" w:hAnsi="Arial"/>
                <w:b w:val="0"/>
                <w:i w:val="0"/>
                <w:color w:val="000000"/>
                <w:sz w:val="19"/>
              </w:rPr>
              <w:t>React interface development, responsive layout and offline features</w:t>
            </w:r>
          </w:p>
        </w:tc>
      </w:tr>
      <w:tr>
        <w:trPr>
          <w:cantSplit/>
        </w:trPr>
        <w:tc>
          <w:tcPr>
            <w:tcW w:type="dxa" w:w="2268"/>
            <w:shd w:fill="FFFFFF"/>
            <w:tcMar>
              <w:top w:w="90" w:type="dxa"/>
              <w:start w:w="110" w:type="dxa"/>
              <w:bottom w:w="90" w:type="dxa"/>
              <w:end w:w="110" w:type="dxa"/>
            </w:tcMar>
            <w:vAlign w:val="center"/>
          </w:tcPr>
          <w:p>
            <w:pPr>
              <w:spacing w:after="0" w:line="240" w:lineRule="auto"/>
              <w:jc w:val="center"/>
            </w:pPr>
            <w:r>
              <w:rPr>
                <w:rFonts w:ascii="Arial" w:hAnsi="Arial"/>
                <w:b w:val="0"/>
                <w:i w:val="0"/>
                <w:color w:val="000000"/>
                <w:sz w:val="19"/>
              </w:rPr>
              <w:t>Keke Chen</w:t>
            </w:r>
          </w:p>
        </w:tc>
        <w:tc>
          <w:tcPr>
            <w:tcW w:type="dxa" w:w="2835"/>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9"/>
              </w:rPr>
              <w:t>Geospatial Data and Analytics</w:t>
            </w:r>
          </w:p>
        </w:tc>
        <w:tc>
          <w:tcPr>
            <w:tcW w:type="dxa" w:w="4535"/>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9"/>
              </w:rPr>
              <w:t>Leaflet mapping, GeoJSON processing and resilience analysis</w:t>
            </w:r>
          </w:p>
        </w:tc>
      </w:tr>
      <w:tr>
        <w:trPr>
          <w:cantSplit/>
        </w:trPr>
        <w:tc>
          <w:tcPr>
            <w:tcW w:type="dxa" w:w="2268"/>
            <w:shd w:fill="EAF3F8"/>
            <w:tcMar>
              <w:top w:w="90" w:type="dxa"/>
              <w:start w:w="110" w:type="dxa"/>
              <w:bottom w:w="90" w:type="dxa"/>
              <w:end w:w="110" w:type="dxa"/>
            </w:tcMar>
            <w:vAlign w:val="center"/>
          </w:tcPr>
          <w:p>
            <w:pPr>
              <w:spacing w:after="0" w:line="240" w:lineRule="auto"/>
              <w:jc w:val="center"/>
            </w:pPr>
            <w:r>
              <w:rPr>
                <w:rFonts w:ascii="Arial" w:hAnsi="Arial"/>
                <w:b w:val="0"/>
                <w:i w:val="0"/>
                <w:color w:val="000000"/>
                <w:sz w:val="19"/>
              </w:rPr>
              <w:t>Lizhi Xie</w:t>
            </w:r>
          </w:p>
        </w:tc>
        <w:tc>
          <w:tcPr>
            <w:tcW w:type="dxa" w:w="2835"/>
            <w:shd w:fill="EAF3F8"/>
            <w:tcMar>
              <w:top w:w="90" w:type="dxa"/>
              <w:start w:w="110" w:type="dxa"/>
              <w:bottom w:w="90" w:type="dxa"/>
              <w:end w:w="110" w:type="dxa"/>
            </w:tcMar>
            <w:vAlign w:val="center"/>
          </w:tcPr>
          <w:p>
            <w:pPr>
              <w:spacing w:after="0" w:line="240" w:lineRule="auto"/>
              <w:jc w:val="left"/>
            </w:pPr>
            <w:r>
              <w:rPr>
                <w:rFonts w:ascii="Arial" w:hAnsi="Arial"/>
                <w:b w:val="0"/>
                <w:i w:val="0"/>
                <w:color w:val="000000"/>
                <w:sz w:val="19"/>
              </w:rPr>
              <w:t>Product Design and User Experience</w:t>
            </w:r>
          </w:p>
        </w:tc>
        <w:tc>
          <w:tcPr>
            <w:tcW w:type="dxa" w:w="4535"/>
            <w:shd w:fill="EAF3F8"/>
            <w:tcMar>
              <w:top w:w="90" w:type="dxa"/>
              <w:start w:w="110" w:type="dxa"/>
              <w:bottom w:w="90" w:type="dxa"/>
              <w:end w:w="110" w:type="dxa"/>
            </w:tcMar>
            <w:vAlign w:val="center"/>
          </w:tcPr>
          <w:p>
            <w:pPr>
              <w:spacing w:after="0" w:line="240" w:lineRule="auto"/>
              <w:jc w:val="left"/>
            </w:pPr>
            <w:r>
              <w:rPr>
                <w:rFonts w:ascii="Arial" w:hAnsi="Arial"/>
                <w:b w:val="0"/>
                <w:i w:val="0"/>
                <w:color w:val="000000"/>
                <w:sz w:val="19"/>
              </w:rPr>
              <w:t>Product structure, user experience and decision support report design</w:t>
            </w:r>
          </w:p>
        </w:tc>
      </w:tr>
    </w:tbl>
    <w:p>
      <w:pPr>
        <w:spacing w:after="0"/>
      </w:pPr>
    </w:p>
    <w:p>
      <w:pPr>
        <w:spacing w:before="200"/>
        <w:jc w:val="center"/>
      </w:pPr>
      <w:r>
        <w:rPr>
          <w:rFonts w:ascii="Arial" w:hAnsi="Arial"/>
          <w:b/>
          <w:i w:val="0"/>
          <w:color w:val="5B6870"/>
          <w:sz w:val="20"/>
        </w:rPr>
        <w:t>Submission note  Replace Team Number XX before exporting the final PDF</w:t>
      </w:r>
    </w:p>
    <w:p>
      <w:r>
        <w:br w:type="page"/>
      </w:r>
    </w:p>
    <w:p>
      <w:pPr>
        <w:pStyle w:val="Heading1"/>
      </w:pPr>
      <w:r>
        <w:t>Summary</w:t>
      </w:r>
    </w:p>
    <w:p>
      <w:pPr>
        <w:keepLines w:val="0"/>
      </w:pPr>
      <w:r>
        <w:rPr>
          <w:rFonts w:ascii="Arial" w:hAnsi="Arial"/>
          <w:b w:val="0"/>
          <w:i w:val="0"/>
          <w:color w:val="000000"/>
          <w:sz w:val="22"/>
        </w:rPr>
        <w:t>Remote communities in the Northern Territory can lose access to communications, transport and essential services during severe weather, while the public data needed for preparation is distributed across separate agencies and formats. RemoteReady NT is a local, offline-friendly web prototype that brings community coverage locations, small-cell sites, essential facilities and historical tropical cyclone tracks into one map-led workflow. The project converts official and open datasets into GeoJSON, calculates historical cyclone-path proximity for 64 remote communities, and uses a clearly labelled simulation model to compare communications resilience gaps and resource options. Users can inspect evidence, filter cyclone history by year and distance, complete a preparedness checklist, retain selected content offline and download a community-specific decision-support report. The current catalogue contains 88 connectivity records, 385 default facility records and 1,133 Bureau of Meteorology cyclone tracks. A production build completes successfully; 11 of 14 automated tests currently pass, with three stale Dashboard tests requiring alignment with the latest interface. The main value is improved data traceability and a practical preparation sequence, not automated emergency dispatch. Ethical safeguards separate published facts from simulations, require local verification, and avoid claiming that historical proximity predicts damage. The next phase should be co-designed with First Nations communities, connect verified live service feeds, strengthen accessibility and offline coverage, and establish data governance before operational use.</w:t>
      </w:r>
    </w:p>
    <w:p>
      <w:pPr>
        <w:pStyle w:val="Heading1"/>
      </w:pPr>
      <w:r>
        <w:t>1 Introduction</w:t>
      </w:r>
    </w:p>
    <w:p>
      <w:pPr>
        <w:keepLines w:val="0"/>
      </w:pPr>
      <w:r>
        <w:rPr>
          <w:rFonts w:ascii="Arial" w:hAnsi="Arial"/>
          <w:b w:val="0"/>
          <w:i w:val="0"/>
          <w:color w:val="000000"/>
          <w:sz w:val="22"/>
        </w:rPr>
        <w:t>Northern Territory emergency planning must account for long travel distances, sparse infrastructure and communities whose communications options may be limited or difficult to verify quickly. Public information exists, but it is usually organised by source rather than by the decision a planner must make. Mobile coverage records, facility locations, cyclone tracks and preparedness guidance can therefore require separate searches, different file formats and repeated interpretation. During an exercise or early preparation window, this fragmentation increases the effort required to identify what is known, what is assumed and what must be checked locally.</w:t>
      </w:r>
    </w:p>
    <w:p>
      <w:pPr>
        <w:keepLines w:val="0"/>
      </w:pPr>
      <w:r>
        <w:rPr>
          <w:rFonts w:ascii="Arial" w:hAnsi="Arial"/>
          <w:b w:val="0"/>
          <w:i w:val="0"/>
          <w:color w:val="000000"/>
          <w:sz w:val="22"/>
        </w:rPr>
        <w:t>RemoteReady NT addresses this gap as a decision-support prototype for emergency planners, community organisations and service providers. Its purpose is to help a user locate a community, review published communications and facility references, examine historical cyclone-path proximity, compare simulated resilience gaps and produce a concise report for follow-up. The product deliberately stops short of live warning, fault detection, procurement or dispatch. It supports preparation and structured verification; it does not replace the Bureau of Meteorology, emergency services, telecommunications providers or local community authority.</w:t>
      </w:r>
    </w:p>
    <w:p>
      <w:pPr>
        <w:keepLines w:val="0"/>
      </w:pPr>
      <w:r>
        <w:rPr>
          <w:rFonts w:ascii="Arial" w:hAnsi="Arial"/>
          <w:b w:val="0"/>
          <w:i w:val="0"/>
          <w:color w:val="000000"/>
          <w:sz w:val="22"/>
        </w:rPr>
        <w:t>The project scope covers three connected functions. The Dashboard provides the spatial evidence and historical analysis. Preparedness records eight practical checks on the current device and creates a decision-support PDF. Data Sources documents provenance, refresh status, record counts and limitations. The interface follows familiar public-safety patterns: clear status hierarchy from the Queensland Disaster Dashboard, map-layer organisation from the First Nations Connectivity Mapping Tool, uncertainty language from Bureau of Meteorology cyclone products, and mobile/offline cues inspired by Saftera. These references guided information structure rather than visual copying of agency identity.</w:t>
      </w:r>
    </w:p>
    <w:p>
      <w:r>
        <w:br w:type="page"/>
      </w:r>
    </w:p>
    <w:p>
      <w:pPr>
        <w:pStyle w:val="Heading1"/>
      </w:pPr>
      <w:r>
        <w:t>2 Methodology</w:t>
      </w:r>
    </w:p>
    <w:p>
      <w:pPr>
        <w:pStyle w:val="Heading2"/>
      </w:pPr>
      <w:r>
        <w:t>2.1 Data acquisition and provenance</w:t>
      </w:r>
    </w:p>
    <w:p>
      <w:pPr>
        <w:keepLines w:val="0"/>
      </w:pPr>
      <w:r>
        <w:rPr>
          <w:rFonts w:ascii="Arial" w:hAnsi="Arial"/>
          <w:b w:val="0"/>
          <w:i w:val="0"/>
          <w:color w:val="000000"/>
          <w:sz w:val="22"/>
        </w:rPr>
        <w:t>The data pipeline uses public sources and stores browser-ready files in the version-controlled app public data directory. A Python refresh script downloads or transforms spreadsheets where access is available, retains source URLs and errors in a download log, and produces GeoJSON or JSON for the React application. This separation allows the prototype to start without network-dependent refresh operations. On 18 September 2026, seven of eight catalogue sources were available; the ACCC Mobile Infrastructure Report page returned HTTP 403 and was retained as an unavailable reference rather than silently omitted.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09"/>
        <w:gridCol w:w="2409"/>
        <w:gridCol w:w="2409"/>
        <w:gridCol w:w="2409"/>
      </w:tblGrid>
      <w:tr>
        <w:trPr>
          <w:tblHeader w:val="true"/>
        </w:trPr>
        <w:tc>
          <w:tcPr>
            <w:tcW w:type="dxa" w:w="1871"/>
            <w:shd w:fill="07334E"/>
            <w:tcMar>
              <w:top w:w="95" w:type="dxa"/>
              <w:start w:w="110" w:type="dxa"/>
              <w:bottom w:w="95" w:type="dxa"/>
              <w:end w:w="110" w:type="dxa"/>
            </w:tcMar>
            <w:vAlign w:val="center"/>
          </w:tcPr>
          <w:p>
            <w:pPr>
              <w:spacing w:after="0"/>
              <w:jc w:val="center"/>
            </w:pPr>
            <w:r>
              <w:rPr>
                <w:rFonts w:ascii="Arial" w:hAnsi="Arial"/>
                <w:b/>
                <w:i w:val="0"/>
                <w:color w:val="FFFFFF"/>
                <w:sz w:val="18"/>
              </w:rPr>
              <w:t>Provider</w:t>
            </w:r>
          </w:p>
        </w:tc>
        <w:tc>
          <w:tcPr>
            <w:tcW w:type="dxa" w:w="2665"/>
            <w:shd w:fill="07334E"/>
            <w:tcMar>
              <w:top w:w="95" w:type="dxa"/>
              <w:start w:w="110" w:type="dxa"/>
              <w:bottom w:w="95" w:type="dxa"/>
              <w:end w:w="110" w:type="dxa"/>
            </w:tcMar>
            <w:vAlign w:val="center"/>
          </w:tcPr>
          <w:p>
            <w:pPr>
              <w:spacing w:after="0"/>
              <w:jc w:val="left"/>
            </w:pPr>
            <w:r>
              <w:rPr>
                <w:rFonts w:ascii="Arial" w:hAnsi="Arial"/>
                <w:b/>
                <w:i w:val="0"/>
                <w:color w:val="FFFFFF"/>
                <w:sz w:val="18"/>
              </w:rPr>
              <w:t>Dataset</w:t>
            </w:r>
          </w:p>
        </w:tc>
        <w:tc>
          <w:tcPr>
            <w:tcW w:type="dxa" w:w="1757"/>
            <w:shd w:fill="07334E"/>
            <w:tcMar>
              <w:top w:w="95" w:type="dxa"/>
              <w:start w:w="110" w:type="dxa"/>
              <w:bottom w:w="95" w:type="dxa"/>
              <w:end w:w="110" w:type="dxa"/>
            </w:tcMar>
            <w:vAlign w:val="center"/>
          </w:tcPr>
          <w:p>
            <w:pPr>
              <w:spacing w:after="0"/>
              <w:jc w:val="left"/>
            </w:pPr>
            <w:r>
              <w:rPr>
                <w:rFonts w:ascii="Arial" w:hAnsi="Arial"/>
                <w:b/>
                <w:i w:val="0"/>
                <w:color w:val="FFFFFF"/>
                <w:sz w:val="18"/>
              </w:rPr>
              <w:t>Local scope</w:t>
            </w:r>
          </w:p>
        </w:tc>
        <w:tc>
          <w:tcPr>
            <w:tcW w:type="dxa" w:w="3345"/>
            <w:shd w:fill="07334E"/>
            <w:tcMar>
              <w:top w:w="95" w:type="dxa"/>
              <w:start w:w="110" w:type="dxa"/>
              <w:bottom w:w="95" w:type="dxa"/>
              <w:end w:w="110" w:type="dxa"/>
            </w:tcMar>
            <w:vAlign w:val="center"/>
          </w:tcPr>
          <w:p>
            <w:pPr>
              <w:spacing w:after="0"/>
              <w:jc w:val="left"/>
            </w:pPr>
            <w:r>
              <w:rPr>
                <w:rFonts w:ascii="Arial" w:hAnsi="Arial"/>
                <w:b/>
                <w:i w:val="0"/>
                <w:color w:val="FFFFFF"/>
                <w:sz w:val="18"/>
              </w:rPr>
              <w:t>Use in prototype</w:t>
            </w:r>
          </w:p>
        </w:tc>
      </w:tr>
      <w:tr>
        <w:trPr>
          <w:cantSplit/>
        </w:trPr>
        <w:tc>
          <w:tcPr>
            <w:tcW w:type="dxa" w:w="1871"/>
            <w:shd w:fill="FFFFFF"/>
            <w:tcMar>
              <w:top w:w="90" w:type="dxa"/>
              <w:start w:w="110" w:type="dxa"/>
              <w:bottom w:w="90" w:type="dxa"/>
              <w:end w:w="110" w:type="dxa"/>
            </w:tcMar>
            <w:vAlign w:val="center"/>
          </w:tcPr>
          <w:p>
            <w:pPr>
              <w:spacing w:after="0" w:line="240" w:lineRule="auto"/>
              <w:jc w:val="center"/>
            </w:pPr>
            <w:r>
              <w:rPr>
                <w:rFonts w:ascii="Arial" w:hAnsi="Arial"/>
                <w:b w:val="0"/>
                <w:i w:val="0"/>
                <w:color w:val="000000"/>
                <w:sz w:val="18"/>
              </w:rPr>
              <w:t>NT Government Open Data</w:t>
            </w:r>
          </w:p>
        </w:tc>
        <w:tc>
          <w:tcPr>
            <w:tcW w:type="dxa" w:w="2665"/>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Remote community mobile coverage</w:t>
            </w:r>
          </w:p>
        </w:tc>
        <w:tc>
          <w:tcPr>
            <w:tcW w:type="dxa" w:w="1757"/>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64 community records</w:t>
            </w:r>
          </w:p>
        </w:tc>
        <w:tc>
          <w:tcPr>
            <w:tcW w:type="dxa" w:w="3345"/>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Published location and service fields</w:t>
            </w:r>
          </w:p>
        </w:tc>
      </w:tr>
      <w:tr>
        <w:trPr>
          <w:cantSplit/>
        </w:trPr>
        <w:tc>
          <w:tcPr>
            <w:tcW w:type="dxa" w:w="1871"/>
            <w:shd w:fill="EAF3F8"/>
            <w:tcMar>
              <w:top w:w="90" w:type="dxa"/>
              <w:start w:w="110" w:type="dxa"/>
              <w:bottom w:w="90" w:type="dxa"/>
              <w:end w:w="110" w:type="dxa"/>
            </w:tcMar>
            <w:vAlign w:val="center"/>
          </w:tcPr>
          <w:p>
            <w:pPr>
              <w:spacing w:after="0" w:line="240" w:lineRule="auto"/>
              <w:jc w:val="center"/>
            </w:pPr>
            <w:r>
              <w:rPr>
                <w:rFonts w:ascii="Arial" w:hAnsi="Arial"/>
                <w:b w:val="0"/>
                <w:i w:val="0"/>
                <w:color w:val="000000"/>
                <w:sz w:val="18"/>
              </w:rPr>
              <w:t>NT Government Open Data</w:t>
            </w:r>
          </w:p>
        </w:tc>
        <w:tc>
          <w:tcPr>
            <w:tcW w:type="dxa" w:w="2665"/>
            <w:shd w:fill="EAF3F8"/>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Remote small-cell coverage</w:t>
            </w:r>
          </w:p>
        </w:tc>
        <w:tc>
          <w:tcPr>
            <w:tcW w:type="dxa" w:w="1757"/>
            <w:shd w:fill="EAF3F8"/>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24 site records</w:t>
            </w:r>
          </w:p>
        </w:tc>
        <w:tc>
          <w:tcPr>
            <w:tcW w:type="dxa" w:w="3345"/>
            <w:shd w:fill="EAF3F8"/>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Connectivity reference points</w:t>
            </w:r>
          </w:p>
        </w:tc>
      </w:tr>
      <w:tr>
        <w:trPr>
          <w:cantSplit/>
        </w:trPr>
        <w:tc>
          <w:tcPr>
            <w:tcW w:type="dxa" w:w="1871"/>
            <w:shd w:fill="FFFFFF"/>
            <w:tcMar>
              <w:top w:w="90" w:type="dxa"/>
              <w:start w:w="110" w:type="dxa"/>
              <w:bottom w:w="90" w:type="dxa"/>
              <w:end w:w="110" w:type="dxa"/>
            </w:tcMar>
            <w:vAlign w:val="center"/>
          </w:tcPr>
          <w:p>
            <w:pPr>
              <w:spacing w:after="0" w:line="240" w:lineRule="auto"/>
              <w:jc w:val="center"/>
            </w:pPr>
            <w:r>
              <w:rPr>
                <w:rFonts w:ascii="Arial" w:hAnsi="Arial"/>
                <w:b w:val="0"/>
                <w:i w:val="0"/>
                <w:color w:val="000000"/>
                <w:sz w:val="18"/>
              </w:rPr>
              <w:t>OpenStreetMap contributors</w:t>
            </w:r>
          </w:p>
        </w:tc>
        <w:tc>
          <w:tcPr>
            <w:tcW w:type="dxa" w:w="2665"/>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Essential-service locations</w:t>
            </w:r>
          </w:p>
        </w:tc>
        <w:tc>
          <w:tcPr>
            <w:tcW w:type="dxa" w:w="1757"/>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1,080 raw; 385 displayed</w:t>
            </w:r>
          </w:p>
        </w:tc>
        <w:tc>
          <w:tcPr>
            <w:tcW w:type="dxa" w:w="3345"/>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Health, education and community-service context</w:t>
            </w:r>
          </w:p>
        </w:tc>
      </w:tr>
      <w:tr>
        <w:trPr>
          <w:cantSplit/>
        </w:trPr>
        <w:tc>
          <w:tcPr>
            <w:tcW w:type="dxa" w:w="1871"/>
            <w:shd w:fill="EAF3F8"/>
            <w:tcMar>
              <w:top w:w="90" w:type="dxa"/>
              <w:start w:w="110" w:type="dxa"/>
              <w:bottom w:w="90" w:type="dxa"/>
              <w:end w:w="110" w:type="dxa"/>
            </w:tcMar>
            <w:vAlign w:val="center"/>
          </w:tcPr>
          <w:p>
            <w:pPr>
              <w:spacing w:after="0" w:line="240" w:lineRule="auto"/>
              <w:jc w:val="center"/>
            </w:pPr>
            <w:r>
              <w:rPr>
                <w:rFonts w:ascii="Arial" w:hAnsi="Arial"/>
                <w:b w:val="0"/>
                <w:i w:val="0"/>
                <w:color w:val="000000"/>
                <w:sz w:val="18"/>
              </w:rPr>
              <w:t>Bureau of Meteorology</w:t>
            </w:r>
          </w:p>
        </w:tc>
        <w:tc>
          <w:tcPr>
            <w:tcW w:type="dxa" w:w="2665"/>
            <w:shd w:fill="EAF3F8"/>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Australian tropical cyclone database</w:t>
            </w:r>
          </w:p>
        </w:tc>
        <w:tc>
          <w:tcPr>
            <w:tcW w:type="dxa" w:w="1757"/>
            <w:shd w:fill="EAF3F8"/>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31,706 points; 1,133 tracks</w:t>
            </w:r>
          </w:p>
        </w:tc>
        <w:tc>
          <w:tcPr>
            <w:tcW w:type="dxa" w:w="3345"/>
            <w:shd w:fill="EAF3F8"/>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Historical best-track analysis</w:t>
            </w:r>
          </w:p>
        </w:tc>
      </w:tr>
      <w:tr>
        <w:trPr>
          <w:cantSplit/>
        </w:trPr>
        <w:tc>
          <w:tcPr>
            <w:tcW w:type="dxa" w:w="1871"/>
            <w:shd w:fill="FFFFFF"/>
            <w:tcMar>
              <w:top w:w="90" w:type="dxa"/>
              <w:start w:w="110" w:type="dxa"/>
              <w:bottom w:w="90" w:type="dxa"/>
              <w:end w:w="110" w:type="dxa"/>
            </w:tcMar>
            <w:vAlign w:val="center"/>
          </w:tcPr>
          <w:p>
            <w:pPr>
              <w:spacing w:after="0" w:line="240" w:lineRule="auto"/>
              <w:jc w:val="center"/>
            </w:pPr>
            <w:r>
              <w:rPr>
                <w:rFonts w:ascii="Arial" w:hAnsi="Arial"/>
                <w:b w:val="0"/>
                <w:i w:val="0"/>
                <w:color w:val="000000"/>
                <w:sz w:val="18"/>
              </w:rPr>
              <w:t>ABS and Infrastructure Department</w:t>
            </w:r>
          </w:p>
        </w:tc>
        <w:tc>
          <w:tcPr>
            <w:tcW w:type="dxa" w:w="2665"/>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Census and digital inclusion references</w:t>
            </w:r>
          </w:p>
        </w:tc>
        <w:tc>
          <w:tcPr>
            <w:tcW w:type="dxa" w:w="1757"/>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Reference sources</w:t>
            </w:r>
          </w:p>
        </w:tc>
        <w:tc>
          <w:tcPr>
            <w:tcW w:type="dxa" w:w="3345"/>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Population and policy context</w:t>
            </w:r>
          </w:p>
        </w:tc>
      </w:tr>
    </w:tbl>
    <w:p>
      <w:pPr>
        <w:spacing w:after="0"/>
      </w:pPr>
    </w:p>
    <w:p>
      <w:pPr>
        <w:pStyle w:val="Caption"/>
        <w:jc w:val="center"/>
      </w:pPr>
      <w:r>
        <w:t>Table 1  Public data used by RemoteReady NT</w:t>
      </w:r>
    </w:p>
    <w:p>
      <w:pPr>
        <w:keepLines w:val="0"/>
      </w:pPr>
      <w:r>
        <w:rPr>
          <w:rFonts w:ascii="Arial" w:hAnsi="Arial"/>
          <w:b w:val="0"/>
          <w:i w:val="0"/>
          <w:color w:val="000000"/>
          <w:sz w:val="22"/>
        </w:rPr>
        <w:t>Data minimisation rules are applied before display. The map retains all 1,080 imported OpenStreetMap records locally, while unnamed records and generic shelters are excluded from the default search and map. This leaves 385 facilities that users can interpret more reliably. The application preserves the distinction between a mapped location and a verified operating service. A point on the map does not prove that a facility is open, stocked, accessible or associated with the nearest community.</w:t>
      </w:r>
    </w:p>
    <w:p>
      <w:pPr>
        <w:pStyle w:val="Heading2"/>
      </w:pPr>
      <w:r>
        <w:t>2.2 Historical cyclone proximity</w:t>
      </w:r>
    </w:p>
    <w:p>
      <w:pPr>
        <w:keepLines w:val="0"/>
      </w:pPr>
      <w:r>
        <w:rPr>
          <w:rFonts w:ascii="Arial" w:hAnsi="Arial"/>
          <w:b w:val="0"/>
          <w:i w:val="0"/>
          <w:color w:val="000000"/>
          <w:sz w:val="22"/>
        </w:rPr>
        <w:t>The historical analysis joins each community point to Bureau of Meteorology best-track data. Only systems containing records marked TYPE T are counted as tropical cyclones. For each system, the script calculates the shortest spherical distance from the community point to every track segment, including date-line handling, and records the minimum distance. A cyclone counts no more than once for each community. The default comparison uses 2007 to 2026 and a 100 km radius; the catalogue retains encounters up to 300 km so users can test 50, 100, 150, 200 and 300 km thresholds without rebuilding the data.</w:t>
      </w:r>
    </w:p>
    <w:p>
      <w:pPr>
        <w:keepLines w:val="0"/>
      </w:pPr>
      <w:r>
        <w:rPr>
          <w:rFonts w:ascii="Arial" w:hAnsi="Arial"/>
          <w:b w:val="0"/>
          <w:i w:val="0"/>
          <w:color w:val="000000"/>
          <w:sz w:val="22"/>
        </w:rPr>
        <w:t>The ranking sorts communities by the number of distinct cyclone paths within the selected period and radius, then by nearest path distance and community name. Each result remains traceable to storm identifier, name, year and distance. The measure is deliberately named path proximity. It is not a probability forecast, damage record or estimate of wind, rain, flooding or network failure. Some older tracks contain sparse observations, so the line between recorded points is an interpolation. The interface repeats these limits beside the filters and in community details.</w:t>
      </w:r>
    </w:p>
    <w:p>
      <w:r>
        <w:br w:type="page"/>
      </w:r>
    </w:p>
    <w:p>
      <w:pPr>
        <w:pStyle w:val="Heading2"/>
      </w:pPr>
      <w:r>
        <w:t>2.3 Resilience simulation and resource comparison</w:t>
      </w:r>
    </w:p>
    <w:p>
      <w:pPr>
        <w:keepLines w:val="0"/>
      </w:pPr>
      <w:r>
        <w:rPr>
          <w:rFonts w:ascii="Arial" w:hAnsi="Arial"/>
          <w:b w:val="0"/>
          <w:i w:val="0"/>
          <w:color w:val="000000"/>
          <w:sz w:val="22"/>
        </w:rPr>
        <w:t>Because no verified, community-level inventory of backup routes, power duration, continuity plans or equipment stock was available, the project does not infer real capability from geography. Instead, a reproducible fictional simulation assigns each of the 64 communities a state for five dimensions. The weights are route redundancy 30, backup power 25, critical-service communications 20, alerts and offline information 15, and operational readiness 10. Each state has a level of 0, 0.5 or 1, and the total score is the sum of level multiplied by weight. The values are generated from a fixed model version and community identifier, not from historical cyclone counts.</w:t>
      </w:r>
    </w:p>
    <w:p>
      <w:pPr>
        <w:keepLines w:val="0"/>
      </w:pPr>
      <w:r>
        <w:rPr>
          <w:rFonts w:ascii="Arial" w:hAnsi="Arial"/>
          <w:b w:val="0"/>
          <w:i w:val="0"/>
          <w:color w:val="000000"/>
          <w:sz w:val="22"/>
        </w:rPr>
        <w:t>Five resource options advance one simulated dimension by one state when their prerequisites are met. The interface recalculates the resulting score and shows relative cost units. Every record is labelled simulation; every deployment eligibility value is false. This supports a transparent what-if comparison without presenting fabricated inventory or cost as fact. The current simulated distribution contains 18 lower-band, 33 middle-band and 13 higher-band communities, with a mean score of 50.3. These figures describe the demonstration dataset only and must not be used to compare real communities.</w:t>
      </w:r>
    </w:p>
    <w:p>
      <w:pPr>
        <w:pStyle w:val="Heading2"/>
      </w:pPr>
      <w:r>
        <w:t>2.4 Application and interaction design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trPr>
        <w:tc>
          <w:tcPr>
            <w:tcW w:type="dxa" w:w="1361"/>
            <w:shd w:fill="07334E"/>
            <w:tcMar>
              <w:top w:w="95" w:type="dxa"/>
              <w:start w:w="110" w:type="dxa"/>
              <w:bottom w:w="95" w:type="dxa"/>
              <w:end w:w="110" w:type="dxa"/>
            </w:tcMar>
            <w:vAlign w:val="center"/>
          </w:tcPr>
          <w:p>
            <w:pPr>
              <w:spacing w:after="0"/>
              <w:jc w:val="center"/>
            </w:pPr>
            <w:r>
              <w:rPr>
                <w:rFonts w:ascii="Arial" w:hAnsi="Arial"/>
                <w:b/>
                <w:i w:val="0"/>
                <w:color w:val="FFFFFF"/>
                <w:sz w:val="18"/>
              </w:rPr>
              <w:t>Layer</w:t>
            </w:r>
          </w:p>
        </w:tc>
        <w:tc>
          <w:tcPr>
            <w:tcW w:type="dxa" w:w="3005"/>
            <w:shd w:fill="07334E"/>
            <w:tcMar>
              <w:top w:w="95" w:type="dxa"/>
              <w:start w:w="110" w:type="dxa"/>
              <w:bottom w:w="95" w:type="dxa"/>
              <w:end w:w="110" w:type="dxa"/>
            </w:tcMar>
            <w:vAlign w:val="center"/>
          </w:tcPr>
          <w:p>
            <w:pPr>
              <w:spacing w:after="0"/>
              <w:jc w:val="left"/>
            </w:pPr>
            <w:r>
              <w:rPr>
                <w:rFonts w:ascii="Arial" w:hAnsi="Arial"/>
                <w:b/>
                <w:i w:val="0"/>
                <w:color w:val="FFFFFF"/>
                <w:sz w:val="18"/>
              </w:rPr>
              <w:t>Implementation</w:t>
            </w:r>
          </w:p>
        </w:tc>
        <w:tc>
          <w:tcPr>
            <w:tcW w:type="dxa" w:w="5272"/>
            <w:shd w:fill="07334E"/>
            <w:tcMar>
              <w:top w:w="95" w:type="dxa"/>
              <w:start w:w="110" w:type="dxa"/>
              <w:bottom w:w="95" w:type="dxa"/>
              <w:end w:w="110" w:type="dxa"/>
            </w:tcMar>
            <w:vAlign w:val="center"/>
          </w:tcPr>
          <w:p>
            <w:pPr>
              <w:spacing w:after="0"/>
              <w:jc w:val="left"/>
            </w:pPr>
            <w:r>
              <w:rPr>
                <w:rFonts w:ascii="Arial" w:hAnsi="Arial"/>
                <w:b/>
                <w:i w:val="0"/>
                <w:color w:val="FFFFFF"/>
                <w:sz w:val="18"/>
              </w:rPr>
              <w:t>Purpose</w:t>
            </w:r>
          </w:p>
        </w:tc>
      </w:tr>
      <w:tr>
        <w:trPr>
          <w:cantSplit/>
        </w:trPr>
        <w:tc>
          <w:tcPr>
            <w:tcW w:type="dxa" w:w="1361"/>
            <w:shd w:fill="FFFFFF"/>
            <w:tcMar>
              <w:top w:w="90" w:type="dxa"/>
              <w:start w:w="110" w:type="dxa"/>
              <w:bottom w:w="90" w:type="dxa"/>
              <w:end w:w="110" w:type="dxa"/>
            </w:tcMar>
            <w:vAlign w:val="center"/>
          </w:tcPr>
          <w:p>
            <w:pPr>
              <w:spacing w:after="0" w:line="240" w:lineRule="auto"/>
              <w:jc w:val="center"/>
            </w:pPr>
            <w:r>
              <w:rPr>
                <w:rFonts w:ascii="Arial" w:hAnsi="Arial"/>
                <w:b w:val="0"/>
                <w:i w:val="0"/>
                <w:color w:val="000000"/>
                <w:sz w:val="18"/>
              </w:rPr>
              <w:t>Collection</w:t>
            </w:r>
          </w:p>
        </w:tc>
        <w:tc>
          <w:tcPr>
            <w:tcW w:type="dxa" w:w="3005"/>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Python and openpyxl</w:t>
            </w:r>
          </w:p>
        </w:tc>
        <w:tc>
          <w:tcPr>
            <w:tcW w:type="dxa" w:w="5272"/>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Downloads public files and records source status</w:t>
            </w:r>
          </w:p>
        </w:tc>
      </w:tr>
      <w:tr>
        <w:trPr>
          <w:cantSplit/>
        </w:trPr>
        <w:tc>
          <w:tcPr>
            <w:tcW w:type="dxa" w:w="1361"/>
            <w:shd w:fill="EAF3F8"/>
            <w:tcMar>
              <w:top w:w="90" w:type="dxa"/>
              <w:start w:w="110" w:type="dxa"/>
              <w:bottom w:w="90" w:type="dxa"/>
              <w:end w:w="110" w:type="dxa"/>
            </w:tcMar>
            <w:vAlign w:val="center"/>
          </w:tcPr>
          <w:p>
            <w:pPr>
              <w:spacing w:after="0" w:line="240" w:lineRule="auto"/>
              <w:jc w:val="center"/>
            </w:pPr>
            <w:r>
              <w:rPr>
                <w:rFonts w:ascii="Arial" w:hAnsi="Arial"/>
                <w:b w:val="0"/>
                <w:i w:val="0"/>
                <w:color w:val="000000"/>
                <w:sz w:val="18"/>
              </w:rPr>
              <w:t>Processing</w:t>
            </w:r>
          </w:p>
        </w:tc>
        <w:tc>
          <w:tcPr>
            <w:tcW w:type="dxa" w:w="3005"/>
            <w:shd w:fill="EAF3F8"/>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GeoJSON and deterministic scripts</w:t>
            </w:r>
          </w:p>
        </w:tc>
        <w:tc>
          <w:tcPr>
            <w:tcW w:type="dxa" w:w="5272"/>
            <w:shd w:fill="EAF3F8"/>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Normalises locations, tracks, proximity and simulation data</w:t>
            </w:r>
          </w:p>
        </w:tc>
      </w:tr>
      <w:tr>
        <w:trPr>
          <w:cantSplit/>
        </w:trPr>
        <w:tc>
          <w:tcPr>
            <w:tcW w:type="dxa" w:w="1361"/>
            <w:shd w:fill="FFFFFF"/>
            <w:tcMar>
              <w:top w:w="90" w:type="dxa"/>
              <w:start w:w="110" w:type="dxa"/>
              <w:bottom w:w="90" w:type="dxa"/>
              <w:end w:w="110" w:type="dxa"/>
            </w:tcMar>
            <w:vAlign w:val="center"/>
          </w:tcPr>
          <w:p>
            <w:pPr>
              <w:spacing w:after="0" w:line="240" w:lineRule="auto"/>
              <w:jc w:val="center"/>
            </w:pPr>
            <w:r>
              <w:rPr>
                <w:rFonts w:ascii="Arial" w:hAnsi="Arial"/>
                <w:b w:val="0"/>
                <w:i w:val="0"/>
                <w:color w:val="000000"/>
                <w:sz w:val="18"/>
              </w:rPr>
              <w:t>Interface</w:t>
            </w:r>
          </w:p>
        </w:tc>
        <w:tc>
          <w:tcPr>
            <w:tcW w:type="dxa" w:w="3005"/>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React, TypeScript, Vite and Leaflet</w:t>
            </w:r>
          </w:p>
        </w:tc>
        <w:tc>
          <w:tcPr>
            <w:tcW w:type="dxa" w:w="5272"/>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Map exploration, filters, ranking and detail views</w:t>
            </w:r>
          </w:p>
        </w:tc>
      </w:tr>
      <w:tr>
        <w:trPr>
          <w:cantSplit/>
        </w:trPr>
        <w:tc>
          <w:tcPr>
            <w:tcW w:type="dxa" w:w="1361"/>
            <w:shd w:fill="EAF3F8"/>
            <w:tcMar>
              <w:top w:w="90" w:type="dxa"/>
              <w:start w:w="110" w:type="dxa"/>
              <w:bottom w:w="90" w:type="dxa"/>
              <w:end w:w="110" w:type="dxa"/>
            </w:tcMar>
            <w:vAlign w:val="center"/>
          </w:tcPr>
          <w:p>
            <w:pPr>
              <w:spacing w:after="0" w:line="240" w:lineRule="auto"/>
              <w:jc w:val="center"/>
            </w:pPr>
            <w:r>
              <w:rPr>
                <w:rFonts w:ascii="Arial" w:hAnsi="Arial"/>
                <w:b w:val="0"/>
                <w:i w:val="0"/>
                <w:color w:val="000000"/>
                <w:sz w:val="18"/>
              </w:rPr>
              <w:t>Offline</w:t>
            </w:r>
          </w:p>
        </w:tc>
        <w:tc>
          <w:tcPr>
            <w:tcW w:type="dxa" w:w="3005"/>
            <w:shd w:fill="EAF3F8"/>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Progressive Web App and local storage</w:t>
            </w:r>
          </w:p>
        </w:tc>
        <w:tc>
          <w:tcPr>
            <w:tcW w:type="dxa" w:w="5272"/>
            <w:shd w:fill="EAF3F8"/>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Caches application files and visited map tiles; stores checklist state</w:t>
            </w:r>
          </w:p>
        </w:tc>
      </w:tr>
      <w:tr>
        <w:trPr>
          <w:cantSplit/>
        </w:trPr>
        <w:tc>
          <w:tcPr>
            <w:tcW w:type="dxa" w:w="1361"/>
            <w:shd w:fill="FFFFFF"/>
            <w:tcMar>
              <w:top w:w="90" w:type="dxa"/>
              <w:start w:w="110" w:type="dxa"/>
              <w:bottom w:w="90" w:type="dxa"/>
              <w:end w:w="110" w:type="dxa"/>
            </w:tcMar>
            <w:vAlign w:val="center"/>
          </w:tcPr>
          <w:p>
            <w:pPr>
              <w:spacing w:after="0" w:line="240" w:lineRule="auto"/>
              <w:jc w:val="center"/>
            </w:pPr>
            <w:r>
              <w:rPr>
                <w:rFonts w:ascii="Arial" w:hAnsi="Arial"/>
                <w:b w:val="0"/>
                <w:i w:val="0"/>
                <w:color w:val="000000"/>
                <w:sz w:val="18"/>
              </w:rPr>
              <w:t>Output</w:t>
            </w:r>
          </w:p>
        </w:tc>
        <w:tc>
          <w:tcPr>
            <w:tcW w:type="dxa" w:w="3005"/>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jsPDF</w:t>
            </w:r>
          </w:p>
        </w:tc>
        <w:tc>
          <w:tcPr>
            <w:tcW w:type="dxa" w:w="5272"/>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Creates community-specific or whole-of-exercise decision-support reports</w:t>
            </w:r>
          </w:p>
        </w:tc>
      </w:tr>
      <w:tr>
        <w:trPr>
          <w:cantSplit/>
        </w:trPr>
        <w:tc>
          <w:tcPr>
            <w:tcW w:type="dxa" w:w="1361"/>
            <w:shd w:fill="EAF3F8"/>
            <w:tcMar>
              <w:top w:w="90" w:type="dxa"/>
              <w:start w:w="110" w:type="dxa"/>
              <w:bottom w:w="90" w:type="dxa"/>
              <w:end w:w="110" w:type="dxa"/>
            </w:tcMar>
            <w:vAlign w:val="center"/>
          </w:tcPr>
          <w:p>
            <w:pPr>
              <w:spacing w:after="0" w:line="240" w:lineRule="auto"/>
              <w:jc w:val="center"/>
            </w:pPr>
            <w:r>
              <w:rPr>
                <w:rFonts w:ascii="Arial" w:hAnsi="Arial"/>
                <w:b w:val="0"/>
                <w:i w:val="0"/>
                <w:color w:val="000000"/>
                <w:sz w:val="18"/>
              </w:rPr>
              <w:t>Verification</w:t>
            </w:r>
          </w:p>
        </w:tc>
        <w:tc>
          <w:tcPr>
            <w:tcW w:type="dxa" w:w="3005"/>
            <w:shd w:fill="EAF3F8"/>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Vitest and Playwright</w:t>
            </w:r>
          </w:p>
        </w:tc>
        <w:tc>
          <w:tcPr>
            <w:tcW w:type="dxa" w:w="5272"/>
            <w:shd w:fill="EAF3F8"/>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Unit, interaction and desktop/mobile visual checks</w:t>
            </w:r>
          </w:p>
        </w:tc>
      </w:tr>
    </w:tbl>
    <w:p>
      <w:pPr>
        <w:spacing w:after="0"/>
      </w:pPr>
    </w:p>
    <w:p>
      <w:pPr>
        <w:pStyle w:val="Caption"/>
        <w:jc w:val="center"/>
      </w:pPr>
      <w:r>
        <w:t>Table 2  Prototype architecture and responsibilities</w:t>
      </w:r>
    </w:p>
    <w:p>
      <w:pPr>
        <w:keepLines w:val="0"/>
      </w:pPr>
      <w:r>
        <w:rPr>
          <w:rFonts w:ascii="Arial" w:hAnsi="Arial"/>
          <w:b w:val="0"/>
          <w:i w:val="0"/>
          <w:color w:val="000000"/>
          <w:sz w:val="22"/>
        </w:rPr>
        <w:t>The interface centres on evidence traceability. Selecting a community opens published provider and backhaul fields, linked facilities where available, the historical label or derived scenario record, and a local verification list. Selecting a cyclone highlights its existing track rather than drawing a second duplicate line. The Preparedness page stores checklist completion locally, while the downloadable report uses the currently selected community or all communities when no location is selected.</w:t>
      </w:r>
    </w:p>
    <w:p>
      <w:r>
        <w:br w:type="page"/>
      </w:r>
    </w:p>
    <w:p>
      <w:pPr>
        <w:pStyle w:val="Heading1"/>
      </w:pPr>
      <w:r>
        <w:t>3 Findings</w:t>
      </w:r>
    </w:p>
    <w:p>
      <w:pPr>
        <w:pStyle w:val="Heading2"/>
      </w:pPr>
      <w:r>
        <w:t>3.1 Consolidated spatial evidence</w:t>
      </w:r>
    </w:p>
    <w:p>
      <w:pPr>
        <w:keepLines w:val="0"/>
      </w:pPr>
      <w:r>
        <w:rPr>
          <w:rFonts w:ascii="Arial" w:hAnsi="Arial"/>
          <w:b w:val="0"/>
          <w:i w:val="0"/>
          <w:color w:val="000000"/>
          <w:sz w:val="22"/>
        </w:rPr>
        <w:t>The prototype demonstrates that multiple public datasets can be converted into one consistent map without hiding their different meanings. Users can search 64 remote community records and 24 small-cell records, then add essential facilities by category. The source catalogue shows refresh date, availability, provider and record count. This is a practical improvement over a map that presents points without provenance because users can identify whether a statement comes from a government spreadsheet, OpenStreetMap, a historical track or the exercise model.</w:t>
      </w:r>
    </w:p>
    <w:p>
      <w:pPr>
        <w:keepLines w:val="0"/>
      </w:pPr>
      <w:r>
        <w:rPr>
          <w:rFonts w:ascii="Arial" w:hAnsi="Arial"/>
          <w:b w:val="0"/>
          <w:i w:val="0"/>
          <w:color w:val="000000"/>
          <w:sz w:val="22"/>
        </w:rPr>
        <w:t>The Bureau of Meteorology conversion produced 31,706 recorded points grouped into 1,133 historical tracks. The proximity catalogue evaluates 1,037 tropical cyclone systems containing TYPE T records and keeps all 64 communities in the output, including those with no encounter under the current filter. This avoids a common interpretation error: absence from the top ten means no recorded path met that filter, not that a community has no cyclone risk. Users can inspect the exact storms behind a ranking rather than accepting an unexplained score.</w:t>
      </w:r>
    </w:p>
    <w:p>
      <w:pPr>
        <w:pStyle w:val="Heading2"/>
      </w:pPr>
      <w:r>
        <w:t>3.2 Decision workflow</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trPr>
        <w:tc>
          <w:tcPr>
            <w:tcW w:type="dxa" w:w="737"/>
            <w:shd w:fill="07334E"/>
            <w:tcMar>
              <w:top w:w="95" w:type="dxa"/>
              <w:start w:w="110" w:type="dxa"/>
              <w:bottom w:w="95" w:type="dxa"/>
              <w:end w:w="110" w:type="dxa"/>
            </w:tcMar>
            <w:vAlign w:val="center"/>
          </w:tcPr>
          <w:p>
            <w:pPr>
              <w:spacing w:after="0"/>
              <w:jc w:val="center"/>
            </w:pPr>
            <w:r>
              <w:rPr>
                <w:rFonts w:ascii="Arial" w:hAnsi="Arial"/>
                <w:b/>
                <w:i w:val="0"/>
                <w:color w:val="FFFFFF"/>
                <w:sz w:val="19"/>
              </w:rPr>
              <w:t>Step</w:t>
            </w:r>
          </w:p>
        </w:tc>
        <w:tc>
          <w:tcPr>
            <w:tcW w:type="dxa" w:w="1701"/>
            <w:shd w:fill="07334E"/>
            <w:tcMar>
              <w:top w:w="95" w:type="dxa"/>
              <w:start w:w="110" w:type="dxa"/>
              <w:bottom w:w="95" w:type="dxa"/>
              <w:end w:w="110" w:type="dxa"/>
            </w:tcMar>
            <w:vAlign w:val="center"/>
          </w:tcPr>
          <w:p>
            <w:pPr>
              <w:spacing w:after="0"/>
              <w:jc w:val="left"/>
            </w:pPr>
            <w:r>
              <w:rPr>
                <w:rFonts w:ascii="Arial" w:hAnsi="Arial"/>
                <w:b/>
                <w:i w:val="0"/>
                <w:color w:val="FFFFFF"/>
                <w:sz w:val="19"/>
              </w:rPr>
              <w:t>Action</w:t>
            </w:r>
          </w:p>
        </w:tc>
        <w:tc>
          <w:tcPr>
            <w:tcW w:type="dxa" w:w="7200"/>
            <w:shd w:fill="07334E"/>
            <w:tcMar>
              <w:top w:w="95" w:type="dxa"/>
              <w:start w:w="110" w:type="dxa"/>
              <w:bottom w:w="95" w:type="dxa"/>
              <w:end w:w="110" w:type="dxa"/>
            </w:tcMar>
            <w:vAlign w:val="center"/>
          </w:tcPr>
          <w:p>
            <w:pPr>
              <w:spacing w:after="0"/>
              <w:jc w:val="left"/>
            </w:pPr>
            <w:r>
              <w:rPr>
                <w:rFonts w:ascii="Arial" w:hAnsi="Arial"/>
                <w:b/>
                <w:i w:val="0"/>
                <w:color w:val="FFFFFF"/>
                <w:sz w:val="19"/>
              </w:rPr>
              <w:t>Result</w:t>
            </w:r>
          </w:p>
        </w:tc>
      </w:tr>
      <w:tr>
        <w:trPr>
          <w:cantSplit/>
        </w:trPr>
        <w:tc>
          <w:tcPr>
            <w:tcW w:type="dxa" w:w="737"/>
            <w:shd w:fill="FFFFFF"/>
            <w:tcMar>
              <w:top w:w="90" w:type="dxa"/>
              <w:start w:w="110" w:type="dxa"/>
              <w:bottom w:w="90" w:type="dxa"/>
              <w:end w:w="110" w:type="dxa"/>
            </w:tcMar>
            <w:vAlign w:val="center"/>
          </w:tcPr>
          <w:p>
            <w:pPr>
              <w:spacing w:after="0" w:line="240" w:lineRule="auto"/>
              <w:jc w:val="center"/>
            </w:pPr>
            <w:r>
              <w:rPr>
                <w:rFonts w:ascii="Arial" w:hAnsi="Arial"/>
                <w:b w:val="0"/>
                <w:i w:val="0"/>
                <w:color w:val="000000"/>
                <w:sz w:val="19"/>
              </w:rPr>
              <w:t>1</w:t>
            </w:r>
          </w:p>
        </w:tc>
        <w:tc>
          <w:tcPr>
            <w:tcW w:type="dxa" w:w="1701"/>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9"/>
              </w:rPr>
              <w:t>Locate</w:t>
            </w:r>
          </w:p>
        </w:tc>
        <w:tc>
          <w:tcPr>
            <w:tcW w:type="dxa" w:w="7200"/>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9"/>
              </w:rPr>
              <w:t>Search or select a community, small-cell site or essential facility</w:t>
            </w:r>
          </w:p>
        </w:tc>
      </w:tr>
      <w:tr>
        <w:trPr>
          <w:cantSplit/>
        </w:trPr>
        <w:tc>
          <w:tcPr>
            <w:tcW w:type="dxa" w:w="737"/>
            <w:shd w:fill="EAF3F8"/>
            <w:tcMar>
              <w:top w:w="90" w:type="dxa"/>
              <w:start w:w="110" w:type="dxa"/>
              <w:bottom w:w="90" w:type="dxa"/>
              <w:end w:w="110" w:type="dxa"/>
            </w:tcMar>
            <w:vAlign w:val="center"/>
          </w:tcPr>
          <w:p>
            <w:pPr>
              <w:spacing w:after="0" w:line="240" w:lineRule="auto"/>
              <w:jc w:val="center"/>
            </w:pPr>
            <w:r>
              <w:rPr>
                <w:rFonts w:ascii="Arial" w:hAnsi="Arial"/>
                <w:b w:val="0"/>
                <w:i w:val="0"/>
                <w:color w:val="000000"/>
                <w:sz w:val="19"/>
              </w:rPr>
              <w:t>2</w:t>
            </w:r>
          </w:p>
        </w:tc>
        <w:tc>
          <w:tcPr>
            <w:tcW w:type="dxa" w:w="1701"/>
            <w:shd w:fill="EAF3F8"/>
            <w:tcMar>
              <w:top w:w="90" w:type="dxa"/>
              <w:start w:w="110" w:type="dxa"/>
              <w:bottom w:w="90" w:type="dxa"/>
              <w:end w:w="110" w:type="dxa"/>
            </w:tcMar>
            <w:vAlign w:val="center"/>
          </w:tcPr>
          <w:p>
            <w:pPr>
              <w:spacing w:after="0" w:line="240" w:lineRule="auto"/>
              <w:jc w:val="left"/>
            </w:pPr>
            <w:r>
              <w:rPr>
                <w:rFonts w:ascii="Arial" w:hAnsi="Arial"/>
                <w:b w:val="0"/>
                <w:i w:val="0"/>
                <w:color w:val="000000"/>
                <w:sz w:val="19"/>
              </w:rPr>
              <w:t>Inspect</w:t>
            </w:r>
          </w:p>
        </w:tc>
        <w:tc>
          <w:tcPr>
            <w:tcW w:type="dxa" w:w="7200"/>
            <w:shd w:fill="EAF3F8"/>
            <w:tcMar>
              <w:top w:w="90" w:type="dxa"/>
              <w:start w:w="110" w:type="dxa"/>
              <w:bottom w:w="90" w:type="dxa"/>
              <w:end w:w="110" w:type="dxa"/>
            </w:tcMar>
            <w:vAlign w:val="center"/>
          </w:tcPr>
          <w:p>
            <w:pPr>
              <w:spacing w:after="0" w:line="240" w:lineRule="auto"/>
              <w:jc w:val="left"/>
            </w:pPr>
            <w:r>
              <w:rPr>
                <w:rFonts w:ascii="Arial" w:hAnsi="Arial"/>
                <w:b w:val="0"/>
                <w:i w:val="0"/>
                <w:color w:val="000000"/>
                <w:sz w:val="19"/>
              </w:rPr>
              <w:t>Review source fields, historical proximity and data boundaries</w:t>
            </w:r>
          </w:p>
        </w:tc>
      </w:tr>
      <w:tr>
        <w:trPr>
          <w:cantSplit/>
        </w:trPr>
        <w:tc>
          <w:tcPr>
            <w:tcW w:type="dxa" w:w="737"/>
            <w:shd w:fill="FFFFFF"/>
            <w:tcMar>
              <w:top w:w="90" w:type="dxa"/>
              <w:start w:w="110" w:type="dxa"/>
              <w:bottom w:w="90" w:type="dxa"/>
              <w:end w:w="110" w:type="dxa"/>
            </w:tcMar>
            <w:vAlign w:val="center"/>
          </w:tcPr>
          <w:p>
            <w:pPr>
              <w:spacing w:after="0" w:line="240" w:lineRule="auto"/>
              <w:jc w:val="center"/>
            </w:pPr>
            <w:r>
              <w:rPr>
                <w:rFonts w:ascii="Arial" w:hAnsi="Arial"/>
                <w:b w:val="0"/>
                <w:i w:val="0"/>
                <w:color w:val="000000"/>
                <w:sz w:val="19"/>
              </w:rPr>
              <w:t>3</w:t>
            </w:r>
          </w:p>
        </w:tc>
        <w:tc>
          <w:tcPr>
            <w:tcW w:type="dxa" w:w="1701"/>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9"/>
              </w:rPr>
              <w:t>Compare</w:t>
            </w:r>
          </w:p>
        </w:tc>
        <w:tc>
          <w:tcPr>
            <w:tcW w:type="dxa" w:w="7200"/>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9"/>
              </w:rPr>
              <w:t>Examine simulated resilience dimensions and eligible resource options</w:t>
            </w:r>
          </w:p>
        </w:tc>
      </w:tr>
      <w:tr>
        <w:trPr>
          <w:cantSplit/>
        </w:trPr>
        <w:tc>
          <w:tcPr>
            <w:tcW w:type="dxa" w:w="737"/>
            <w:shd w:fill="EAF3F8"/>
            <w:tcMar>
              <w:top w:w="90" w:type="dxa"/>
              <w:start w:w="110" w:type="dxa"/>
              <w:bottom w:w="90" w:type="dxa"/>
              <w:end w:w="110" w:type="dxa"/>
            </w:tcMar>
            <w:vAlign w:val="center"/>
          </w:tcPr>
          <w:p>
            <w:pPr>
              <w:spacing w:after="0" w:line="240" w:lineRule="auto"/>
              <w:jc w:val="center"/>
            </w:pPr>
            <w:r>
              <w:rPr>
                <w:rFonts w:ascii="Arial" w:hAnsi="Arial"/>
                <w:b w:val="0"/>
                <w:i w:val="0"/>
                <w:color w:val="000000"/>
                <w:sz w:val="19"/>
              </w:rPr>
              <w:t>4</w:t>
            </w:r>
          </w:p>
        </w:tc>
        <w:tc>
          <w:tcPr>
            <w:tcW w:type="dxa" w:w="1701"/>
            <w:shd w:fill="EAF3F8"/>
            <w:tcMar>
              <w:top w:w="90" w:type="dxa"/>
              <w:start w:w="110" w:type="dxa"/>
              <w:bottom w:w="90" w:type="dxa"/>
              <w:end w:w="110" w:type="dxa"/>
            </w:tcMar>
            <w:vAlign w:val="center"/>
          </w:tcPr>
          <w:p>
            <w:pPr>
              <w:spacing w:after="0" w:line="240" w:lineRule="auto"/>
              <w:jc w:val="left"/>
            </w:pPr>
            <w:r>
              <w:rPr>
                <w:rFonts w:ascii="Arial" w:hAnsi="Arial"/>
                <w:b w:val="0"/>
                <w:i w:val="0"/>
                <w:color w:val="000000"/>
                <w:sz w:val="19"/>
              </w:rPr>
              <w:t>Prepare</w:t>
            </w:r>
          </w:p>
        </w:tc>
        <w:tc>
          <w:tcPr>
            <w:tcW w:type="dxa" w:w="7200"/>
            <w:shd w:fill="EAF3F8"/>
            <w:tcMar>
              <w:top w:w="90" w:type="dxa"/>
              <w:start w:w="110" w:type="dxa"/>
              <w:bottom w:w="90" w:type="dxa"/>
              <w:end w:w="110" w:type="dxa"/>
            </w:tcMar>
            <w:vAlign w:val="center"/>
          </w:tcPr>
          <w:p>
            <w:pPr>
              <w:spacing w:after="0" w:line="240" w:lineRule="auto"/>
              <w:jc w:val="left"/>
            </w:pPr>
            <w:r>
              <w:rPr>
                <w:rFonts w:ascii="Arial" w:hAnsi="Arial"/>
                <w:b w:val="0"/>
                <w:i w:val="0"/>
                <w:color w:val="000000"/>
                <w:sz w:val="19"/>
              </w:rPr>
              <w:t>Complete local checks and download a selected-community or all-community report</w:t>
            </w:r>
          </w:p>
        </w:tc>
      </w:tr>
    </w:tbl>
    <w:p>
      <w:pPr>
        <w:spacing w:after="0"/>
      </w:pPr>
    </w:p>
    <w:p>
      <w:pPr>
        <w:pStyle w:val="Caption"/>
        <w:jc w:val="center"/>
      </w:pPr>
      <w:r>
        <w:t>Table 3  RemoteReady NT decision workflow</w:t>
      </w:r>
    </w:p>
    <w:p>
      <w:pPr>
        <w:keepLines w:val="0"/>
      </w:pPr>
      <w:r>
        <w:rPr>
          <w:rFonts w:ascii="Arial" w:hAnsi="Arial"/>
          <w:b w:val="0"/>
          <w:i w:val="0"/>
          <w:color w:val="000000"/>
          <w:sz w:val="22"/>
        </w:rPr>
        <w:t>The workflow reduces context switching. A user can move from a historical track to a community, from the community to a resilience comparison, and from the comparison to a verification checklist. The report generator carries forward the selected location, communications fields, facilities, road and access assumptions, recommended resource, checklist status and data limitations. If no location is selected, it produces a whole-of-exercise view. This behaviour makes the output useful for a meeting or handover while keeping the map as the evidence entry point.</w:t>
      </w:r>
    </w:p>
    <w:p>
      <w:pPr>
        <w:pStyle w:val="Heading2"/>
      </w:pPr>
      <w:r>
        <w:t>3.3 Offline and responsive behaviour</w:t>
      </w:r>
    </w:p>
    <w:p>
      <w:pPr>
        <w:keepLines w:val="0"/>
      </w:pPr>
      <w:r>
        <w:rPr>
          <w:rFonts w:ascii="Arial" w:hAnsi="Arial"/>
          <w:b w:val="0"/>
          <w:i w:val="0"/>
          <w:color w:val="000000"/>
          <w:sz w:val="22"/>
        </w:rPr>
        <w:t>The production build generates a service worker and precaches the application shell and core JSON and GeoJSON files. The approximately 9 MB raw cyclone-point export is intentionally loaded on demand, while the lighter track export is cached. Visited OpenStreetMap tiles use a cache-first policy with a 14-day limit and a maximum of 200 entries. The checklist and last-saved date remain in browser local storage. This design improves continuity during intermittent connectivity, but it is not a complete offline map pack because unvisited tiles and live external services still require a connection.</w:t>
      </w:r>
    </w:p>
    <w:p>
      <w:r>
        <w:br w:type="page"/>
      </w:r>
    </w:p>
    <w:p>
      <w:pPr>
        <w:pStyle w:val="Heading2"/>
      </w:pPr>
      <w:r>
        <w:t>3.4 Technical verification</w:t>
      </w:r>
    </w:p>
    <w:p>
      <w:pPr>
        <w:keepLines w:val="0"/>
      </w:pPr>
      <w:r>
        <w:rPr>
          <w:rFonts w:ascii="Arial" w:hAnsi="Arial"/>
          <w:b w:val="0"/>
          <w:i w:val="0"/>
          <w:color w:val="000000"/>
          <w:sz w:val="22"/>
        </w:rPr>
        <w:t>The current source tree completes a TypeScript and Vite production build. Vite transformed 282 modules, generated the progressive web app service worker and precached 18 entries. The build also reported one JavaScript chunk above 500 kB, which should be reduced through code splitting before deployment on low-bandwidth devices. Automated tests currently report 11 passes from 14 tests. Three Dashboard tests still expect the earlier four-stage tab control and therefore fail against the revised interface. These failures do not prevent the build, but they reduce regression confidence and should be corrected before submission.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trPr>
        <w:tc>
          <w:tcPr>
            <w:tcW w:type="dxa" w:w="2154"/>
            <w:shd w:fill="07334E"/>
            <w:tcMar>
              <w:top w:w="95" w:type="dxa"/>
              <w:start w:w="110" w:type="dxa"/>
              <w:bottom w:w="95" w:type="dxa"/>
              <w:end w:w="110" w:type="dxa"/>
            </w:tcMar>
            <w:vAlign w:val="center"/>
          </w:tcPr>
          <w:p>
            <w:pPr>
              <w:spacing w:after="0"/>
              <w:jc w:val="center"/>
            </w:pPr>
            <w:r>
              <w:rPr>
                <w:rFonts w:ascii="Arial" w:hAnsi="Arial"/>
                <w:b/>
                <w:i w:val="0"/>
                <w:color w:val="FFFFFF"/>
                <w:sz w:val="18"/>
              </w:rPr>
              <w:t>Check</w:t>
            </w:r>
          </w:p>
        </w:tc>
        <w:tc>
          <w:tcPr>
            <w:tcW w:type="dxa" w:w="1701"/>
            <w:shd w:fill="07334E"/>
            <w:tcMar>
              <w:top w:w="95" w:type="dxa"/>
              <w:start w:w="110" w:type="dxa"/>
              <w:bottom w:w="95" w:type="dxa"/>
              <w:end w:w="110" w:type="dxa"/>
            </w:tcMar>
            <w:vAlign w:val="center"/>
          </w:tcPr>
          <w:p>
            <w:pPr>
              <w:spacing w:after="0"/>
              <w:jc w:val="left"/>
            </w:pPr>
            <w:r>
              <w:rPr>
                <w:rFonts w:ascii="Arial" w:hAnsi="Arial"/>
                <w:b/>
                <w:i w:val="0"/>
                <w:color w:val="FFFFFF"/>
                <w:sz w:val="18"/>
              </w:rPr>
              <w:t>Result</w:t>
            </w:r>
          </w:p>
        </w:tc>
        <w:tc>
          <w:tcPr>
            <w:tcW w:type="dxa" w:w="5783"/>
            <w:shd w:fill="07334E"/>
            <w:tcMar>
              <w:top w:w="95" w:type="dxa"/>
              <w:start w:w="110" w:type="dxa"/>
              <w:bottom w:w="95" w:type="dxa"/>
              <w:end w:w="110" w:type="dxa"/>
            </w:tcMar>
            <w:vAlign w:val="center"/>
          </w:tcPr>
          <w:p>
            <w:pPr>
              <w:spacing w:after="0"/>
              <w:jc w:val="left"/>
            </w:pPr>
            <w:r>
              <w:rPr>
                <w:rFonts w:ascii="Arial" w:hAnsi="Arial"/>
                <w:b/>
                <w:i w:val="0"/>
                <w:color w:val="FFFFFF"/>
                <w:sz w:val="18"/>
              </w:rPr>
              <w:t>Evidence and implication</w:t>
            </w:r>
          </w:p>
        </w:tc>
      </w:tr>
      <w:tr>
        <w:trPr>
          <w:cantSplit/>
        </w:trPr>
        <w:tc>
          <w:tcPr>
            <w:tcW w:type="dxa" w:w="2154"/>
            <w:shd w:fill="FFFFFF"/>
            <w:tcMar>
              <w:top w:w="90" w:type="dxa"/>
              <w:start w:w="110" w:type="dxa"/>
              <w:bottom w:w="90" w:type="dxa"/>
              <w:end w:w="110" w:type="dxa"/>
            </w:tcMar>
            <w:vAlign w:val="center"/>
          </w:tcPr>
          <w:p>
            <w:pPr>
              <w:spacing w:after="0" w:line="240" w:lineRule="auto"/>
              <w:jc w:val="center"/>
            </w:pPr>
            <w:r>
              <w:rPr>
                <w:rFonts w:ascii="Arial" w:hAnsi="Arial"/>
                <w:b w:val="0"/>
                <w:i w:val="0"/>
                <w:color w:val="000000"/>
                <w:sz w:val="18"/>
              </w:rPr>
              <w:t>Production build</w:t>
            </w:r>
          </w:p>
        </w:tc>
        <w:tc>
          <w:tcPr>
            <w:tcW w:type="dxa" w:w="1701"/>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Pass</w:t>
            </w:r>
          </w:p>
        </w:tc>
        <w:tc>
          <w:tcPr>
            <w:tcW w:type="dxa" w:w="5783"/>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TypeScript and Vite build completed</w:t>
            </w:r>
          </w:p>
        </w:tc>
      </w:tr>
      <w:tr>
        <w:trPr>
          <w:cantSplit/>
        </w:trPr>
        <w:tc>
          <w:tcPr>
            <w:tcW w:type="dxa" w:w="2154"/>
            <w:shd w:fill="EAF3F8"/>
            <w:tcMar>
              <w:top w:w="90" w:type="dxa"/>
              <w:start w:w="110" w:type="dxa"/>
              <w:bottom w:w="90" w:type="dxa"/>
              <w:end w:w="110" w:type="dxa"/>
            </w:tcMar>
            <w:vAlign w:val="center"/>
          </w:tcPr>
          <w:p>
            <w:pPr>
              <w:spacing w:after="0" w:line="240" w:lineRule="auto"/>
              <w:jc w:val="center"/>
            </w:pPr>
            <w:r>
              <w:rPr>
                <w:rFonts w:ascii="Arial" w:hAnsi="Arial"/>
                <w:b w:val="0"/>
                <w:i w:val="0"/>
                <w:color w:val="000000"/>
                <w:sz w:val="18"/>
              </w:rPr>
              <w:t>Automated tests</w:t>
            </w:r>
          </w:p>
        </w:tc>
        <w:tc>
          <w:tcPr>
            <w:tcW w:type="dxa" w:w="1701"/>
            <w:shd w:fill="EAF3F8"/>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11 of 14 pass</w:t>
            </w:r>
          </w:p>
        </w:tc>
        <w:tc>
          <w:tcPr>
            <w:tcW w:type="dxa" w:w="5783"/>
            <w:shd w:fill="EAF3F8"/>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Three Dashboard tests reference removed timeline controls</w:t>
            </w:r>
          </w:p>
        </w:tc>
      </w:tr>
      <w:tr>
        <w:trPr>
          <w:cantSplit/>
        </w:trPr>
        <w:tc>
          <w:tcPr>
            <w:tcW w:type="dxa" w:w="2154"/>
            <w:shd w:fill="FFFFFF"/>
            <w:tcMar>
              <w:top w:w="90" w:type="dxa"/>
              <w:start w:w="110" w:type="dxa"/>
              <w:bottom w:w="90" w:type="dxa"/>
              <w:end w:w="110" w:type="dxa"/>
            </w:tcMar>
            <w:vAlign w:val="center"/>
          </w:tcPr>
          <w:p>
            <w:pPr>
              <w:spacing w:after="0" w:line="240" w:lineRule="auto"/>
              <w:jc w:val="center"/>
            </w:pPr>
            <w:r>
              <w:rPr>
                <w:rFonts w:ascii="Arial" w:hAnsi="Arial"/>
                <w:b w:val="0"/>
                <w:i w:val="0"/>
                <w:color w:val="000000"/>
                <w:sz w:val="18"/>
              </w:rPr>
              <w:t>PWA generation</w:t>
            </w:r>
          </w:p>
        </w:tc>
        <w:tc>
          <w:tcPr>
            <w:tcW w:type="dxa" w:w="1701"/>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Pass</w:t>
            </w:r>
          </w:p>
        </w:tc>
        <w:tc>
          <w:tcPr>
            <w:tcW w:type="dxa" w:w="5783"/>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Service worker and 18 precache entries generated</w:t>
            </w:r>
          </w:p>
        </w:tc>
      </w:tr>
      <w:tr>
        <w:trPr>
          <w:cantSplit/>
        </w:trPr>
        <w:tc>
          <w:tcPr>
            <w:tcW w:type="dxa" w:w="2154"/>
            <w:shd w:fill="EAF3F8"/>
            <w:tcMar>
              <w:top w:w="90" w:type="dxa"/>
              <w:start w:w="110" w:type="dxa"/>
              <w:bottom w:w="90" w:type="dxa"/>
              <w:end w:w="110" w:type="dxa"/>
            </w:tcMar>
            <w:vAlign w:val="center"/>
          </w:tcPr>
          <w:p>
            <w:pPr>
              <w:spacing w:after="0" w:line="240" w:lineRule="auto"/>
              <w:jc w:val="center"/>
            </w:pPr>
            <w:r>
              <w:rPr>
                <w:rFonts w:ascii="Arial" w:hAnsi="Arial"/>
                <w:b w:val="0"/>
                <w:i w:val="0"/>
                <w:color w:val="000000"/>
                <w:sz w:val="18"/>
              </w:rPr>
              <w:t>Bundle size</w:t>
            </w:r>
          </w:p>
        </w:tc>
        <w:tc>
          <w:tcPr>
            <w:tcW w:type="dxa" w:w="1701"/>
            <w:shd w:fill="EAF3F8"/>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Needs work</w:t>
            </w:r>
          </w:p>
        </w:tc>
        <w:tc>
          <w:tcPr>
            <w:tcW w:type="dxa" w:w="5783"/>
            <w:shd w:fill="EAF3F8"/>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Largest JavaScript chunk is approximately 915 kB before gzip</w:t>
            </w:r>
          </w:p>
        </w:tc>
      </w:tr>
      <w:tr>
        <w:trPr>
          <w:cantSplit/>
        </w:trPr>
        <w:tc>
          <w:tcPr>
            <w:tcW w:type="dxa" w:w="2154"/>
            <w:shd w:fill="FFFFFF"/>
            <w:tcMar>
              <w:top w:w="90" w:type="dxa"/>
              <w:start w:w="110" w:type="dxa"/>
              <w:bottom w:w="90" w:type="dxa"/>
              <w:end w:w="110" w:type="dxa"/>
            </w:tcMar>
            <w:vAlign w:val="center"/>
          </w:tcPr>
          <w:p>
            <w:pPr>
              <w:spacing w:after="0" w:line="240" w:lineRule="auto"/>
              <w:jc w:val="center"/>
            </w:pPr>
            <w:r>
              <w:rPr>
                <w:rFonts w:ascii="Arial" w:hAnsi="Arial"/>
                <w:b w:val="0"/>
                <w:i w:val="0"/>
                <w:color w:val="000000"/>
                <w:sz w:val="18"/>
              </w:rPr>
              <w:t>Data provenance</w:t>
            </w:r>
          </w:p>
        </w:tc>
        <w:tc>
          <w:tcPr>
            <w:tcW w:type="dxa" w:w="1701"/>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Pass with one warning</w:t>
            </w:r>
          </w:p>
        </w:tc>
        <w:tc>
          <w:tcPr>
            <w:tcW w:type="dxa" w:w="5783"/>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8"/>
              </w:rPr>
              <w:t>Seven of eight catalogue sources available at last refresh</w:t>
            </w:r>
          </w:p>
        </w:tc>
      </w:tr>
    </w:tbl>
    <w:p>
      <w:pPr>
        <w:spacing w:after="0"/>
      </w:pPr>
    </w:p>
    <w:p>
      <w:pPr>
        <w:pStyle w:val="Caption"/>
        <w:jc w:val="center"/>
      </w:pPr>
      <w:r>
        <w:t>Table 4  Verification results on 29 September 2026</w:t>
      </w:r>
    </w:p>
    <w:p>
      <w:pPr>
        <w:pStyle w:val="Heading2"/>
      </w:pPr>
      <w:r>
        <w:t>3.5 Limitations</w:t>
      </w:r>
    </w:p>
    <w:p>
      <w:pPr>
        <w:pStyle w:val="ListBullet"/>
        <w:spacing w:after="40" w:line="252" w:lineRule="auto"/>
        <w:ind w:left="369" w:hanging="142"/>
      </w:pPr>
      <w:r>
        <w:rPr>
          <w:rFonts w:ascii="Arial" w:hAnsi="Arial"/>
          <w:b w:val="0"/>
          <w:i w:val="0"/>
          <w:color w:val="000000"/>
          <w:sz w:val="22"/>
        </w:rPr>
        <w:t>The application is a planning prototype, not a live warning, network monitoring or dispatch system.</w:t>
      </w:r>
    </w:p>
    <w:p>
      <w:pPr>
        <w:pStyle w:val="ListBullet"/>
        <w:spacing w:after="40" w:line="252" w:lineRule="auto"/>
        <w:ind w:left="369" w:hanging="142"/>
      </w:pPr>
      <w:r>
        <w:rPr>
          <w:rFonts w:ascii="Arial" w:hAnsi="Arial"/>
          <w:b w:val="0"/>
          <w:i w:val="0"/>
          <w:color w:val="000000"/>
          <w:sz w:val="22"/>
        </w:rPr>
        <w:t>Published points do not confirm current service, stock, opening status, ownership or safe access.</w:t>
      </w:r>
    </w:p>
    <w:p>
      <w:pPr>
        <w:pStyle w:val="ListBullet"/>
        <w:spacing w:after="40" w:line="252" w:lineRule="auto"/>
        <w:ind w:left="369" w:hanging="142"/>
      </w:pPr>
      <w:r>
        <w:rPr>
          <w:rFonts w:ascii="Arial" w:hAnsi="Arial"/>
          <w:b w:val="0"/>
          <w:i w:val="0"/>
          <w:color w:val="000000"/>
          <w:sz w:val="22"/>
        </w:rPr>
        <w:t>Historical track proximity does not measure actual cyclone impact or future probability.</w:t>
      </w:r>
    </w:p>
    <w:p>
      <w:pPr>
        <w:pStyle w:val="ListBullet"/>
        <w:spacing w:after="40" w:line="252" w:lineRule="auto"/>
        <w:ind w:left="369" w:hanging="142"/>
      </w:pPr>
      <w:r>
        <w:rPr>
          <w:rFonts w:ascii="Arial" w:hAnsi="Arial"/>
          <w:b w:val="0"/>
          <w:i w:val="0"/>
          <w:color w:val="000000"/>
          <w:sz w:val="22"/>
        </w:rPr>
        <w:t>The resilience score, cost units and resource eligibility are fictional and require expert calibration.</w:t>
      </w:r>
    </w:p>
    <w:p>
      <w:pPr>
        <w:pStyle w:val="ListBullet"/>
        <w:spacing w:after="40" w:line="252" w:lineRule="auto"/>
        <w:ind w:left="369" w:hanging="142"/>
      </w:pPr>
      <w:r>
        <w:rPr>
          <w:rFonts w:ascii="Arial" w:hAnsi="Arial"/>
          <w:b w:val="0"/>
          <w:i w:val="0"/>
          <w:color w:val="000000"/>
          <w:sz w:val="22"/>
        </w:rPr>
        <w:t>Offline use covers the application shell and previously visited tiles, not a guaranteed complete basemap.</w:t>
      </w:r>
    </w:p>
    <w:p>
      <w:pPr>
        <w:pStyle w:val="ListBullet"/>
        <w:spacing w:after="40" w:line="252" w:lineRule="auto"/>
        <w:ind w:left="369" w:hanging="142"/>
      </w:pPr>
      <w:r>
        <w:rPr>
          <w:rFonts w:ascii="Arial" w:hAnsi="Arial"/>
          <w:b w:val="0"/>
          <w:i w:val="0"/>
          <w:color w:val="000000"/>
          <w:sz w:val="22"/>
        </w:rPr>
        <w:t>The current interface is English-only and has not completed formal accessibility or community usability testing.</w:t>
      </w:r>
    </w:p>
    <w:p>
      <w:pPr>
        <w:keepLines w:val="0"/>
      </w:pPr>
      <w:r>
        <w:rPr>
          <w:rFonts w:ascii="Arial" w:hAnsi="Arial"/>
          <w:b w:val="0"/>
          <w:i w:val="0"/>
          <w:color w:val="000000"/>
          <w:sz w:val="22"/>
        </w:rPr>
        <w:t>These limits are surfaced in the interface rather than reserved for technical documentation. The product repeatedly uses labels such as published data, historical analysis, simulated exercise, not live and verify locally. This reduces the chance that a polished interface will be mistaken for an authoritative operational system.</w:t>
      </w:r>
    </w:p>
    <w:p>
      <w:r>
        <w:br w:type="page"/>
      </w:r>
    </w:p>
    <w:p>
      <w:pPr>
        <w:pStyle w:val="Heading1"/>
      </w:pPr>
      <w:r>
        <w:t>4 Discussion</w:t>
      </w:r>
    </w:p>
    <w:p>
      <w:pPr>
        <w:pStyle w:val="Heading2"/>
      </w:pPr>
      <w:r>
        <w:t>4.1 Ethical use and decision accountability</w:t>
      </w:r>
    </w:p>
    <w:p>
      <w:pPr>
        <w:keepLines w:val="0"/>
      </w:pPr>
      <w:r>
        <w:rPr>
          <w:rFonts w:ascii="Arial" w:hAnsi="Arial"/>
          <w:b w:val="0"/>
          <w:i w:val="0"/>
          <w:color w:val="000000"/>
          <w:sz w:val="22"/>
        </w:rPr>
        <w:t>A priority map can influence attention even when it is labelled experimental. The main ethical risk is that users may treat a proximity count or simulated resilience score as evidence that one community deserves resources more than another. RemoteReady NT reduces this risk by separating published facts, historical context and exercise assumptions; exposing the inputs behind each result; applying a confidence label; and requiring local verification. The system does not make deployment decisions. In an operational version, the responsible agency and community representatives would need to approve the scoring model, thresholds, update schedule and permitted uses.</w:t>
      </w:r>
    </w:p>
    <w:p>
      <w:pPr>
        <w:keepLines w:val="0"/>
      </w:pPr>
      <w:r>
        <w:rPr>
          <w:rFonts w:ascii="Arial" w:hAnsi="Arial"/>
          <w:b w:val="0"/>
          <w:i w:val="0"/>
          <w:color w:val="000000"/>
          <w:sz w:val="22"/>
        </w:rPr>
        <w:t>Data freshness is another safety issue. A cached record can remain technically available while becoming operationally wrong. The catalogue therefore distinguishes a successful refresh from proof that conditions are current. Any live version should display source timestamp, time since update and a clear stale-data state beside each operational field. Emergency warnings should link directly to the issuing authority rather than be copied without verification.</w:t>
      </w:r>
    </w:p>
    <w:p>
      <w:pPr>
        <w:pStyle w:val="Heading2"/>
      </w:pPr>
      <w:r>
        <w:t>4.2 Cultural and community impacts</w:t>
      </w:r>
    </w:p>
    <w:p>
      <w:pPr>
        <w:keepLines w:val="0"/>
      </w:pPr>
      <w:r>
        <w:rPr>
          <w:rFonts w:ascii="Arial" w:hAnsi="Arial"/>
          <w:b w:val="0"/>
          <w:i w:val="0"/>
          <w:color w:val="000000"/>
          <w:sz w:val="22"/>
        </w:rPr>
        <w:t>Most mapped communities are First Nations communities. A government or university team should not define resilience only through external infrastructure datasets. Local knowledge may identify seasonal access, trusted communication channels, community-controlled facilities, culturally appropriate meeting places and language needs that are absent from national datasets. Community names and point locations can also have different administrative or cultural meanings. The prototype already marks point classification and installation sites as unverified, but future work should adopt Indigenous data governance principles and obtain community agreement before adding sensitive detail.</w:t>
      </w:r>
    </w:p>
    <w:p>
      <w:pPr>
        <w:keepLines w:val="0"/>
      </w:pPr>
      <w:r>
        <w:rPr>
          <w:rFonts w:ascii="Arial" w:hAnsi="Arial"/>
          <w:b w:val="0"/>
          <w:i w:val="0"/>
          <w:color w:val="000000"/>
          <w:sz w:val="22"/>
        </w:rPr>
        <w:t>Co-design should determine what information is useful, who can see it and how corrections are made. Community members should be able to challenge an incorrect provider, facility association or preparedness recommendation. Local language support, plain-language labels and printable summaries would improve accessibility. The project should also avoid deficit framing. A lower simulated score must never be presented as a judgement about a community; it indicates missing or assumed system capability in a fictional exercise.</w:t>
      </w:r>
    </w:p>
    <w:p>
      <w:pPr>
        <w:pStyle w:val="Heading2"/>
      </w:pPr>
      <w:r>
        <w:t>4.3 Community benefit and residual risk</w:t>
      </w:r>
    </w:p>
    <w:p>
      <w:pPr>
        <w:keepLines w:val="0"/>
      </w:pPr>
      <w:r>
        <w:rPr>
          <w:rFonts w:ascii="Arial" w:hAnsi="Arial"/>
          <w:b w:val="0"/>
          <w:i w:val="0"/>
          <w:color w:val="000000"/>
          <w:sz w:val="22"/>
        </w:rPr>
        <w:t>The likely benefit is a shorter path from scattered evidence to a specific verification task. A local coordinator can identify which communications record is published, which facilities are only mapped references, which cyclones met a selected distance threshold and which preparation questions remain unanswered. The offline checklist and PDF report can support handover when connectivity is intermittent. The residual risk is false confidence: attractive maps and ranked lists can appear more precise than the underlying data. The interface must therefore preserve uncertainty, make source links easy to reach and keep human confirmation in the workflow.</w:t>
      </w:r>
    </w:p>
    <w:p>
      <w:pPr>
        <w:pStyle w:val="Heading2"/>
      </w:pPr>
      <w:r>
        <w:t>4.4 Privacy accessibility and sustainability</w:t>
      </w:r>
    </w:p>
    <w:p>
      <w:pPr>
        <w:keepLines w:val="0"/>
      </w:pPr>
      <w:r>
        <w:rPr>
          <w:rFonts w:ascii="Arial" w:hAnsi="Arial"/>
          <w:b w:val="0"/>
          <w:i w:val="0"/>
          <w:color w:val="000000"/>
          <w:sz w:val="22"/>
        </w:rPr>
        <w:t>The prototype uses public, non-personal location records and stores checklist state only on the current device. It does not collect individual movement, health or contact data. An operational service should keep this data-minimisation approach, define retention rules and complete a privacy impact assessment before introducing accounts or analytics. Accessibility testing should cover keyboard use, focus order, screen-reader names, colour contrast, map alternatives and document readability. Technical sustainability also requires a smaller JavaScript bundle, automated refresh monitoring and tests that match current interactions.</w:t>
      </w:r>
    </w:p>
    <w:p>
      <w:r>
        <w:br w:type="page"/>
      </w:r>
    </w:p>
    <w:p>
      <w:pPr>
        <w:pStyle w:val="Heading1"/>
      </w:pPr>
      <w:r>
        <w:t>5 Recommendations</w:t>
      </w:r>
    </w:p>
    <w:p>
      <w:pPr>
        <w:pStyle w:val="Heading2"/>
      </w:pPr>
      <w:r>
        <w:t>5.1 Government and emergency management</w:t>
      </w:r>
    </w:p>
    <w:p>
      <w:pPr>
        <w:pStyle w:val="ListNumber"/>
        <w:spacing w:after="60"/>
        <w:ind w:left="369" w:hanging="142"/>
      </w:pPr>
      <w:r>
        <w:rPr>
          <w:rFonts w:ascii="Arial" w:hAnsi="Arial"/>
          <w:b w:val="0"/>
          <w:i w:val="0"/>
          <w:color w:val="000000"/>
          <w:sz w:val="22"/>
        </w:rPr>
        <w:t>Establish a governed data agreement covering telecommunications status, road and air access, critical facilities, warning timestamps and accountable data owners. Every operational field should have a source, update interval and stale-data rule.</w:t>
      </w:r>
    </w:p>
    <w:p>
      <w:pPr>
        <w:pStyle w:val="ListNumber"/>
        <w:spacing w:after="60"/>
        <w:ind w:left="369" w:hanging="142"/>
      </w:pPr>
      <w:r>
        <w:rPr>
          <w:rFonts w:ascii="Arial" w:hAnsi="Arial"/>
          <w:b w:val="0"/>
          <w:i w:val="0"/>
          <w:color w:val="000000"/>
          <w:sz w:val="22"/>
        </w:rPr>
        <w:t>Run a pilot with a small number of willing communities and regional emergency teams. Compare the system's suggested verification tasks with local priorities, record corrections and revise the model before expanding coverage.</w:t>
      </w:r>
    </w:p>
    <w:p>
      <w:pPr>
        <w:pStyle w:val="ListNumber"/>
        <w:spacing w:after="60"/>
        <w:ind w:left="369" w:hanging="142"/>
      </w:pPr>
      <w:r>
        <w:rPr>
          <w:rFonts w:ascii="Arial" w:hAnsi="Arial"/>
          <w:b w:val="0"/>
          <w:i w:val="0"/>
          <w:color w:val="000000"/>
          <w:sz w:val="22"/>
        </w:rPr>
        <w:t>Treat the historical proximity ranking as a screening tool only. Combine it with verified exposure, vulnerability, service dependency and local knowledge before funding or operational decisions.</w:t>
      </w:r>
    </w:p>
    <w:p>
      <w:pPr>
        <w:pStyle w:val="Heading2"/>
      </w:pPr>
      <w:r>
        <w:t>5.2 Telecommunications and infrastructure partners</w:t>
      </w:r>
    </w:p>
    <w:p>
      <w:pPr>
        <w:pStyle w:val="ListNumber"/>
        <w:spacing w:after="60"/>
        <w:ind w:left="369" w:hanging="142"/>
      </w:pPr>
      <w:r>
        <w:rPr>
          <w:rFonts w:ascii="Arial" w:hAnsi="Arial"/>
          <w:b w:val="0"/>
          <w:i w:val="0"/>
          <w:color w:val="000000"/>
          <w:sz w:val="22"/>
        </w:rPr>
        <w:t>Provide machine-readable service-status and planned-maintenance feeds with clear geographic scope, timestamps and contact pathways. Publish coverage confidence and distinguish a service area from a confirmed operating site.</w:t>
      </w:r>
    </w:p>
    <w:p>
      <w:pPr>
        <w:pStyle w:val="ListNumber"/>
        <w:spacing w:after="60"/>
        <w:ind w:left="369" w:hanging="142"/>
      </w:pPr>
      <w:r>
        <w:rPr>
          <w:rFonts w:ascii="Arial" w:hAnsi="Arial"/>
          <w:b w:val="0"/>
          <w:i w:val="0"/>
          <w:color w:val="000000"/>
          <w:sz w:val="22"/>
        </w:rPr>
        <w:t>Develop a jointly tested continuity standard for backup power, independent communications routes, portable equipment, community radio and restoration priorities. Resource options should use verified capacity and cost data rather than relative demonstration units.</w:t>
      </w:r>
    </w:p>
    <w:p>
      <w:pPr>
        <w:pStyle w:val="Heading2"/>
      </w:pPr>
      <w:r>
        <w:t>5.3 Community partnership and product development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trPr>
        <w:tc>
          <w:tcPr>
            <w:tcW w:type="dxa" w:w="2268"/>
            <w:shd w:fill="07334E"/>
            <w:tcMar>
              <w:top w:w="95" w:type="dxa"/>
              <w:start w:w="110" w:type="dxa"/>
              <w:bottom w:w="95" w:type="dxa"/>
              <w:end w:w="110" w:type="dxa"/>
            </w:tcMar>
            <w:vAlign w:val="center"/>
          </w:tcPr>
          <w:p>
            <w:pPr>
              <w:spacing w:after="0"/>
              <w:jc w:val="center"/>
            </w:pPr>
            <w:r>
              <w:rPr>
                <w:rFonts w:ascii="Arial" w:hAnsi="Arial"/>
                <w:b/>
                <w:i w:val="0"/>
                <w:color w:val="FFFFFF"/>
                <w:sz w:val="19"/>
              </w:rPr>
              <w:t>Priority</w:t>
            </w:r>
          </w:p>
        </w:tc>
        <w:tc>
          <w:tcPr>
            <w:tcW w:type="dxa" w:w="7370"/>
            <w:shd w:fill="07334E"/>
            <w:tcMar>
              <w:top w:w="95" w:type="dxa"/>
              <w:start w:w="110" w:type="dxa"/>
              <w:bottom w:w="95" w:type="dxa"/>
              <w:end w:w="110" w:type="dxa"/>
            </w:tcMar>
            <w:vAlign w:val="center"/>
          </w:tcPr>
          <w:p>
            <w:pPr>
              <w:spacing w:after="0"/>
              <w:jc w:val="left"/>
            </w:pPr>
            <w:r>
              <w:rPr>
                <w:rFonts w:ascii="Arial" w:hAnsi="Arial"/>
                <w:b/>
                <w:i w:val="0"/>
                <w:color w:val="FFFFFF"/>
                <w:sz w:val="19"/>
              </w:rPr>
              <w:t>Action</w:t>
            </w:r>
          </w:p>
        </w:tc>
      </w:tr>
      <w:tr>
        <w:trPr>
          <w:cantSplit/>
        </w:trPr>
        <w:tc>
          <w:tcPr>
            <w:tcW w:type="dxa" w:w="2268"/>
            <w:shd w:fill="FFFFFF"/>
            <w:tcMar>
              <w:top w:w="90" w:type="dxa"/>
              <w:start w:w="110" w:type="dxa"/>
              <w:bottom w:w="90" w:type="dxa"/>
              <w:end w:w="110" w:type="dxa"/>
            </w:tcMar>
            <w:vAlign w:val="center"/>
          </w:tcPr>
          <w:p>
            <w:pPr>
              <w:spacing w:after="0" w:line="240" w:lineRule="auto"/>
              <w:jc w:val="center"/>
            </w:pPr>
            <w:r>
              <w:rPr>
                <w:rFonts w:ascii="Arial" w:hAnsi="Arial"/>
                <w:b w:val="0"/>
                <w:i w:val="0"/>
                <w:color w:val="000000"/>
                <w:sz w:val="19"/>
              </w:rPr>
              <w:t>Before submission</w:t>
            </w:r>
          </w:p>
        </w:tc>
        <w:tc>
          <w:tcPr>
            <w:tcW w:type="dxa" w:w="7370"/>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9"/>
              </w:rPr>
              <w:t>Update the three stale Dashboard tests; run lint, unit tests, build and visual regression; replace Team Number XX</w:t>
            </w:r>
          </w:p>
        </w:tc>
      </w:tr>
      <w:tr>
        <w:trPr>
          <w:cantSplit/>
        </w:trPr>
        <w:tc>
          <w:tcPr>
            <w:tcW w:type="dxa" w:w="2268"/>
            <w:shd w:fill="EAF3F8"/>
            <w:tcMar>
              <w:top w:w="90" w:type="dxa"/>
              <w:start w:w="110" w:type="dxa"/>
              <w:bottom w:w="90" w:type="dxa"/>
              <w:end w:w="110" w:type="dxa"/>
            </w:tcMar>
            <w:vAlign w:val="center"/>
          </w:tcPr>
          <w:p>
            <w:pPr>
              <w:spacing w:after="0" w:line="240" w:lineRule="auto"/>
              <w:jc w:val="center"/>
            </w:pPr>
            <w:r>
              <w:rPr>
                <w:rFonts w:ascii="Arial" w:hAnsi="Arial"/>
                <w:b w:val="0"/>
                <w:i w:val="0"/>
                <w:color w:val="000000"/>
                <w:sz w:val="19"/>
              </w:rPr>
              <w:t>Next pilot</w:t>
            </w:r>
          </w:p>
        </w:tc>
        <w:tc>
          <w:tcPr>
            <w:tcW w:type="dxa" w:w="7370"/>
            <w:shd w:fill="EAF3F8"/>
            <w:tcMar>
              <w:top w:w="90" w:type="dxa"/>
              <w:start w:w="110" w:type="dxa"/>
              <w:bottom w:w="90" w:type="dxa"/>
              <w:end w:w="110" w:type="dxa"/>
            </w:tcMar>
            <w:vAlign w:val="center"/>
          </w:tcPr>
          <w:p>
            <w:pPr>
              <w:spacing w:after="0" w:line="240" w:lineRule="auto"/>
              <w:jc w:val="left"/>
            </w:pPr>
            <w:r>
              <w:rPr>
                <w:rFonts w:ascii="Arial" w:hAnsi="Arial"/>
                <w:b w:val="0"/>
                <w:i w:val="0"/>
                <w:color w:val="000000"/>
                <w:sz w:val="19"/>
              </w:rPr>
              <w:t>Co-design labels, priorities, languages and correction workflow with participating communities</w:t>
            </w:r>
          </w:p>
        </w:tc>
      </w:tr>
      <w:tr>
        <w:trPr>
          <w:cantSplit/>
        </w:trPr>
        <w:tc>
          <w:tcPr>
            <w:tcW w:type="dxa" w:w="2268"/>
            <w:shd w:fill="FFFFFF"/>
            <w:tcMar>
              <w:top w:w="90" w:type="dxa"/>
              <w:start w:w="110" w:type="dxa"/>
              <w:bottom w:w="90" w:type="dxa"/>
              <w:end w:w="110" w:type="dxa"/>
            </w:tcMar>
            <w:vAlign w:val="center"/>
          </w:tcPr>
          <w:p>
            <w:pPr>
              <w:spacing w:after="0" w:line="240" w:lineRule="auto"/>
              <w:jc w:val="center"/>
            </w:pPr>
            <w:r>
              <w:rPr>
                <w:rFonts w:ascii="Arial" w:hAnsi="Arial"/>
                <w:b w:val="0"/>
                <w:i w:val="0"/>
                <w:color w:val="000000"/>
                <w:sz w:val="19"/>
              </w:rPr>
              <w:t>Data improvement</w:t>
            </w:r>
          </w:p>
        </w:tc>
        <w:tc>
          <w:tcPr>
            <w:tcW w:type="dxa" w:w="7370"/>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9"/>
              </w:rPr>
              <w:t>Add verified live warnings, service status, access conditions and authoritative facility relationships</w:t>
            </w:r>
          </w:p>
        </w:tc>
      </w:tr>
      <w:tr>
        <w:trPr>
          <w:cantSplit/>
        </w:trPr>
        <w:tc>
          <w:tcPr>
            <w:tcW w:type="dxa" w:w="2268"/>
            <w:shd w:fill="EAF3F8"/>
            <w:tcMar>
              <w:top w:w="90" w:type="dxa"/>
              <w:start w:w="110" w:type="dxa"/>
              <w:bottom w:w="90" w:type="dxa"/>
              <w:end w:w="110" w:type="dxa"/>
            </w:tcMar>
            <w:vAlign w:val="center"/>
          </w:tcPr>
          <w:p>
            <w:pPr>
              <w:spacing w:after="0" w:line="240" w:lineRule="auto"/>
              <w:jc w:val="center"/>
            </w:pPr>
            <w:r>
              <w:rPr>
                <w:rFonts w:ascii="Arial" w:hAnsi="Arial"/>
                <w:b w:val="0"/>
                <w:i w:val="0"/>
                <w:color w:val="000000"/>
                <w:sz w:val="19"/>
              </w:rPr>
              <w:t>Offline improvement</w:t>
            </w:r>
          </w:p>
        </w:tc>
        <w:tc>
          <w:tcPr>
            <w:tcW w:type="dxa" w:w="7370"/>
            <w:shd w:fill="EAF3F8"/>
            <w:tcMar>
              <w:top w:w="90" w:type="dxa"/>
              <w:start w:w="110" w:type="dxa"/>
              <w:bottom w:w="90" w:type="dxa"/>
              <w:end w:w="110" w:type="dxa"/>
            </w:tcMar>
            <w:vAlign w:val="center"/>
          </w:tcPr>
          <w:p>
            <w:pPr>
              <w:spacing w:after="0" w:line="240" w:lineRule="auto"/>
              <w:jc w:val="left"/>
            </w:pPr>
            <w:r>
              <w:rPr>
                <w:rFonts w:ascii="Arial" w:hAnsi="Arial"/>
                <w:b w:val="0"/>
                <w:i w:val="0"/>
                <w:color w:val="000000"/>
                <w:sz w:val="19"/>
              </w:rPr>
              <w:t>Package selected regional tiles, add freshness indicators and test on low-spec mobile devices</w:t>
            </w:r>
          </w:p>
        </w:tc>
      </w:tr>
      <w:tr>
        <w:trPr>
          <w:cantSplit/>
        </w:trPr>
        <w:tc>
          <w:tcPr>
            <w:tcW w:type="dxa" w:w="2268"/>
            <w:shd w:fill="FFFFFF"/>
            <w:tcMar>
              <w:top w:w="90" w:type="dxa"/>
              <w:start w:w="110" w:type="dxa"/>
              <w:bottom w:w="90" w:type="dxa"/>
              <w:end w:w="110" w:type="dxa"/>
            </w:tcMar>
            <w:vAlign w:val="center"/>
          </w:tcPr>
          <w:p>
            <w:pPr>
              <w:spacing w:after="0" w:line="240" w:lineRule="auto"/>
              <w:jc w:val="center"/>
            </w:pPr>
            <w:r>
              <w:rPr>
                <w:rFonts w:ascii="Arial" w:hAnsi="Arial"/>
                <w:b w:val="0"/>
                <w:i w:val="0"/>
                <w:color w:val="000000"/>
                <w:sz w:val="19"/>
              </w:rPr>
              <w:t>Governance</w:t>
            </w:r>
          </w:p>
        </w:tc>
        <w:tc>
          <w:tcPr>
            <w:tcW w:type="dxa" w:w="7370"/>
            <w:shd w:fill="FFFFFF"/>
            <w:tcMar>
              <w:top w:w="90" w:type="dxa"/>
              <w:start w:w="110" w:type="dxa"/>
              <w:bottom w:w="90" w:type="dxa"/>
              <w:end w:w="110" w:type="dxa"/>
            </w:tcMar>
            <w:vAlign w:val="center"/>
          </w:tcPr>
          <w:p>
            <w:pPr>
              <w:spacing w:after="0" w:line="240" w:lineRule="auto"/>
              <w:jc w:val="left"/>
            </w:pPr>
            <w:r>
              <w:rPr>
                <w:rFonts w:ascii="Arial" w:hAnsi="Arial"/>
                <w:b w:val="0"/>
                <w:i w:val="0"/>
                <w:color w:val="000000"/>
                <w:sz w:val="19"/>
              </w:rPr>
              <w:t>Document model ownership, review cycle, consent, access control and incident-use restrictions</w:t>
            </w:r>
          </w:p>
        </w:tc>
      </w:tr>
    </w:tbl>
    <w:p>
      <w:pPr>
        <w:spacing w:after="0"/>
      </w:pPr>
    </w:p>
    <w:p>
      <w:pPr>
        <w:pStyle w:val="Caption"/>
        <w:jc w:val="center"/>
      </w:pPr>
      <w:r>
        <w:t>Table 5  Recommended implementation roadmap</w:t>
      </w:r>
    </w:p>
    <w:p>
      <w:pPr>
        <w:keepLines w:val="0"/>
      </w:pPr>
      <w:r>
        <w:rPr>
          <w:rFonts w:ascii="Arial" w:hAnsi="Arial"/>
          <w:b w:val="0"/>
          <w:i w:val="0"/>
          <w:color w:val="000000"/>
          <w:sz w:val="22"/>
        </w:rPr>
        <w:t>Evaluation should use measurable outcomes rather than interface activity alone. Suitable measures include time to locate the correct source, percentage of records confirmed or corrected by local partners, preparedness tasks completed before an exercise, report comprehension, offline task success and the number of decisions deferred because evidence was stale or unverified. These measures reward safer decisions, not simply more map clicks.</w:t>
      </w:r>
    </w:p>
    <w:p>
      <w:pPr>
        <w:pStyle w:val="Heading1"/>
      </w:pPr>
      <w:r>
        <w:t>6 Conclusion</w:t>
      </w:r>
    </w:p>
    <w:p>
      <w:pPr>
        <w:keepLines w:val="0"/>
      </w:pPr>
      <w:r>
        <w:rPr>
          <w:rFonts w:ascii="Arial" w:hAnsi="Arial"/>
          <w:b w:val="0"/>
          <w:i w:val="0"/>
          <w:color w:val="000000"/>
          <w:sz w:val="22"/>
        </w:rPr>
        <w:t>RemoteReady NT shows how public data can support a more coherent preparation workflow for remote Northern Territory communities. Its strongest contribution is the explicit connection between map evidence, source provenance, historical analysis, simulated options and local verification. The prototype is suitable for competition demonstration and structured user testing, but not for live emergency operations. A credible next stage depends on community co-design, governed operational data, accessibility testing, corrected automated tests and a clear boundary between decision support and authority.</w:t>
      </w:r>
    </w:p>
    <w:p>
      <w:r>
        <w:br w:type="page"/>
      </w:r>
    </w:p>
    <w:p>
      <w:pPr>
        <w:pStyle w:val="Heading1"/>
      </w:pPr>
      <w:r>
        <w:t>References</w:t>
      </w:r>
    </w:p>
    <w:p>
      <w:pPr>
        <w:spacing w:after="80" w:line="240" w:lineRule="auto"/>
        <w:ind w:left="340" w:hanging="340"/>
        <w:jc w:val="left"/>
      </w:pPr>
      <w:r>
        <w:rPr>
          <w:rFonts w:ascii="Arial" w:hAnsi="Arial"/>
          <w:b w:val="0"/>
          <w:i w:val="0"/>
          <w:color w:val="000000"/>
          <w:sz w:val="20"/>
        </w:rPr>
        <w:t xml:space="preserve">1. Bureau of Meteorology (2026). Australian Tropical Cyclone Database. </w:t>
      </w:r>
      <w:hyperlink r:id="rId12">
        <w:r>
          <w:rPr>
            <w:rFonts w:ascii="Arial" w:hAnsi="Arial"/>
            <w:sz w:val="20"/>
            <w:color w:val="196997"/>
            <w:u w:val="single"/>
          </w:rPr>
          <w:t>https://www.bom.gov.au/cyclone/tropical-cyclone-knowledge-centre/databases/</w:t>
        </w:r>
      </w:hyperlink>
    </w:p>
    <w:p>
      <w:pPr>
        <w:spacing w:after="80" w:line="240" w:lineRule="auto"/>
        <w:ind w:left="340" w:hanging="340"/>
        <w:jc w:val="left"/>
      </w:pPr>
      <w:r>
        <w:rPr>
          <w:rFonts w:ascii="Arial" w:hAnsi="Arial"/>
          <w:b w:val="0"/>
          <w:i w:val="0"/>
          <w:color w:val="000000"/>
          <w:sz w:val="20"/>
        </w:rPr>
        <w:t xml:space="preserve">2. Bureau of Meteorology (2011). Tropical Cyclone Database Structure. </w:t>
      </w:r>
      <w:hyperlink r:id="rId13">
        <w:r>
          <w:rPr>
            <w:rFonts w:ascii="Arial" w:hAnsi="Arial"/>
            <w:sz w:val="20"/>
            <w:color w:val="196997"/>
            <w:u w:val="single"/>
          </w:rPr>
          <w:t>https://www.bom.gov.au/cyclone/history/database/TC_Database_Structure_Oct2011.pdf</w:t>
        </w:r>
      </w:hyperlink>
    </w:p>
    <w:p>
      <w:pPr>
        <w:spacing w:after="80" w:line="240" w:lineRule="auto"/>
        <w:ind w:left="340" w:hanging="340"/>
        <w:jc w:val="left"/>
      </w:pPr>
      <w:r>
        <w:rPr>
          <w:rFonts w:ascii="Arial" w:hAnsi="Arial"/>
          <w:b w:val="0"/>
          <w:i w:val="0"/>
          <w:color w:val="000000"/>
          <w:sz w:val="20"/>
        </w:rPr>
        <w:t xml:space="preserve">3. Northern Territory Government Open Data (2026). Remote Communities Mobile Coverage. </w:t>
      </w:r>
      <w:hyperlink r:id="rId14">
        <w:r>
          <w:rPr>
            <w:rFonts w:ascii="Arial" w:hAnsi="Arial"/>
            <w:sz w:val="20"/>
            <w:color w:val="196997"/>
            <w:u w:val="single"/>
          </w:rPr>
          <w:t>https://data.nt.gov.au/dataset/84fd8432-de2d-407c-977d-3f851adfac75</w:t>
        </w:r>
      </w:hyperlink>
    </w:p>
    <w:p>
      <w:pPr>
        <w:spacing w:after="80" w:line="240" w:lineRule="auto"/>
        <w:ind w:left="340" w:hanging="340"/>
        <w:jc w:val="left"/>
      </w:pPr>
      <w:r>
        <w:rPr>
          <w:rFonts w:ascii="Arial" w:hAnsi="Arial"/>
          <w:b w:val="0"/>
          <w:i w:val="0"/>
          <w:color w:val="000000"/>
          <w:sz w:val="20"/>
        </w:rPr>
        <w:t xml:space="preserve">4. Northern Territory Government Open Data (2026). Remote Small Cell Coverage NT. </w:t>
      </w:r>
      <w:hyperlink r:id="rId15">
        <w:r>
          <w:rPr>
            <w:rFonts w:ascii="Arial" w:hAnsi="Arial"/>
            <w:sz w:val="20"/>
            <w:color w:val="196997"/>
            <w:u w:val="single"/>
          </w:rPr>
          <w:t>https://data.nt.gov.au/dataset/50131071-605e-4d32-a75e-0aeb8e98c640</w:t>
        </w:r>
      </w:hyperlink>
    </w:p>
    <w:p>
      <w:pPr>
        <w:spacing w:after="80" w:line="240" w:lineRule="auto"/>
        <w:ind w:left="340" w:hanging="340"/>
        <w:jc w:val="left"/>
      </w:pPr>
      <w:r>
        <w:rPr>
          <w:rFonts w:ascii="Arial" w:hAnsi="Arial"/>
          <w:b w:val="0"/>
          <w:i w:val="0"/>
          <w:color w:val="000000"/>
          <w:sz w:val="20"/>
        </w:rPr>
        <w:t xml:space="preserve">5. OpenStreetMap contributors (2026). OpenStreetMap Copyright and Licence. </w:t>
      </w:r>
      <w:hyperlink r:id="rId16">
        <w:r>
          <w:rPr>
            <w:rFonts w:ascii="Arial" w:hAnsi="Arial"/>
            <w:sz w:val="20"/>
            <w:color w:val="196997"/>
            <w:u w:val="single"/>
          </w:rPr>
          <w:t>https://www.openstreetmap.org/copyright</w:t>
        </w:r>
      </w:hyperlink>
    </w:p>
    <w:p>
      <w:pPr>
        <w:spacing w:after="80" w:line="240" w:lineRule="auto"/>
        <w:ind w:left="340" w:hanging="340"/>
        <w:jc w:val="left"/>
      </w:pPr>
      <w:r>
        <w:rPr>
          <w:rFonts w:ascii="Arial" w:hAnsi="Arial"/>
          <w:b w:val="0"/>
          <w:i w:val="0"/>
          <w:color w:val="000000"/>
          <w:sz w:val="20"/>
        </w:rPr>
        <w:t xml:space="preserve">6. Australian Bureau of Statistics (2021). Census DataPacks. </w:t>
      </w:r>
      <w:hyperlink r:id="rId17">
        <w:r>
          <w:rPr>
            <w:rFonts w:ascii="Arial" w:hAnsi="Arial"/>
            <w:sz w:val="20"/>
            <w:color w:val="196997"/>
            <w:u w:val="single"/>
          </w:rPr>
          <w:t>https://www.abs.gov.au/census/find-census-data/datapacks</w:t>
        </w:r>
      </w:hyperlink>
    </w:p>
    <w:p>
      <w:pPr>
        <w:spacing w:after="80" w:line="240" w:lineRule="auto"/>
        <w:ind w:left="340" w:hanging="340"/>
        <w:jc w:val="left"/>
      </w:pPr>
      <w:r>
        <w:rPr>
          <w:rFonts w:ascii="Arial" w:hAnsi="Arial"/>
          <w:b w:val="0"/>
          <w:i w:val="0"/>
          <w:color w:val="000000"/>
          <w:sz w:val="20"/>
        </w:rPr>
        <w:t xml:space="preserve">7. Department of Infrastructure Transport Regional Development Communications and the Arts (2026). First Nations Digital Inclusion. </w:t>
      </w:r>
      <w:hyperlink r:id="rId18">
        <w:r>
          <w:rPr>
            <w:rFonts w:ascii="Arial" w:hAnsi="Arial"/>
            <w:sz w:val="20"/>
            <w:color w:val="196997"/>
            <w:u w:val="single"/>
          </w:rPr>
          <w:t>https://www.infrastructure.gov.au/media-communications/first-nations-digital-inclusion</w:t>
        </w:r>
      </w:hyperlink>
    </w:p>
    <w:p>
      <w:pPr>
        <w:spacing w:after="80" w:line="240" w:lineRule="auto"/>
        <w:ind w:left="340" w:hanging="340"/>
        <w:jc w:val="left"/>
      </w:pPr>
      <w:r>
        <w:rPr>
          <w:rFonts w:ascii="Arial" w:hAnsi="Arial"/>
          <w:b w:val="0"/>
          <w:i w:val="0"/>
          <w:color w:val="000000"/>
          <w:sz w:val="20"/>
        </w:rPr>
        <w:t xml:space="preserve">8. Regional Data Hub (2026). First Nations Connectivity Mapping Tool. </w:t>
      </w:r>
      <w:hyperlink r:id="rId19">
        <w:r>
          <w:rPr>
            <w:rFonts w:ascii="Arial" w:hAnsi="Arial"/>
            <w:sz w:val="20"/>
            <w:color w:val="196997"/>
            <w:u w:val="single"/>
          </w:rPr>
          <w:t>https://www.regionaldatahub.gov.au/explore</w:t>
        </w:r>
      </w:hyperlink>
    </w:p>
    <w:p>
      <w:pPr>
        <w:spacing w:after="80" w:line="240" w:lineRule="auto"/>
        <w:ind w:left="340" w:hanging="340"/>
        <w:jc w:val="left"/>
      </w:pPr>
      <w:r>
        <w:rPr>
          <w:rFonts w:ascii="Arial" w:hAnsi="Arial"/>
          <w:b w:val="0"/>
          <w:i w:val="0"/>
          <w:color w:val="000000"/>
          <w:sz w:val="20"/>
        </w:rPr>
        <w:t xml:space="preserve">9. Tablelands Regional Council (2026). Disaster Dashboard. </w:t>
      </w:r>
      <w:hyperlink r:id="rId20">
        <w:r>
          <w:rPr>
            <w:rFonts w:ascii="Arial" w:hAnsi="Arial"/>
            <w:sz w:val="20"/>
            <w:color w:val="196997"/>
            <w:u w:val="single"/>
          </w:rPr>
          <w:t>https://dashboard.trc.qld.gov.au/</w:t>
        </w:r>
      </w:hyperlink>
    </w:p>
    <w:p>
      <w:pPr>
        <w:spacing w:after="80" w:line="240" w:lineRule="auto"/>
        <w:ind w:left="340" w:hanging="340"/>
        <w:jc w:val="left"/>
      </w:pPr>
      <w:r>
        <w:rPr>
          <w:rFonts w:ascii="Arial" w:hAnsi="Arial"/>
          <w:b w:val="0"/>
          <w:i w:val="0"/>
          <w:color w:val="000000"/>
          <w:sz w:val="20"/>
        </w:rPr>
        <w:t xml:space="preserve">10. Australian Institute of Aboriginal and Torres Strait Islander Studies (2020). Code of Ethics for Aboriginal and Torres Strait Islander Research. </w:t>
      </w:r>
      <w:hyperlink r:id="rId21">
        <w:r>
          <w:rPr>
            <w:rFonts w:ascii="Arial" w:hAnsi="Arial"/>
            <w:sz w:val="20"/>
            <w:color w:val="196997"/>
            <w:u w:val="single"/>
          </w:rPr>
          <w:t>https://aiatsis.gov.au/research/ethical-research/code-ethics</w:t>
        </w:r>
      </w:hyperlink>
    </w:p>
    <w:p>
      <w:pPr>
        <w:spacing w:after="80" w:line="240" w:lineRule="auto"/>
        <w:ind w:left="340" w:hanging="340"/>
        <w:jc w:val="left"/>
      </w:pPr>
      <w:r>
        <w:rPr>
          <w:rFonts w:ascii="Arial" w:hAnsi="Arial"/>
          <w:b w:val="0"/>
          <w:i w:val="0"/>
          <w:color w:val="000000"/>
          <w:sz w:val="20"/>
        </w:rPr>
        <w:t xml:space="preserve">11. Global Indigenous Data Alliance (2019). CARE Principles for Indigenous Data Governance. </w:t>
      </w:r>
      <w:hyperlink r:id="rId22">
        <w:r>
          <w:rPr>
            <w:rFonts w:ascii="Arial" w:hAnsi="Arial"/>
            <w:sz w:val="20"/>
            <w:color w:val="196997"/>
            <w:u w:val="single"/>
          </w:rPr>
          <w:t>https://www.gida-global.org/care</w:t>
        </w:r>
      </w:hyperlink>
    </w:p>
    <w:p>
      <w:pPr>
        <w:spacing w:after="80" w:line="240" w:lineRule="auto"/>
        <w:ind w:left="340" w:hanging="340"/>
        <w:jc w:val="left"/>
      </w:pPr>
      <w:r>
        <w:rPr>
          <w:rFonts w:ascii="Arial" w:hAnsi="Arial"/>
          <w:b w:val="0"/>
          <w:i w:val="0"/>
          <w:color w:val="000000"/>
          <w:sz w:val="20"/>
        </w:rPr>
        <w:t xml:space="preserve">12. World Wide Web Consortium (2023). Web Content Accessibility Guidelines 2.2. </w:t>
      </w:r>
      <w:hyperlink r:id="rId23">
        <w:r>
          <w:rPr>
            <w:rFonts w:ascii="Arial" w:hAnsi="Arial"/>
            <w:sz w:val="20"/>
            <w:color w:val="196997"/>
            <w:u w:val="single"/>
          </w:rPr>
          <w:t>https://www.w3.org/TR/WCAG22/</w:t>
        </w:r>
      </w:hyperlink>
    </w:p>
    <w:p>
      <w:pPr>
        <w:spacing w:after="80" w:line="240" w:lineRule="auto"/>
        <w:ind w:left="340" w:hanging="340"/>
        <w:jc w:val="left"/>
      </w:pPr>
      <w:r>
        <w:rPr>
          <w:rFonts w:ascii="Arial" w:hAnsi="Arial"/>
          <w:b w:val="0"/>
          <w:i w:val="0"/>
          <w:color w:val="000000"/>
          <w:sz w:val="20"/>
        </w:rPr>
        <w:t xml:space="preserve">13. Meta Open Source (2026). React Documentation. </w:t>
      </w:r>
      <w:hyperlink r:id="rId24">
        <w:r>
          <w:rPr>
            <w:rFonts w:ascii="Arial" w:hAnsi="Arial"/>
            <w:sz w:val="20"/>
            <w:color w:val="196997"/>
            <w:u w:val="single"/>
          </w:rPr>
          <w:t>https://react.dev/</w:t>
        </w:r>
      </w:hyperlink>
    </w:p>
    <w:p>
      <w:pPr>
        <w:spacing w:after="80" w:line="240" w:lineRule="auto"/>
        <w:ind w:left="340" w:hanging="340"/>
        <w:jc w:val="left"/>
      </w:pPr>
      <w:r>
        <w:rPr>
          <w:rFonts w:ascii="Arial" w:hAnsi="Arial"/>
          <w:b w:val="0"/>
          <w:i w:val="0"/>
          <w:color w:val="000000"/>
          <w:sz w:val="20"/>
        </w:rPr>
        <w:t xml:space="preserve">14. Leaflet (2026). Leaflet Documentation. </w:t>
      </w:r>
      <w:hyperlink r:id="rId25">
        <w:r>
          <w:rPr>
            <w:rFonts w:ascii="Arial" w:hAnsi="Arial"/>
            <w:sz w:val="20"/>
            <w:color w:val="196997"/>
            <w:u w:val="single"/>
          </w:rPr>
          <w:t>https://leafletjs.com/</w:t>
        </w:r>
      </w:hyperlink>
    </w:p>
    <w:p>
      <w:pPr>
        <w:keepLines w:val="0"/>
      </w:pPr>
      <w:r>
        <w:rPr>
          <w:rFonts w:ascii="Arial" w:hAnsi="Arial"/>
          <w:b w:val="0"/>
          <w:i w:val="0"/>
          <w:color w:val="000000"/>
          <w:sz w:val="22"/>
        </w:rPr>
        <w:t>All web sources were accessed on 29 September 2026. Dataset record counts in this report come from the project's local refresh log and converted files.</w:t>
      </w:r>
    </w:p>
    <w:p>
      <w:r>
        <w:br w:type="page"/>
      </w:r>
    </w:p>
    <w:p>
      <w:pPr>
        <w:pStyle w:val="Heading1"/>
      </w:pPr>
      <w:r>
        <w:t>Appendices</w:t>
      </w:r>
    </w:p>
    <w:p>
      <w:pPr>
        <w:pStyle w:val="Heading2"/>
      </w:pPr>
      <w:r>
        <w:t>Appendix A AI usage declaration</w:t>
      </w:r>
    </w:p>
    <w:p>
      <w:pPr>
        <w:keepLines w:val="0"/>
      </w:pPr>
      <w:r>
        <w:rPr>
          <w:rFonts w:ascii="Arial" w:hAnsi="Arial"/>
          <w:b w:val="0"/>
          <w:i w:val="0"/>
          <w:color w:val="000000"/>
          <w:sz w:val="22"/>
        </w:rPr>
        <w:t>Generative AI tools, including OpenAI ChatGPT and Codex, were used to support interface ideation, code troubleshooting, drafting, editing and document formatting. The team selected the problem, reviewed source datasets, made product and design decisions, tested the application, and remains responsible for every claim and submission. AI-generated text and code were checked against the repository, public-source metadata and build or test output. No AI output is treated as an emergency authority, verified community condition or substitute for consultation. The final competition submission should be reviewed by all team members before export.</w:t>
      </w:r>
    </w:p>
    <w:p>
      <w:pPr>
        <w:pStyle w:val="Heading2"/>
      </w:pPr>
      <w:r>
        <w:t>Appendix B Source code and reproducibility</w:t>
      </w:r>
    </w:p>
    <w:p>
      <w:pPr>
        <w:spacing w:after="60"/>
      </w:pPr>
      <w:r>
        <w:rPr>
          <w:rFonts w:ascii="Arial" w:hAnsi="Arial"/>
          <w:b/>
          <w:i w:val="0"/>
          <w:color w:val="000000"/>
          <w:sz w:val="20"/>
        </w:rPr>
        <w:t xml:space="preserve">Source code repository: </w:t>
      </w:r>
      <w:hyperlink r:id="rId26">
        <w:r>
          <w:rPr>
            <w:rFonts w:ascii="Arial" w:hAnsi="Arial"/>
            <w:sz w:val="20"/>
            <w:color w:val="196997"/>
            <w:u w:val="single"/>
          </w:rPr>
          <w:t>https://github.com/zcfnc/RemoteReadyNT</w:t>
        </w:r>
      </w:hyperlink>
    </w:p>
    <w:p>
      <w:pPr>
        <w:spacing w:after="60"/>
      </w:pPr>
      <w:r>
        <w:rPr>
          <w:rFonts w:ascii="Arial" w:hAnsi="Arial"/>
          <w:b/>
          <w:i w:val="0"/>
          <w:color w:val="000000"/>
          <w:sz w:val="20"/>
        </w:rPr>
        <w:t xml:space="preserve">Data refresh script: </w:t>
      </w:r>
      <w:r>
        <w:rPr>
          <w:rFonts w:ascii="Arial" w:hAnsi="Arial"/>
          <w:b w:val="0"/>
          <w:i w:val="0"/>
          <w:color w:val="000000"/>
          <w:sz w:val="20"/>
        </w:rPr>
        <w:t>scripts/download_data.py</w:t>
      </w:r>
    </w:p>
    <w:p>
      <w:pPr>
        <w:spacing w:after="60"/>
      </w:pPr>
      <w:r>
        <w:rPr>
          <w:rFonts w:ascii="Arial" w:hAnsi="Arial"/>
          <w:b/>
          <w:i w:val="0"/>
          <w:color w:val="000000"/>
          <w:sz w:val="20"/>
        </w:rPr>
        <w:t xml:space="preserve">Cyclone conversion script: </w:t>
      </w:r>
      <w:r>
        <w:rPr>
          <w:rFonts w:ascii="Arial" w:hAnsi="Arial"/>
          <w:b w:val="0"/>
          <w:i w:val="0"/>
          <w:color w:val="000000"/>
          <w:sz w:val="20"/>
        </w:rPr>
        <w:t>scripts/convert_bom_cyclones.py</w:t>
      </w:r>
    </w:p>
    <w:p>
      <w:pPr>
        <w:spacing w:after="60"/>
      </w:pPr>
      <w:r>
        <w:rPr>
          <w:rFonts w:ascii="Arial" w:hAnsi="Arial"/>
          <w:b/>
          <w:i w:val="0"/>
          <w:color w:val="000000"/>
          <w:sz w:val="20"/>
        </w:rPr>
        <w:t xml:space="preserve">Cyclone proximity script: </w:t>
      </w:r>
      <w:r>
        <w:rPr>
          <w:rFonts w:ascii="Arial" w:hAnsi="Arial"/>
          <w:b w:val="0"/>
          <w:i w:val="0"/>
          <w:color w:val="000000"/>
          <w:sz w:val="20"/>
        </w:rPr>
        <w:t>scripts/build_cyclone_exposure.py</w:t>
      </w:r>
    </w:p>
    <w:p>
      <w:pPr>
        <w:spacing w:after="60"/>
      </w:pPr>
      <w:r>
        <w:rPr>
          <w:rFonts w:ascii="Arial" w:hAnsi="Arial"/>
          <w:b/>
          <w:i w:val="0"/>
          <w:color w:val="000000"/>
          <w:sz w:val="20"/>
        </w:rPr>
        <w:t xml:space="preserve">Resilience simulation script: </w:t>
      </w:r>
      <w:r>
        <w:rPr>
          <w:rFonts w:ascii="Arial" w:hAnsi="Arial"/>
          <w:b w:val="0"/>
          <w:i w:val="0"/>
          <w:color w:val="000000"/>
          <w:sz w:val="20"/>
        </w:rPr>
        <w:t>scripts/build_resilience_simulation.py</w:t>
      </w:r>
    </w:p>
    <w:p>
      <w:pPr>
        <w:spacing w:after="60"/>
      </w:pPr>
      <w:r>
        <w:rPr>
          <w:rFonts w:ascii="Arial" w:hAnsi="Arial"/>
          <w:b/>
          <w:i w:val="0"/>
          <w:color w:val="000000"/>
          <w:sz w:val="20"/>
        </w:rPr>
        <w:t xml:space="preserve">Browser data directory: </w:t>
      </w:r>
      <w:r>
        <w:rPr>
          <w:rFonts w:ascii="Arial" w:hAnsi="Arial"/>
          <w:b w:val="0"/>
          <w:i w:val="0"/>
          <w:color w:val="000000"/>
          <w:sz w:val="20"/>
        </w:rPr>
        <w:t>app/public/data/</w:t>
      </w:r>
    </w:p>
    <w:p>
      <w:pPr>
        <w:pStyle w:val="Heading2"/>
      </w:pPr>
      <w:r>
        <w:t>Appendix C Submission checks</w:t>
      </w:r>
    </w:p>
    <w:p>
      <w:pPr>
        <w:pStyle w:val="ListBullet"/>
        <w:spacing w:after="40" w:line="252" w:lineRule="auto"/>
        <w:ind w:left="369" w:hanging="142"/>
      </w:pPr>
      <w:r>
        <w:rPr>
          <w:rFonts w:ascii="Arial" w:hAnsi="Arial"/>
          <w:b w:val="0"/>
          <w:i w:val="0"/>
          <w:color w:val="000000"/>
          <w:sz w:val="22"/>
        </w:rPr>
        <w:t>Replace Team Number XX in the title page, header, footer and final filename.</w:t>
      </w:r>
    </w:p>
    <w:p>
      <w:pPr>
        <w:pStyle w:val="ListBullet"/>
        <w:spacing w:after="40" w:line="252" w:lineRule="auto"/>
        <w:ind w:left="369" w:hanging="142"/>
      </w:pPr>
      <w:r>
        <w:rPr>
          <w:rFonts w:ascii="Arial" w:hAnsi="Arial"/>
          <w:b w:val="0"/>
          <w:i w:val="0"/>
          <w:color w:val="000000"/>
          <w:sz w:val="22"/>
        </w:rPr>
        <w:t>Confirm member names, roles and the submission date.</w:t>
      </w:r>
    </w:p>
    <w:p>
      <w:pPr>
        <w:pStyle w:val="ListBullet"/>
        <w:spacing w:after="40" w:line="252" w:lineRule="auto"/>
        <w:ind w:left="369" w:hanging="142"/>
      </w:pPr>
      <w:r>
        <w:rPr>
          <w:rFonts w:ascii="Arial" w:hAnsi="Arial"/>
          <w:b w:val="0"/>
          <w:i w:val="0"/>
          <w:color w:val="000000"/>
          <w:sz w:val="22"/>
        </w:rPr>
        <w:t>Update the three stale Dashboard tests and rerun the complete validation suite.</w:t>
      </w:r>
    </w:p>
    <w:p>
      <w:pPr>
        <w:pStyle w:val="ListBullet"/>
        <w:spacing w:after="40" w:line="252" w:lineRule="auto"/>
        <w:ind w:left="369" w:hanging="142"/>
      </w:pPr>
      <w:r>
        <w:rPr>
          <w:rFonts w:ascii="Arial" w:hAnsi="Arial"/>
          <w:b w:val="0"/>
          <w:i w:val="0"/>
          <w:color w:val="000000"/>
          <w:sz w:val="22"/>
        </w:rPr>
        <w:t>Export to A4 PDF and confirm that the main report from Summary to Conclusion remains within eight pages.</w:t>
      </w:r>
    </w:p>
    <w:p>
      <w:pPr>
        <w:pStyle w:val="ListBullet"/>
        <w:spacing w:after="40" w:line="252" w:lineRule="auto"/>
        <w:ind w:left="369" w:hanging="142"/>
      </w:pPr>
      <w:r>
        <w:rPr>
          <w:rFonts w:ascii="Arial" w:hAnsi="Arial"/>
          <w:b w:val="0"/>
          <w:i w:val="0"/>
          <w:color w:val="000000"/>
          <w:sz w:val="22"/>
        </w:rPr>
        <w:t>Open every hyperlink and verify the final repository visibility settings.</w:t>
      </w:r>
    </w:p>
    <w:sectPr w:rsidR="00FC693F" w:rsidRPr="0006063C" w:rsidSect="00034616">
      <w:headerReference w:type="default" r:id="rId9"/>
      <w:footerReference w:type="default" r:id="rId10"/>
      <w:pgSz w:w="11906" w:h="16838"/>
      <w:pgMar w:top="1020" w:right="1134" w:bottom="1020" w:left="113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b w:val="0"/>
        <w:i w:val="0"/>
        <w:color w:val="5B6870"/>
        <w:sz w:val="18"/>
      </w:rPr>
      <w:t xml:space="preserve">TEAM NUMBER XX  |  PAGE </w:t>
    </w:r>
    <w:r>
      <w:rPr>
        <w:rFonts w:ascii="Arial" w:hAnsi="Arial"/>
        <w:b w:val="0"/>
        <w:i w:val="0"/>
        <w:color w:val="5B687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i w:val="0"/>
        <w:color w:val="5B6870"/>
        <w:sz w:val="18"/>
      </w:rPr>
      <w:t xml:space="preserve">TEAM NUMBER XX  |  PAGE </w:t>
    </w:r>
    <w:r>
      <w:rPr>
        <w:rFonts w:ascii="Arial" w:hAnsi="Arial"/>
        <w:b w:val="0"/>
        <w:i w:val="0"/>
        <w:color w:val="5B6870"/>
        <w:sz w:val="18"/>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jc w:val="center"/>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20"/>
    </w:pPr>
    <w:rPr>
      <w:rFonts w:ascii="Arial" w:hAnsi="Arial"/>
      <w:b/>
      <w:bCs/>
      <w:i w:val="0"/>
      <w:color w:val="5B687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bom.gov.au/cyclone/tropical-cyclone-knowledge-centre/databases/" TargetMode="External"/><Relationship Id="rId13" Type="http://schemas.openxmlformats.org/officeDocument/2006/relationships/hyperlink" Target="https://www.bom.gov.au/cyclone/history/database/TC_Database_Structure_Oct2011.pdf" TargetMode="External"/><Relationship Id="rId14" Type="http://schemas.openxmlformats.org/officeDocument/2006/relationships/hyperlink" Target="https://data.nt.gov.au/dataset/84fd8432-de2d-407c-977d-3f851adfac75" TargetMode="External"/><Relationship Id="rId15" Type="http://schemas.openxmlformats.org/officeDocument/2006/relationships/hyperlink" Target="https://data.nt.gov.au/dataset/50131071-605e-4d32-a75e-0aeb8e98c640" TargetMode="External"/><Relationship Id="rId16" Type="http://schemas.openxmlformats.org/officeDocument/2006/relationships/hyperlink" Target="https://www.openstreetmap.org/copyright" TargetMode="External"/><Relationship Id="rId17" Type="http://schemas.openxmlformats.org/officeDocument/2006/relationships/hyperlink" Target="https://www.abs.gov.au/census/find-census-data/datapacks" TargetMode="External"/><Relationship Id="rId18" Type="http://schemas.openxmlformats.org/officeDocument/2006/relationships/hyperlink" Target="https://www.infrastructure.gov.au/media-communications/first-nations-digital-inclusion" TargetMode="External"/><Relationship Id="rId19" Type="http://schemas.openxmlformats.org/officeDocument/2006/relationships/hyperlink" Target="https://www.regionaldatahub.gov.au/explore" TargetMode="External"/><Relationship Id="rId20" Type="http://schemas.openxmlformats.org/officeDocument/2006/relationships/hyperlink" Target="https://dashboard.trc.qld.gov.au/" TargetMode="External"/><Relationship Id="rId21" Type="http://schemas.openxmlformats.org/officeDocument/2006/relationships/hyperlink" Target="https://aiatsis.gov.au/research/ethical-research/code-ethics" TargetMode="External"/><Relationship Id="rId22" Type="http://schemas.openxmlformats.org/officeDocument/2006/relationships/hyperlink" Target="https://www.gida-global.org/care" TargetMode="External"/><Relationship Id="rId23" Type="http://schemas.openxmlformats.org/officeDocument/2006/relationships/hyperlink" Target="https://www.w3.org/TR/WCAG22/" TargetMode="External"/><Relationship Id="rId24" Type="http://schemas.openxmlformats.org/officeDocument/2006/relationships/hyperlink" Target="https://react.dev/" TargetMode="External"/><Relationship Id="rId25" Type="http://schemas.openxmlformats.org/officeDocument/2006/relationships/hyperlink" Target="https://leafletjs.com/" TargetMode="External"/><Relationship Id="rId26" Type="http://schemas.openxmlformats.org/officeDocument/2006/relationships/hyperlink" Target="https://github.com/zcfnc/RemoteReady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RemoteReady NT Data Innovation Challenge Report</dc:title>
  <dc:subject>Competition report for the CDU IT Code Fair 2026 Data Innovation Challenge</dc:subject>
  <dc:creator>RemoteReady NT Team</dc:creator>
  <cp:keywords>RemoteReady NT, Data Innovation Challenge, cyclone, connectivity, Northern Territory</cp:keywords>
  <dc:description>generated by python-docx</dc:description>
  <cp:lastModifiedBy/>
  <cp:revision>1</cp:revision>
  <dcterms:created xsi:type="dcterms:W3CDTF">2013-12-23T23:15:00Z</dcterms:created>
  <dcterms:modified xsi:type="dcterms:W3CDTF">2013-12-23T23:15:00Z</dcterms:modified>
  <cp:category/>
</cp:coreProperties>
</file>