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BEE86" w14:textId="4E726DF6" w:rsidR="00CB08EC" w:rsidRDefault="00CB08EC" w:rsidP="00CB08EC">
      <w:pPr>
        <w:spacing w:line="360" w:lineRule="auto"/>
        <w:ind w:firstLine="420"/>
        <w:rPr>
          <w:rFonts w:hint="eastAsia"/>
        </w:rPr>
      </w:pPr>
      <w:r>
        <w:rPr>
          <w:rFonts w:hint="eastAsia"/>
        </w:rPr>
        <w:t>论文中已经给出了与较成熟的测试生成方法比较的测试，在此增加与测试集约减方法</w:t>
      </w:r>
      <w:r>
        <w:rPr>
          <w:rFonts w:hint="eastAsia"/>
        </w:rPr>
        <w:t>H</w:t>
      </w:r>
      <w:r>
        <w:t>GS[1](HGS</w:t>
      </w:r>
      <w:r>
        <w:rPr>
          <w:rFonts w:hint="eastAsia"/>
        </w:rPr>
        <w:t>是利用启发式的算法思想，寻找相似用例，具体可参考论文</w:t>
      </w:r>
      <w:r>
        <w:rPr>
          <w:rFonts w:hint="eastAsia"/>
        </w:rPr>
        <w:t>[</w:t>
      </w:r>
      <w:r>
        <w:t>1</w:t>
      </w:r>
      <w:bookmarkStart w:id="0" w:name="_GoBack"/>
      <w:bookmarkEnd w:id="0"/>
      <w:r>
        <w:t>])</w:t>
      </w:r>
      <w:r>
        <w:rPr>
          <w:rFonts w:hint="eastAsia"/>
        </w:rPr>
        <w:t>的比较</w:t>
      </w:r>
      <w:r>
        <w:rPr>
          <w:rFonts w:hint="eastAsia"/>
        </w:rPr>
        <w:t>测试生成产生冗余的原因是随机生成的测试数据可能无法同时兼顾多个测试目标的要求，但实际上如果测试目标之间相似度较高时，即使随机生成测试数据满足多个测试目标的几率也会大大增加。</w:t>
      </w:r>
    </w:p>
    <w:p w14:paraId="371A6E43" w14:textId="77777777" w:rsidR="00CB08EC" w:rsidRDefault="00CB08EC" w:rsidP="00CB08EC">
      <w:pPr>
        <w:spacing w:line="360" w:lineRule="auto"/>
        <w:ind w:firstLine="420"/>
        <w:rPr>
          <w:rFonts w:hint="eastAsia"/>
        </w:rPr>
      </w:pPr>
      <w:r>
        <w:rPr>
          <w:rFonts w:hint="eastAsia"/>
        </w:rPr>
        <w:t>为了</w:t>
      </w:r>
      <w:r w:rsidRPr="00320C85">
        <w:rPr>
          <w:rFonts w:hint="eastAsia"/>
        </w:rPr>
        <w:t>探究测试目标之间关系对本方法的影响，</w:t>
      </w:r>
      <w:r>
        <w:rPr>
          <w:rFonts w:hint="eastAsia"/>
        </w:rPr>
        <w:t>本文</w:t>
      </w:r>
      <w:r w:rsidRPr="00320C85">
        <w:rPr>
          <w:rFonts w:hint="eastAsia"/>
        </w:rPr>
        <w:t>进一步开展实验。本实验使用参数</w:t>
      </w:r>
      <w:proofErr w:type="spellStart"/>
      <w:r w:rsidRPr="00320C85">
        <w:rPr>
          <w:rFonts w:hint="eastAsia"/>
          <w:i/>
        </w:rPr>
        <w:t>InerSetPer</w:t>
      </w:r>
      <w:proofErr w:type="spellEnd"/>
      <w:r w:rsidRPr="00320C85">
        <w:rPr>
          <w:rFonts w:hint="eastAsia"/>
        </w:rPr>
        <w:t>描述一组测试目标</w:t>
      </w:r>
      <w:r>
        <w:rPr>
          <w:rFonts w:hint="eastAsia"/>
        </w:rPr>
        <w:t>之间的相似度</w:t>
      </w:r>
      <w:r w:rsidRPr="00320C85">
        <w:t xml:space="preserve"> </w:t>
      </w:r>
      <w:r>
        <w:rPr>
          <w:rFonts w:hint="eastAsia"/>
        </w:rPr>
        <w:t>，其定义如下：</w:t>
      </w:r>
    </w:p>
    <w:p w14:paraId="0C04C32E" w14:textId="77777777" w:rsidR="00CB08EC" w:rsidRDefault="00CB08EC" w:rsidP="00CB08EC">
      <w:pPr>
        <w:jc w:val="center"/>
        <w:rPr>
          <w:rFonts w:hint="eastAsia"/>
        </w:rPr>
      </w:pPr>
      <w:r w:rsidRPr="00C654D2">
        <w:rPr>
          <w:position w:val="-24"/>
        </w:rPr>
        <w:object w:dxaOrig="4099" w:dyaOrig="580" w14:anchorId="47F2A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29pt" o:ole="">
            <v:imagedata r:id="rId7" o:title=""/>
          </v:shape>
          <o:OLEObject Type="Embed" ProgID="Equation.3" ShapeID="_x0000_i1025" DrawAspect="Content" ObjectID="_1590492361" r:id="rId8"/>
        </w:object>
      </w:r>
      <w:r>
        <w:rPr>
          <w:rFonts w:hint="eastAsia"/>
        </w:rPr>
        <w:t>。</w:t>
      </w:r>
    </w:p>
    <w:p w14:paraId="2DC07016" w14:textId="48102CDF" w:rsidR="00CB08EC" w:rsidRPr="00320C85" w:rsidRDefault="00CB08EC" w:rsidP="00CB08EC">
      <w:pPr>
        <w:spacing w:line="360" w:lineRule="auto"/>
        <w:ind w:firstLine="420"/>
        <w:rPr>
          <w:rFonts w:hint="eastAsia"/>
        </w:rPr>
      </w:pPr>
      <w:r>
        <w:rPr>
          <w:rFonts w:hint="eastAsia"/>
        </w:rPr>
        <w:t>当</w:t>
      </w:r>
      <w:proofErr w:type="spellStart"/>
      <w:r w:rsidRPr="00320C85">
        <w:rPr>
          <w:rFonts w:hint="eastAsia"/>
          <w:i/>
        </w:rPr>
        <w:t>InerSetPer</w:t>
      </w:r>
      <w:proofErr w:type="spellEnd"/>
      <w:r w:rsidRPr="00E92EBD">
        <w:rPr>
          <w:rFonts w:hint="eastAsia"/>
        </w:rPr>
        <w:t>出现变化时</w:t>
      </w:r>
      <w:r>
        <w:rPr>
          <w:rFonts w:hint="eastAsia"/>
        </w:rPr>
        <w:t>，根据该指标的数值调整测试目标模型中的数据约束。</w:t>
      </w:r>
      <w:r w:rsidRPr="00320C85">
        <w:rPr>
          <w:rFonts w:hint="eastAsia"/>
        </w:rPr>
        <w:t>下表给出了</w:t>
      </w:r>
      <w:proofErr w:type="spellStart"/>
      <w:r w:rsidRPr="00320C85">
        <w:rPr>
          <w:rFonts w:hint="eastAsia"/>
          <w:i/>
        </w:rPr>
        <w:t>InerSetPer</w:t>
      </w:r>
      <w:proofErr w:type="spellEnd"/>
      <w:r w:rsidRPr="00320C85">
        <w:rPr>
          <w:rFonts w:hint="eastAsia"/>
        </w:rPr>
        <w:t>的不同取值对实验结果的影响。</w:t>
      </w:r>
    </w:p>
    <w:p w14:paraId="4A98D48F" w14:textId="33F1E978" w:rsidR="00CB08EC" w:rsidRPr="00F96EC1" w:rsidRDefault="00CB08EC" w:rsidP="00CB08EC">
      <w:pPr>
        <w:pStyle w:val="a7"/>
        <w:jc w:val="center"/>
        <w:rPr>
          <w:rFonts w:ascii="华文楷体" w:eastAsia="华文楷体" w:hAnsi="华文楷体" w:hint="eastAsia"/>
          <w:b/>
          <w:sz w:val="24"/>
          <w:szCs w:val="24"/>
        </w:rPr>
      </w:pPr>
      <w:bookmarkStart w:id="1" w:name="_Toc319658714"/>
      <w:bookmarkStart w:id="2" w:name="_Toc327468791"/>
      <w:r w:rsidRPr="000827A6">
        <w:rPr>
          <w:rFonts w:ascii="华文楷体" w:eastAsia="华文楷体" w:hAnsi="华文楷体" w:hint="eastAsia"/>
          <w:b/>
          <w:sz w:val="24"/>
          <w:szCs w:val="24"/>
        </w:rPr>
        <w:t xml:space="preserve">表 </w:t>
      </w:r>
      <w:r>
        <w:rPr>
          <w:rFonts w:ascii="华文楷体" w:eastAsia="华文楷体" w:hAnsi="华文楷体"/>
          <w:b/>
          <w:sz w:val="24"/>
          <w:szCs w:val="24"/>
        </w:rPr>
        <w:t>1</w:t>
      </w:r>
      <w:r>
        <w:rPr>
          <w:rFonts w:ascii="华文楷体" w:eastAsia="华文楷体" w:hAnsi="华文楷体" w:hint="eastAsia"/>
          <w:b/>
          <w:sz w:val="24"/>
          <w:szCs w:val="24"/>
        </w:rPr>
        <w:t xml:space="preserve">  </w:t>
      </w:r>
      <w:r w:rsidRPr="00375ED3">
        <w:rPr>
          <w:rFonts w:ascii="Times New Roman" w:hAnsi="Times New Roman" w:cs="Times New Roman"/>
          <w:b/>
          <w:sz w:val="21"/>
          <w:szCs w:val="21"/>
        </w:rPr>
        <w:t>HGS</w:t>
      </w:r>
      <w:r w:rsidRPr="00F96EC1">
        <w:rPr>
          <w:rFonts w:ascii="华文楷体" w:eastAsia="华文楷体" w:hAnsi="华文楷体" w:hint="eastAsia"/>
          <w:b/>
          <w:sz w:val="24"/>
          <w:szCs w:val="24"/>
        </w:rPr>
        <w:t>方法和本方法的平均测试用例个数对比</w:t>
      </w:r>
      <w:bookmarkEnd w:id="1"/>
      <w:bookmarkEnd w:id="2"/>
    </w:p>
    <w:tbl>
      <w:tblPr>
        <w:tblW w:w="0" w:type="auto"/>
        <w:jc w:val="center"/>
        <w:tblBorders>
          <w:top w:val="single" w:sz="12" w:space="0" w:color="auto"/>
          <w:bottom w:val="single" w:sz="12" w:space="0" w:color="auto"/>
          <w:insideH w:val="single" w:sz="2" w:space="0" w:color="auto"/>
        </w:tblBorders>
        <w:tblLayout w:type="fixed"/>
        <w:tblLook w:val="01E0" w:firstRow="1" w:lastRow="1" w:firstColumn="1" w:lastColumn="1" w:noHBand="0" w:noVBand="0"/>
      </w:tblPr>
      <w:tblGrid>
        <w:gridCol w:w="1214"/>
        <w:gridCol w:w="1475"/>
        <w:gridCol w:w="1496"/>
      </w:tblGrid>
      <w:tr w:rsidR="00CB08EC" w:rsidRPr="00E021CD" w14:paraId="31954752" w14:textId="77777777" w:rsidTr="00262CA4">
        <w:trPr>
          <w:jc w:val="center"/>
        </w:trPr>
        <w:tc>
          <w:tcPr>
            <w:tcW w:w="1214" w:type="dxa"/>
          </w:tcPr>
          <w:p w14:paraId="641F403F" w14:textId="77777777" w:rsidR="00CB08EC" w:rsidRPr="00F96EC1" w:rsidRDefault="00CB08EC" w:rsidP="00262CA4">
            <w:pPr>
              <w:pStyle w:val="a8"/>
              <w:jc w:val="center"/>
              <w:rPr>
                <w:b/>
                <w:sz w:val="21"/>
                <w:szCs w:val="21"/>
              </w:rPr>
            </w:pPr>
            <w:proofErr w:type="spellStart"/>
            <w:r w:rsidRPr="00F96EC1">
              <w:rPr>
                <w:rFonts w:hint="eastAsia"/>
                <w:b/>
                <w:i/>
                <w:sz w:val="21"/>
                <w:szCs w:val="21"/>
              </w:rPr>
              <w:t>InerSetPer</w:t>
            </w:r>
            <w:proofErr w:type="spellEnd"/>
          </w:p>
        </w:tc>
        <w:tc>
          <w:tcPr>
            <w:tcW w:w="1475" w:type="dxa"/>
          </w:tcPr>
          <w:p w14:paraId="1DF0A9F9" w14:textId="77777777" w:rsidR="00CB08EC" w:rsidRPr="00F96EC1" w:rsidRDefault="00CB08EC" w:rsidP="00262CA4">
            <w:pPr>
              <w:pStyle w:val="a8"/>
              <w:jc w:val="center"/>
              <w:rPr>
                <w:rFonts w:hint="eastAsia"/>
                <w:b/>
                <w:sz w:val="21"/>
                <w:szCs w:val="21"/>
              </w:rPr>
            </w:pPr>
            <w:r w:rsidRPr="00F96EC1">
              <w:rPr>
                <w:rFonts w:hAnsi="宋体" w:hint="eastAsia"/>
                <w:b/>
                <w:sz w:val="21"/>
                <w:szCs w:val="21"/>
              </w:rPr>
              <w:t>HGS</w:t>
            </w:r>
          </w:p>
        </w:tc>
        <w:tc>
          <w:tcPr>
            <w:tcW w:w="1496" w:type="dxa"/>
          </w:tcPr>
          <w:p w14:paraId="34B57D50" w14:textId="77777777" w:rsidR="00CB08EC" w:rsidRPr="00F96EC1" w:rsidRDefault="00CB08EC" w:rsidP="00262CA4">
            <w:pPr>
              <w:pStyle w:val="a8"/>
              <w:jc w:val="center"/>
              <w:rPr>
                <w:rFonts w:hint="eastAsia"/>
                <w:b/>
                <w:sz w:val="21"/>
                <w:szCs w:val="21"/>
              </w:rPr>
            </w:pPr>
            <w:r w:rsidRPr="00F96EC1">
              <w:rPr>
                <w:rFonts w:hint="eastAsia"/>
                <w:b/>
                <w:sz w:val="21"/>
                <w:szCs w:val="21"/>
              </w:rPr>
              <w:t>本方法</w:t>
            </w:r>
          </w:p>
        </w:tc>
      </w:tr>
      <w:tr w:rsidR="00CB08EC" w:rsidRPr="00E021CD" w14:paraId="5076B4D1" w14:textId="77777777" w:rsidTr="00262CA4">
        <w:trPr>
          <w:jc w:val="center"/>
        </w:trPr>
        <w:tc>
          <w:tcPr>
            <w:tcW w:w="1214" w:type="dxa"/>
            <w:vAlign w:val="center"/>
          </w:tcPr>
          <w:p w14:paraId="46DDE5C9" w14:textId="77777777" w:rsidR="00CB08EC" w:rsidRPr="00F96EC1" w:rsidRDefault="00CB08EC" w:rsidP="00262CA4">
            <w:pPr>
              <w:jc w:val="right"/>
              <w:rPr>
                <w:rFonts w:hint="eastAsia"/>
                <w:sz w:val="21"/>
                <w:szCs w:val="21"/>
              </w:rPr>
            </w:pPr>
            <w:r w:rsidRPr="00F96EC1">
              <w:rPr>
                <w:rFonts w:hint="eastAsia"/>
                <w:sz w:val="21"/>
                <w:szCs w:val="21"/>
              </w:rPr>
              <w:t>0</w:t>
            </w:r>
          </w:p>
        </w:tc>
        <w:tc>
          <w:tcPr>
            <w:tcW w:w="1475" w:type="dxa"/>
            <w:vAlign w:val="center"/>
          </w:tcPr>
          <w:p w14:paraId="49C5376C" w14:textId="77777777" w:rsidR="00CB08EC" w:rsidRDefault="00CB08EC" w:rsidP="00262CA4">
            <w:pPr>
              <w:jc w:val="right"/>
              <w:rPr>
                <w:sz w:val="21"/>
                <w:szCs w:val="21"/>
              </w:rPr>
            </w:pPr>
            <w:r>
              <w:rPr>
                <w:sz w:val="21"/>
                <w:szCs w:val="21"/>
              </w:rPr>
              <w:t>28.5</w:t>
            </w:r>
          </w:p>
        </w:tc>
        <w:tc>
          <w:tcPr>
            <w:tcW w:w="1496" w:type="dxa"/>
            <w:vAlign w:val="center"/>
          </w:tcPr>
          <w:p w14:paraId="2DEBF730" w14:textId="77777777" w:rsidR="00CB08EC" w:rsidRDefault="00CB08EC" w:rsidP="00262CA4">
            <w:pPr>
              <w:jc w:val="right"/>
              <w:rPr>
                <w:sz w:val="21"/>
                <w:szCs w:val="21"/>
              </w:rPr>
            </w:pPr>
            <w:r>
              <w:rPr>
                <w:sz w:val="21"/>
                <w:szCs w:val="21"/>
              </w:rPr>
              <w:t>28.5</w:t>
            </w:r>
          </w:p>
        </w:tc>
      </w:tr>
      <w:tr w:rsidR="00CB08EC" w:rsidRPr="00E021CD" w14:paraId="270EBAB0" w14:textId="77777777" w:rsidTr="00262CA4">
        <w:trPr>
          <w:jc w:val="center"/>
        </w:trPr>
        <w:tc>
          <w:tcPr>
            <w:tcW w:w="1214" w:type="dxa"/>
            <w:vAlign w:val="center"/>
          </w:tcPr>
          <w:p w14:paraId="7503A198" w14:textId="77777777" w:rsidR="00CB08EC" w:rsidRPr="00F96EC1" w:rsidRDefault="00CB08EC" w:rsidP="00262CA4">
            <w:pPr>
              <w:jc w:val="right"/>
              <w:rPr>
                <w:rFonts w:ascii="宋体" w:hAnsi="宋体" w:cs="宋体"/>
                <w:sz w:val="21"/>
                <w:szCs w:val="21"/>
              </w:rPr>
            </w:pPr>
            <w:r w:rsidRPr="00F96EC1">
              <w:rPr>
                <w:rFonts w:hint="eastAsia"/>
                <w:sz w:val="21"/>
                <w:szCs w:val="21"/>
              </w:rPr>
              <w:t>0.001</w:t>
            </w:r>
          </w:p>
        </w:tc>
        <w:tc>
          <w:tcPr>
            <w:tcW w:w="1475" w:type="dxa"/>
            <w:vAlign w:val="center"/>
          </w:tcPr>
          <w:p w14:paraId="275B4519" w14:textId="77777777" w:rsidR="00CB08EC" w:rsidRDefault="00CB08EC" w:rsidP="00262CA4">
            <w:pPr>
              <w:jc w:val="right"/>
              <w:rPr>
                <w:sz w:val="21"/>
                <w:szCs w:val="21"/>
              </w:rPr>
            </w:pPr>
            <w:r>
              <w:rPr>
                <w:sz w:val="21"/>
                <w:szCs w:val="21"/>
              </w:rPr>
              <w:t>27.33</w:t>
            </w:r>
          </w:p>
        </w:tc>
        <w:tc>
          <w:tcPr>
            <w:tcW w:w="1496" w:type="dxa"/>
            <w:vAlign w:val="center"/>
          </w:tcPr>
          <w:p w14:paraId="737693BD" w14:textId="77777777" w:rsidR="00CB08EC" w:rsidRDefault="00CB08EC" w:rsidP="00262CA4">
            <w:pPr>
              <w:jc w:val="right"/>
              <w:rPr>
                <w:sz w:val="21"/>
                <w:szCs w:val="21"/>
              </w:rPr>
            </w:pPr>
            <w:r>
              <w:rPr>
                <w:sz w:val="21"/>
                <w:szCs w:val="21"/>
              </w:rPr>
              <w:t>26.73</w:t>
            </w:r>
          </w:p>
        </w:tc>
      </w:tr>
      <w:tr w:rsidR="00CB08EC" w:rsidRPr="00E021CD" w14:paraId="21C99855" w14:textId="77777777" w:rsidTr="00262CA4">
        <w:trPr>
          <w:jc w:val="center"/>
        </w:trPr>
        <w:tc>
          <w:tcPr>
            <w:tcW w:w="1214" w:type="dxa"/>
            <w:vAlign w:val="center"/>
          </w:tcPr>
          <w:p w14:paraId="7B1CC3AE" w14:textId="77777777" w:rsidR="00CB08EC" w:rsidRPr="00F96EC1" w:rsidRDefault="00CB08EC" w:rsidP="00262CA4">
            <w:pPr>
              <w:jc w:val="right"/>
              <w:rPr>
                <w:rFonts w:ascii="宋体" w:hAnsi="宋体" w:cs="宋体"/>
                <w:sz w:val="21"/>
                <w:szCs w:val="21"/>
              </w:rPr>
            </w:pPr>
            <w:r w:rsidRPr="00F96EC1">
              <w:rPr>
                <w:rFonts w:hint="eastAsia"/>
                <w:sz w:val="21"/>
                <w:szCs w:val="21"/>
              </w:rPr>
              <w:t>0.01</w:t>
            </w:r>
          </w:p>
        </w:tc>
        <w:tc>
          <w:tcPr>
            <w:tcW w:w="1475" w:type="dxa"/>
            <w:vAlign w:val="center"/>
          </w:tcPr>
          <w:p w14:paraId="198BF0EF" w14:textId="77777777" w:rsidR="00CB08EC" w:rsidRDefault="00CB08EC" w:rsidP="00262CA4">
            <w:pPr>
              <w:jc w:val="right"/>
              <w:rPr>
                <w:sz w:val="21"/>
                <w:szCs w:val="21"/>
              </w:rPr>
            </w:pPr>
            <w:r>
              <w:rPr>
                <w:sz w:val="21"/>
                <w:szCs w:val="21"/>
              </w:rPr>
              <w:t>27.06</w:t>
            </w:r>
          </w:p>
        </w:tc>
        <w:tc>
          <w:tcPr>
            <w:tcW w:w="1496" w:type="dxa"/>
            <w:vAlign w:val="center"/>
          </w:tcPr>
          <w:p w14:paraId="28A6CB14" w14:textId="77777777" w:rsidR="00CB08EC" w:rsidRDefault="00CB08EC" w:rsidP="00262CA4">
            <w:pPr>
              <w:jc w:val="right"/>
              <w:rPr>
                <w:sz w:val="21"/>
                <w:szCs w:val="21"/>
              </w:rPr>
            </w:pPr>
            <w:r>
              <w:rPr>
                <w:sz w:val="21"/>
                <w:szCs w:val="21"/>
              </w:rPr>
              <w:t>25.67</w:t>
            </w:r>
          </w:p>
        </w:tc>
      </w:tr>
      <w:tr w:rsidR="00CB08EC" w:rsidRPr="00E021CD" w14:paraId="7EDEDFD9" w14:textId="77777777" w:rsidTr="00262CA4">
        <w:trPr>
          <w:jc w:val="center"/>
        </w:trPr>
        <w:tc>
          <w:tcPr>
            <w:tcW w:w="1214" w:type="dxa"/>
            <w:vAlign w:val="center"/>
          </w:tcPr>
          <w:p w14:paraId="4DE5B518" w14:textId="77777777" w:rsidR="00CB08EC" w:rsidRPr="00F96EC1" w:rsidRDefault="00CB08EC" w:rsidP="00262CA4">
            <w:pPr>
              <w:jc w:val="right"/>
              <w:rPr>
                <w:rFonts w:ascii="宋体" w:hAnsi="宋体" w:cs="宋体"/>
                <w:sz w:val="21"/>
                <w:szCs w:val="21"/>
              </w:rPr>
            </w:pPr>
            <w:r w:rsidRPr="00F96EC1">
              <w:rPr>
                <w:rFonts w:hint="eastAsia"/>
                <w:sz w:val="21"/>
                <w:szCs w:val="21"/>
              </w:rPr>
              <w:t>0.025</w:t>
            </w:r>
          </w:p>
        </w:tc>
        <w:tc>
          <w:tcPr>
            <w:tcW w:w="1475" w:type="dxa"/>
            <w:vAlign w:val="center"/>
          </w:tcPr>
          <w:p w14:paraId="006126C0" w14:textId="77777777" w:rsidR="00CB08EC" w:rsidRDefault="00CB08EC" w:rsidP="00262CA4">
            <w:pPr>
              <w:jc w:val="right"/>
              <w:rPr>
                <w:sz w:val="21"/>
                <w:szCs w:val="21"/>
              </w:rPr>
            </w:pPr>
            <w:r>
              <w:rPr>
                <w:sz w:val="21"/>
                <w:szCs w:val="21"/>
              </w:rPr>
              <w:t>26.94</w:t>
            </w:r>
          </w:p>
        </w:tc>
        <w:tc>
          <w:tcPr>
            <w:tcW w:w="1496" w:type="dxa"/>
            <w:vAlign w:val="center"/>
          </w:tcPr>
          <w:p w14:paraId="2A183CBD" w14:textId="77777777" w:rsidR="00CB08EC" w:rsidRDefault="00CB08EC" w:rsidP="00262CA4">
            <w:pPr>
              <w:jc w:val="right"/>
              <w:rPr>
                <w:sz w:val="21"/>
                <w:szCs w:val="21"/>
              </w:rPr>
            </w:pPr>
            <w:r>
              <w:rPr>
                <w:sz w:val="21"/>
                <w:szCs w:val="21"/>
              </w:rPr>
              <w:t>22.76</w:t>
            </w:r>
          </w:p>
        </w:tc>
      </w:tr>
      <w:tr w:rsidR="00CB08EC" w:rsidRPr="00E021CD" w14:paraId="1D26779F" w14:textId="77777777" w:rsidTr="00262CA4">
        <w:trPr>
          <w:jc w:val="center"/>
        </w:trPr>
        <w:tc>
          <w:tcPr>
            <w:tcW w:w="1214" w:type="dxa"/>
            <w:vAlign w:val="center"/>
          </w:tcPr>
          <w:p w14:paraId="473E711B" w14:textId="77777777" w:rsidR="00CB08EC" w:rsidRPr="00F96EC1" w:rsidRDefault="00CB08EC" w:rsidP="00262CA4">
            <w:pPr>
              <w:jc w:val="right"/>
              <w:rPr>
                <w:rFonts w:ascii="宋体" w:hAnsi="宋体" w:cs="宋体"/>
                <w:sz w:val="21"/>
                <w:szCs w:val="21"/>
              </w:rPr>
            </w:pPr>
            <w:r w:rsidRPr="00F96EC1">
              <w:rPr>
                <w:rFonts w:hint="eastAsia"/>
                <w:sz w:val="21"/>
                <w:szCs w:val="21"/>
              </w:rPr>
              <w:t>0.05</w:t>
            </w:r>
          </w:p>
        </w:tc>
        <w:tc>
          <w:tcPr>
            <w:tcW w:w="1475" w:type="dxa"/>
            <w:vAlign w:val="center"/>
          </w:tcPr>
          <w:p w14:paraId="4185FA97" w14:textId="77777777" w:rsidR="00CB08EC" w:rsidRDefault="00CB08EC" w:rsidP="00262CA4">
            <w:pPr>
              <w:jc w:val="right"/>
              <w:rPr>
                <w:sz w:val="21"/>
                <w:szCs w:val="21"/>
              </w:rPr>
            </w:pPr>
            <w:r>
              <w:rPr>
                <w:sz w:val="21"/>
                <w:szCs w:val="21"/>
              </w:rPr>
              <w:t>25.11</w:t>
            </w:r>
          </w:p>
        </w:tc>
        <w:tc>
          <w:tcPr>
            <w:tcW w:w="1496" w:type="dxa"/>
            <w:vAlign w:val="center"/>
          </w:tcPr>
          <w:p w14:paraId="4BEB4E45" w14:textId="77777777" w:rsidR="00CB08EC" w:rsidRDefault="00CB08EC" w:rsidP="00262CA4">
            <w:pPr>
              <w:jc w:val="right"/>
              <w:rPr>
                <w:sz w:val="21"/>
                <w:szCs w:val="21"/>
              </w:rPr>
            </w:pPr>
            <w:r>
              <w:rPr>
                <w:sz w:val="21"/>
                <w:szCs w:val="21"/>
              </w:rPr>
              <w:t>21.88</w:t>
            </w:r>
          </w:p>
        </w:tc>
      </w:tr>
      <w:tr w:rsidR="00CB08EC" w:rsidRPr="00E021CD" w14:paraId="35E42AD4" w14:textId="77777777" w:rsidTr="00262CA4">
        <w:trPr>
          <w:jc w:val="center"/>
        </w:trPr>
        <w:tc>
          <w:tcPr>
            <w:tcW w:w="1214" w:type="dxa"/>
            <w:vAlign w:val="center"/>
          </w:tcPr>
          <w:p w14:paraId="67C7DE55" w14:textId="77777777" w:rsidR="00CB08EC" w:rsidRPr="00F96EC1" w:rsidRDefault="00CB08EC" w:rsidP="00262CA4">
            <w:pPr>
              <w:jc w:val="right"/>
              <w:rPr>
                <w:rFonts w:ascii="宋体" w:hAnsi="宋体" w:cs="宋体"/>
                <w:sz w:val="21"/>
                <w:szCs w:val="21"/>
              </w:rPr>
            </w:pPr>
            <w:r w:rsidRPr="00F96EC1">
              <w:rPr>
                <w:rFonts w:hint="eastAsia"/>
                <w:sz w:val="21"/>
                <w:szCs w:val="21"/>
              </w:rPr>
              <w:t>0.075</w:t>
            </w:r>
          </w:p>
        </w:tc>
        <w:tc>
          <w:tcPr>
            <w:tcW w:w="1475" w:type="dxa"/>
            <w:vAlign w:val="center"/>
          </w:tcPr>
          <w:p w14:paraId="79A95F55" w14:textId="77777777" w:rsidR="00CB08EC" w:rsidRDefault="00CB08EC" w:rsidP="00262CA4">
            <w:pPr>
              <w:jc w:val="right"/>
              <w:rPr>
                <w:sz w:val="21"/>
                <w:szCs w:val="21"/>
              </w:rPr>
            </w:pPr>
            <w:r>
              <w:rPr>
                <w:sz w:val="21"/>
                <w:szCs w:val="21"/>
              </w:rPr>
              <w:t>25.05</w:t>
            </w:r>
          </w:p>
        </w:tc>
        <w:tc>
          <w:tcPr>
            <w:tcW w:w="1496" w:type="dxa"/>
            <w:vAlign w:val="center"/>
          </w:tcPr>
          <w:p w14:paraId="71BB34C4" w14:textId="77777777" w:rsidR="00CB08EC" w:rsidRDefault="00CB08EC" w:rsidP="00262CA4">
            <w:pPr>
              <w:jc w:val="right"/>
              <w:rPr>
                <w:sz w:val="21"/>
                <w:szCs w:val="21"/>
              </w:rPr>
            </w:pPr>
            <w:r>
              <w:rPr>
                <w:sz w:val="21"/>
                <w:szCs w:val="21"/>
              </w:rPr>
              <w:t>20.85</w:t>
            </w:r>
          </w:p>
        </w:tc>
      </w:tr>
      <w:tr w:rsidR="00CB08EC" w:rsidRPr="00E021CD" w14:paraId="5D068DC6" w14:textId="77777777" w:rsidTr="00262CA4">
        <w:trPr>
          <w:jc w:val="center"/>
        </w:trPr>
        <w:tc>
          <w:tcPr>
            <w:tcW w:w="1214" w:type="dxa"/>
            <w:vAlign w:val="center"/>
          </w:tcPr>
          <w:p w14:paraId="0D4BE8F3" w14:textId="77777777" w:rsidR="00CB08EC" w:rsidRPr="00F96EC1" w:rsidRDefault="00CB08EC" w:rsidP="00262CA4">
            <w:pPr>
              <w:jc w:val="right"/>
              <w:rPr>
                <w:rFonts w:ascii="宋体" w:hAnsi="宋体" w:cs="宋体"/>
                <w:sz w:val="21"/>
                <w:szCs w:val="21"/>
              </w:rPr>
            </w:pPr>
            <w:r w:rsidRPr="00F96EC1">
              <w:rPr>
                <w:rFonts w:hint="eastAsia"/>
                <w:sz w:val="21"/>
                <w:szCs w:val="21"/>
              </w:rPr>
              <w:t>0.1</w:t>
            </w:r>
          </w:p>
        </w:tc>
        <w:tc>
          <w:tcPr>
            <w:tcW w:w="1475" w:type="dxa"/>
            <w:vAlign w:val="center"/>
          </w:tcPr>
          <w:p w14:paraId="34347544" w14:textId="77777777" w:rsidR="00CB08EC" w:rsidRDefault="00CB08EC" w:rsidP="00262CA4">
            <w:pPr>
              <w:jc w:val="right"/>
              <w:rPr>
                <w:sz w:val="21"/>
                <w:szCs w:val="21"/>
              </w:rPr>
            </w:pPr>
            <w:r>
              <w:rPr>
                <w:sz w:val="21"/>
                <w:szCs w:val="21"/>
              </w:rPr>
              <w:t>22.5</w:t>
            </w:r>
          </w:p>
        </w:tc>
        <w:tc>
          <w:tcPr>
            <w:tcW w:w="1496" w:type="dxa"/>
            <w:vAlign w:val="center"/>
          </w:tcPr>
          <w:p w14:paraId="5B837403" w14:textId="77777777" w:rsidR="00CB08EC" w:rsidRDefault="00CB08EC" w:rsidP="00262CA4">
            <w:pPr>
              <w:jc w:val="right"/>
              <w:rPr>
                <w:sz w:val="21"/>
                <w:szCs w:val="21"/>
              </w:rPr>
            </w:pPr>
            <w:r>
              <w:rPr>
                <w:sz w:val="21"/>
                <w:szCs w:val="21"/>
              </w:rPr>
              <w:t>19.91</w:t>
            </w:r>
          </w:p>
        </w:tc>
      </w:tr>
      <w:tr w:rsidR="00CB08EC" w:rsidRPr="00E021CD" w14:paraId="06AA2812" w14:textId="77777777" w:rsidTr="00262CA4">
        <w:trPr>
          <w:jc w:val="center"/>
        </w:trPr>
        <w:tc>
          <w:tcPr>
            <w:tcW w:w="1214" w:type="dxa"/>
            <w:vAlign w:val="center"/>
          </w:tcPr>
          <w:p w14:paraId="5F79DA57" w14:textId="77777777" w:rsidR="00CB08EC" w:rsidRPr="00F96EC1" w:rsidRDefault="00CB08EC" w:rsidP="00262CA4">
            <w:pPr>
              <w:jc w:val="right"/>
              <w:rPr>
                <w:rFonts w:ascii="宋体" w:hAnsi="宋体" w:cs="宋体"/>
                <w:sz w:val="21"/>
                <w:szCs w:val="21"/>
              </w:rPr>
            </w:pPr>
            <w:r w:rsidRPr="00F96EC1">
              <w:rPr>
                <w:rFonts w:hint="eastAsia"/>
                <w:sz w:val="21"/>
                <w:szCs w:val="21"/>
              </w:rPr>
              <w:t>0.15</w:t>
            </w:r>
          </w:p>
        </w:tc>
        <w:tc>
          <w:tcPr>
            <w:tcW w:w="1475" w:type="dxa"/>
            <w:vAlign w:val="center"/>
          </w:tcPr>
          <w:p w14:paraId="60BA2DA5" w14:textId="77777777" w:rsidR="00CB08EC" w:rsidRDefault="00CB08EC" w:rsidP="00262CA4">
            <w:pPr>
              <w:jc w:val="right"/>
              <w:rPr>
                <w:sz w:val="21"/>
                <w:szCs w:val="21"/>
              </w:rPr>
            </w:pPr>
            <w:r>
              <w:rPr>
                <w:sz w:val="21"/>
                <w:szCs w:val="21"/>
              </w:rPr>
              <w:t>21.24</w:t>
            </w:r>
          </w:p>
        </w:tc>
        <w:tc>
          <w:tcPr>
            <w:tcW w:w="1496" w:type="dxa"/>
            <w:vAlign w:val="center"/>
          </w:tcPr>
          <w:p w14:paraId="6175FE50" w14:textId="77777777" w:rsidR="00CB08EC" w:rsidRDefault="00CB08EC" w:rsidP="00262CA4">
            <w:pPr>
              <w:jc w:val="right"/>
              <w:rPr>
                <w:sz w:val="21"/>
                <w:szCs w:val="21"/>
              </w:rPr>
            </w:pPr>
            <w:r>
              <w:rPr>
                <w:sz w:val="21"/>
                <w:szCs w:val="21"/>
              </w:rPr>
              <w:t>18.94</w:t>
            </w:r>
          </w:p>
        </w:tc>
      </w:tr>
      <w:tr w:rsidR="00CB08EC" w:rsidRPr="00E021CD" w14:paraId="16D43259" w14:textId="77777777" w:rsidTr="00262CA4">
        <w:trPr>
          <w:jc w:val="center"/>
        </w:trPr>
        <w:tc>
          <w:tcPr>
            <w:tcW w:w="1214" w:type="dxa"/>
            <w:vAlign w:val="center"/>
          </w:tcPr>
          <w:p w14:paraId="48CFE852" w14:textId="77777777" w:rsidR="00CB08EC" w:rsidRPr="00F96EC1" w:rsidRDefault="00CB08EC" w:rsidP="00262CA4">
            <w:pPr>
              <w:jc w:val="right"/>
              <w:rPr>
                <w:rFonts w:ascii="宋体" w:hAnsi="宋体" w:cs="宋体"/>
                <w:sz w:val="21"/>
                <w:szCs w:val="21"/>
              </w:rPr>
            </w:pPr>
            <w:r w:rsidRPr="00F96EC1">
              <w:rPr>
                <w:rFonts w:hint="eastAsia"/>
                <w:sz w:val="21"/>
                <w:szCs w:val="21"/>
              </w:rPr>
              <w:t>0.2</w:t>
            </w:r>
          </w:p>
        </w:tc>
        <w:tc>
          <w:tcPr>
            <w:tcW w:w="1475" w:type="dxa"/>
            <w:vAlign w:val="center"/>
          </w:tcPr>
          <w:p w14:paraId="6B106AF4" w14:textId="77777777" w:rsidR="00CB08EC" w:rsidRDefault="00CB08EC" w:rsidP="00262CA4">
            <w:pPr>
              <w:jc w:val="right"/>
              <w:rPr>
                <w:sz w:val="21"/>
                <w:szCs w:val="21"/>
              </w:rPr>
            </w:pPr>
            <w:r>
              <w:rPr>
                <w:sz w:val="21"/>
                <w:szCs w:val="21"/>
              </w:rPr>
              <w:t>19.71</w:t>
            </w:r>
          </w:p>
        </w:tc>
        <w:tc>
          <w:tcPr>
            <w:tcW w:w="1496" w:type="dxa"/>
            <w:vAlign w:val="center"/>
          </w:tcPr>
          <w:p w14:paraId="6FE3F252" w14:textId="77777777" w:rsidR="00CB08EC" w:rsidRDefault="00CB08EC" w:rsidP="00262CA4">
            <w:pPr>
              <w:jc w:val="right"/>
              <w:rPr>
                <w:sz w:val="21"/>
                <w:szCs w:val="21"/>
              </w:rPr>
            </w:pPr>
            <w:r>
              <w:rPr>
                <w:sz w:val="21"/>
                <w:szCs w:val="21"/>
              </w:rPr>
              <w:t>16.97</w:t>
            </w:r>
          </w:p>
        </w:tc>
      </w:tr>
      <w:tr w:rsidR="00CB08EC" w:rsidRPr="00E021CD" w14:paraId="64B7C126" w14:textId="77777777" w:rsidTr="00262CA4">
        <w:trPr>
          <w:jc w:val="center"/>
        </w:trPr>
        <w:tc>
          <w:tcPr>
            <w:tcW w:w="1214" w:type="dxa"/>
            <w:vAlign w:val="center"/>
          </w:tcPr>
          <w:p w14:paraId="659C2BDD" w14:textId="77777777" w:rsidR="00CB08EC" w:rsidRPr="00F96EC1" w:rsidRDefault="00CB08EC" w:rsidP="00262CA4">
            <w:pPr>
              <w:jc w:val="right"/>
              <w:rPr>
                <w:rFonts w:ascii="宋体" w:hAnsi="宋体" w:cs="宋体"/>
                <w:sz w:val="21"/>
                <w:szCs w:val="21"/>
              </w:rPr>
            </w:pPr>
            <w:r w:rsidRPr="00F96EC1">
              <w:rPr>
                <w:rFonts w:hint="eastAsia"/>
                <w:sz w:val="21"/>
                <w:szCs w:val="21"/>
              </w:rPr>
              <w:t>0.25</w:t>
            </w:r>
          </w:p>
        </w:tc>
        <w:tc>
          <w:tcPr>
            <w:tcW w:w="1475" w:type="dxa"/>
            <w:vAlign w:val="center"/>
          </w:tcPr>
          <w:p w14:paraId="334BAB95" w14:textId="77777777" w:rsidR="00CB08EC" w:rsidRDefault="00CB08EC" w:rsidP="00262CA4">
            <w:pPr>
              <w:jc w:val="right"/>
              <w:rPr>
                <w:sz w:val="21"/>
                <w:szCs w:val="21"/>
              </w:rPr>
            </w:pPr>
            <w:r>
              <w:rPr>
                <w:sz w:val="21"/>
                <w:szCs w:val="21"/>
              </w:rPr>
              <w:t>20.76</w:t>
            </w:r>
          </w:p>
        </w:tc>
        <w:tc>
          <w:tcPr>
            <w:tcW w:w="1496" w:type="dxa"/>
            <w:vAlign w:val="center"/>
          </w:tcPr>
          <w:p w14:paraId="790234FD" w14:textId="77777777" w:rsidR="00CB08EC" w:rsidRDefault="00CB08EC" w:rsidP="00262CA4">
            <w:pPr>
              <w:jc w:val="right"/>
              <w:rPr>
                <w:sz w:val="21"/>
                <w:szCs w:val="21"/>
              </w:rPr>
            </w:pPr>
            <w:r>
              <w:rPr>
                <w:sz w:val="21"/>
                <w:szCs w:val="21"/>
              </w:rPr>
              <w:t>16.05</w:t>
            </w:r>
          </w:p>
        </w:tc>
      </w:tr>
      <w:tr w:rsidR="00CB08EC" w:rsidRPr="00E021CD" w14:paraId="645E14C2" w14:textId="77777777" w:rsidTr="00262CA4">
        <w:trPr>
          <w:jc w:val="center"/>
        </w:trPr>
        <w:tc>
          <w:tcPr>
            <w:tcW w:w="1214" w:type="dxa"/>
            <w:vAlign w:val="center"/>
          </w:tcPr>
          <w:p w14:paraId="7879B6BA" w14:textId="77777777" w:rsidR="00CB08EC" w:rsidRPr="00F96EC1" w:rsidRDefault="00CB08EC" w:rsidP="00262CA4">
            <w:pPr>
              <w:jc w:val="right"/>
              <w:rPr>
                <w:rFonts w:ascii="宋体" w:hAnsi="宋体" w:cs="宋体"/>
                <w:sz w:val="21"/>
                <w:szCs w:val="21"/>
              </w:rPr>
            </w:pPr>
            <w:r w:rsidRPr="00F96EC1">
              <w:rPr>
                <w:rFonts w:hint="eastAsia"/>
                <w:sz w:val="21"/>
                <w:szCs w:val="21"/>
              </w:rPr>
              <w:t>0.3</w:t>
            </w:r>
          </w:p>
        </w:tc>
        <w:tc>
          <w:tcPr>
            <w:tcW w:w="1475" w:type="dxa"/>
            <w:vAlign w:val="center"/>
          </w:tcPr>
          <w:p w14:paraId="7063FB4C" w14:textId="77777777" w:rsidR="00CB08EC" w:rsidRDefault="00CB08EC" w:rsidP="00262CA4">
            <w:pPr>
              <w:jc w:val="right"/>
              <w:rPr>
                <w:sz w:val="21"/>
                <w:szCs w:val="21"/>
              </w:rPr>
            </w:pPr>
            <w:r>
              <w:rPr>
                <w:sz w:val="21"/>
                <w:szCs w:val="21"/>
              </w:rPr>
              <w:t>18.3</w:t>
            </w:r>
          </w:p>
        </w:tc>
        <w:tc>
          <w:tcPr>
            <w:tcW w:w="1496" w:type="dxa"/>
            <w:vAlign w:val="center"/>
          </w:tcPr>
          <w:p w14:paraId="46AC8B05" w14:textId="77777777" w:rsidR="00CB08EC" w:rsidRDefault="00CB08EC" w:rsidP="00262CA4">
            <w:pPr>
              <w:jc w:val="right"/>
              <w:rPr>
                <w:sz w:val="21"/>
                <w:szCs w:val="21"/>
              </w:rPr>
            </w:pPr>
            <w:r>
              <w:rPr>
                <w:sz w:val="21"/>
                <w:szCs w:val="21"/>
              </w:rPr>
              <w:t>15.92</w:t>
            </w:r>
          </w:p>
        </w:tc>
      </w:tr>
      <w:tr w:rsidR="00CB08EC" w:rsidRPr="00E021CD" w14:paraId="3D6648AB" w14:textId="77777777" w:rsidTr="00262CA4">
        <w:trPr>
          <w:jc w:val="center"/>
        </w:trPr>
        <w:tc>
          <w:tcPr>
            <w:tcW w:w="1214" w:type="dxa"/>
            <w:vAlign w:val="center"/>
          </w:tcPr>
          <w:p w14:paraId="084F3D6F" w14:textId="77777777" w:rsidR="00CB08EC" w:rsidRPr="00F96EC1" w:rsidRDefault="00CB08EC" w:rsidP="00262CA4">
            <w:pPr>
              <w:jc w:val="right"/>
              <w:rPr>
                <w:rFonts w:ascii="宋体" w:hAnsi="宋体" w:cs="宋体"/>
                <w:sz w:val="21"/>
                <w:szCs w:val="21"/>
              </w:rPr>
            </w:pPr>
            <w:r w:rsidRPr="00F96EC1">
              <w:rPr>
                <w:rFonts w:hint="eastAsia"/>
                <w:sz w:val="21"/>
                <w:szCs w:val="21"/>
              </w:rPr>
              <w:t>0.4</w:t>
            </w:r>
          </w:p>
        </w:tc>
        <w:tc>
          <w:tcPr>
            <w:tcW w:w="1475" w:type="dxa"/>
            <w:vAlign w:val="center"/>
          </w:tcPr>
          <w:p w14:paraId="62F46E77" w14:textId="77777777" w:rsidR="00CB08EC" w:rsidRDefault="00CB08EC" w:rsidP="00262CA4">
            <w:pPr>
              <w:jc w:val="right"/>
              <w:rPr>
                <w:sz w:val="21"/>
                <w:szCs w:val="21"/>
              </w:rPr>
            </w:pPr>
            <w:r>
              <w:rPr>
                <w:sz w:val="21"/>
                <w:szCs w:val="21"/>
              </w:rPr>
              <w:t>17.25</w:t>
            </w:r>
          </w:p>
        </w:tc>
        <w:tc>
          <w:tcPr>
            <w:tcW w:w="1496" w:type="dxa"/>
            <w:vAlign w:val="center"/>
          </w:tcPr>
          <w:p w14:paraId="563EAC56" w14:textId="77777777" w:rsidR="00CB08EC" w:rsidRDefault="00CB08EC" w:rsidP="00262CA4">
            <w:pPr>
              <w:jc w:val="right"/>
              <w:rPr>
                <w:sz w:val="21"/>
                <w:szCs w:val="21"/>
              </w:rPr>
            </w:pPr>
            <w:r>
              <w:rPr>
                <w:sz w:val="21"/>
                <w:szCs w:val="21"/>
              </w:rPr>
              <w:t>15.69</w:t>
            </w:r>
          </w:p>
        </w:tc>
      </w:tr>
      <w:tr w:rsidR="00CB08EC" w:rsidRPr="00E021CD" w14:paraId="698F5897" w14:textId="77777777" w:rsidTr="00262CA4">
        <w:trPr>
          <w:jc w:val="center"/>
        </w:trPr>
        <w:tc>
          <w:tcPr>
            <w:tcW w:w="1214" w:type="dxa"/>
            <w:vAlign w:val="center"/>
          </w:tcPr>
          <w:p w14:paraId="17FE9167" w14:textId="77777777" w:rsidR="00CB08EC" w:rsidRPr="00F96EC1" w:rsidRDefault="00CB08EC" w:rsidP="00262CA4">
            <w:pPr>
              <w:jc w:val="right"/>
              <w:rPr>
                <w:rFonts w:ascii="宋体" w:hAnsi="宋体" w:cs="宋体"/>
                <w:sz w:val="21"/>
                <w:szCs w:val="21"/>
              </w:rPr>
            </w:pPr>
            <w:r w:rsidRPr="00F96EC1">
              <w:rPr>
                <w:rFonts w:hint="eastAsia"/>
                <w:sz w:val="21"/>
                <w:szCs w:val="21"/>
              </w:rPr>
              <w:t>0.5</w:t>
            </w:r>
          </w:p>
        </w:tc>
        <w:tc>
          <w:tcPr>
            <w:tcW w:w="1475" w:type="dxa"/>
            <w:vAlign w:val="center"/>
          </w:tcPr>
          <w:p w14:paraId="1C1CE89F" w14:textId="77777777" w:rsidR="00CB08EC" w:rsidRDefault="00CB08EC" w:rsidP="00262CA4">
            <w:pPr>
              <w:jc w:val="right"/>
              <w:rPr>
                <w:sz w:val="21"/>
                <w:szCs w:val="21"/>
              </w:rPr>
            </w:pPr>
            <w:r>
              <w:rPr>
                <w:sz w:val="21"/>
                <w:szCs w:val="21"/>
              </w:rPr>
              <w:t>16.38</w:t>
            </w:r>
          </w:p>
        </w:tc>
        <w:tc>
          <w:tcPr>
            <w:tcW w:w="1496" w:type="dxa"/>
            <w:vAlign w:val="center"/>
          </w:tcPr>
          <w:p w14:paraId="1C14EB30" w14:textId="77777777" w:rsidR="00CB08EC" w:rsidRDefault="00CB08EC" w:rsidP="00262CA4">
            <w:pPr>
              <w:jc w:val="right"/>
              <w:rPr>
                <w:sz w:val="21"/>
                <w:szCs w:val="21"/>
              </w:rPr>
            </w:pPr>
            <w:r>
              <w:rPr>
                <w:sz w:val="21"/>
                <w:szCs w:val="21"/>
              </w:rPr>
              <w:t>16.35</w:t>
            </w:r>
          </w:p>
        </w:tc>
      </w:tr>
      <w:tr w:rsidR="00CB08EC" w:rsidRPr="00E021CD" w14:paraId="7A461894" w14:textId="77777777" w:rsidTr="00262CA4">
        <w:trPr>
          <w:jc w:val="center"/>
        </w:trPr>
        <w:tc>
          <w:tcPr>
            <w:tcW w:w="1214" w:type="dxa"/>
            <w:vAlign w:val="center"/>
          </w:tcPr>
          <w:p w14:paraId="3B4695FC" w14:textId="77777777" w:rsidR="00CB08EC" w:rsidRPr="00F96EC1" w:rsidRDefault="00CB08EC" w:rsidP="00262CA4">
            <w:pPr>
              <w:jc w:val="right"/>
              <w:rPr>
                <w:rFonts w:ascii="宋体" w:hAnsi="宋体" w:cs="宋体"/>
                <w:sz w:val="21"/>
                <w:szCs w:val="21"/>
              </w:rPr>
            </w:pPr>
            <w:r w:rsidRPr="00F96EC1">
              <w:rPr>
                <w:rFonts w:hint="eastAsia"/>
                <w:sz w:val="21"/>
                <w:szCs w:val="21"/>
              </w:rPr>
              <w:t>0.6</w:t>
            </w:r>
          </w:p>
        </w:tc>
        <w:tc>
          <w:tcPr>
            <w:tcW w:w="1475" w:type="dxa"/>
            <w:vAlign w:val="center"/>
          </w:tcPr>
          <w:p w14:paraId="1DF4CB6D" w14:textId="77777777" w:rsidR="00CB08EC" w:rsidRDefault="00CB08EC" w:rsidP="00262CA4">
            <w:pPr>
              <w:jc w:val="right"/>
              <w:rPr>
                <w:sz w:val="21"/>
                <w:szCs w:val="21"/>
              </w:rPr>
            </w:pPr>
            <w:r>
              <w:rPr>
                <w:sz w:val="21"/>
                <w:szCs w:val="21"/>
              </w:rPr>
              <w:t>15.78</w:t>
            </w:r>
          </w:p>
        </w:tc>
        <w:tc>
          <w:tcPr>
            <w:tcW w:w="1496" w:type="dxa"/>
            <w:vAlign w:val="center"/>
          </w:tcPr>
          <w:p w14:paraId="532CD722" w14:textId="77777777" w:rsidR="00CB08EC" w:rsidRDefault="00CB08EC" w:rsidP="00262CA4">
            <w:pPr>
              <w:jc w:val="right"/>
              <w:rPr>
                <w:sz w:val="21"/>
                <w:szCs w:val="21"/>
              </w:rPr>
            </w:pPr>
            <w:r>
              <w:rPr>
                <w:sz w:val="21"/>
                <w:szCs w:val="21"/>
              </w:rPr>
              <w:t>15.79</w:t>
            </w:r>
          </w:p>
        </w:tc>
      </w:tr>
      <w:tr w:rsidR="00CB08EC" w:rsidRPr="00E021CD" w14:paraId="45835E71" w14:textId="77777777" w:rsidTr="00262CA4">
        <w:trPr>
          <w:jc w:val="center"/>
        </w:trPr>
        <w:tc>
          <w:tcPr>
            <w:tcW w:w="1214" w:type="dxa"/>
            <w:vAlign w:val="center"/>
          </w:tcPr>
          <w:p w14:paraId="6E29CED0" w14:textId="77777777" w:rsidR="00CB08EC" w:rsidRPr="00F96EC1" w:rsidRDefault="00CB08EC" w:rsidP="00262CA4">
            <w:pPr>
              <w:jc w:val="right"/>
              <w:rPr>
                <w:rFonts w:ascii="宋体" w:hAnsi="宋体" w:cs="宋体"/>
                <w:sz w:val="21"/>
                <w:szCs w:val="21"/>
              </w:rPr>
            </w:pPr>
            <w:r w:rsidRPr="00F96EC1">
              <w:rPr>
                <w:rFonts w:hint="eastAsia"/>
                <w:sz w:val="21"/>
                <w:szCs w:val="21"/>
              </w:rPr>
              <w:t>0.7</w:t>
            </w:r>
          </w:p>
        </w:tc>
        <w:tc>
          <w:tcPr>
            <w:tcW w:w="1475" w:type="dxa"/>
            <w:vAlign w:val="center"/>
          </w:tcPr>
          <w:p w14:paraId="54EFF4E0" w14:textId="77777777" w:rsidR="00CB08EC" w:rsidRDefault="00CB08EC" w:rsidP="00262CA4">
            <w:pPr>
              <w:jc w:val="right"/>
              <w:rPr>
                <w:sz w:val="21"/>
                <w:szCs w:val="21"/>
              </w:rPr>
            </w:pPr>
            <w:r>
              <w:rPr>
                <w:sz w:val="21"/>
                <w:szCs w:val="21"/>
              </w:rPr>
              <w:t>15.24</w:t>
            </w:r>
          </w:p>
        </w:tc>
        <w:tc>
          <w:tcPr>
            <w:tcW w:w="1496" w:type="dxa"/>
            <w:vAlign w:val="center"/>
          </w:tcPr>
          <w:p w14:paraId="14922432" w14:textId="77777777" w:rsidR="00CB08EC" w:rsidRDefault="00CB08EC" w:rsidP="00262CA4">
            <w:pPr>
              <w:jc w:val="right"/>
              <w:rPr>
                <w:sz w:val="21"/>
                <w:szCs w:val="21"/>
              </w:rPr>
            </w:pPr>
            <w:r>
              <w:rPr>
                <w:sz w:val="21"/>
                <w:szCs w:val="21"/>
              </w:rPr>
              <w:t>15.24</w:t>
            </w:r>
          </w:p>
        </w:tc>
      </w:tr>
      <w:tr w:rsidR="00CB08EC" w:rsidRPr="00E021CD" w14:paraId="29FB9CBA" w14:textId="77777777" w:rsidTr="00262CA4">
        <w:trPr>
          <w:jc w:val="center"/>
        </w:trPr>
        <w:tc>
          <w:tcPr>
            <w:tcW w:w="1214" w:type="dxa"/>
            <w:vAlign w:val="center"/>
          </w:tcPr>
          <w:p w14:paraId="5BCAEB71" w14:textId="77777777" w:rsidR="00CB08EC" w:rsidRPr="00F96EC1" w:rsidRDefault="00CB08EC" w:rsidP="00262CA4">
            <w:pPr>
              <w:jc w:val="right"/>
              <w:rPr>
                <w:rFonts w:ascii="宋体" w:hAnsi="宋体" w:cs="宋体"/>
                <w:sz w:val="21"/>
                <w:szCs w:val="21"/>
              </w:rPr>
            </w:pPr>
            <w:r w:rsidRPr="00F96EC1">
              <w:rPr>
                <w:rFonts w:hint="eastAsia"/>
                <w:sz w:val="21"/>
                <w:szCs w:val="21"/>
              </w:rPr>
              <w:t>0.8</w:t>
            </w:r>
          </w:p>
        </w:tc>
        <w:tc>
          <w:tcPr>
            <w:tcW w:w="1475" w:type="dxa"/>
            <w:vAlign w:val="center"/>
          </w:tcPr>
          <w:p w14:paraId="12B73874" w14:textId="77777777" w:rsidR="00CB08EC" w:rsidRDefault="00CB08EC" w:rsidP="00262CA4">
            <w:pPr>
              <w:jc w:val="right"/>
              <w:rPr>
                <w:sz w:val="21"/>
                <w:szCs w:val="21"/>
              </w:rPr>
            </w:pPr>
            <w:r>
              <w:rPr>
                <w:sz w:val="21"/>
                <w:szCs w:val="21"/>
              </w:rPr>
              <w:t>15.03</w:t>
            </w:r>
          </w:p>
        </w:tc>
        <w:tc>
          <w:tcPr>
            <w:tcW w:w="1496" w:type="dxa"/>
            <w:vAlign w:val="center"/>
          </w:tcPr>
          <w:p w14:paraId="19FD6AEC" w14:textId="77777777" w:rsidR="00CB08EC" w:rsidRDefault="00CB08EC" w:rsidP="00262CA4">
            <w:pPr>
              <w:jc w:val="right"/>
              <w:rPr>
                <w:sz w:val="21"/>
                <w:szCs w:val="21"/>
              </w:rPr>
            </w:pPr>
            <w:r>
              <w:rPr>
                <w:sz w:val="21"/>
                <w:szCs w:val="21"/>
              </w:rPr>
              <w:t>15.15</w:t>
            </w:r>
          </w:p>
        </w:tc>
      </w:tr>
      <w:tr w:rsidR="00CB08EC" w:rsidRPr="00E021CD" w14:paraId="7A7D0FA5" w14:textId="77777777" w:rsidTr="00262CA4">
        <w:trPr>
          <w:jc w:val="center"/>
        </w:trPr>
        <w:tc>
          <w:tcPr>
            <w:tcW w:w="1214" w:type="dxa"/>
            <w:vAlign w:val="center"/>
          </w:tcPr>
          <w:p w14:paraId="34B85FDE" w14:textId="77777777" w:rsidR="00CB08EC" w:rsidRPr="00F96EC1" w:rsidRDefault="00CB08EC" w:rsidP="00262CA4">
            <w:pPr>
              <w:jc w:val="right"/>
              <w:rPr>
                <w:rFonts w:ascii="宋体" w:hAnsi="宋体" w:cs="宋体"/>
                <w:sz w:val="21"/>
                <w:szCs w:val="21"/>
              </w:rPr>
            </w:pPr>
            <w:r w:rsidRPr="00F96EC1">
              <w:rPr>
                <w:rFonts w:hint="eastAsia"/>
                <w:sz w:val="21"/>
                <w:szCs w:val="21"/>
              </w:rPr>
              <w:t>0.9</w:t>
            </w:r>
          </w:p>
        </w:tc>
        <w:tc>
          <w:tcPr>
            <w:tcW w:w="1475" w:type="dxa"/>
            <w:vAlign w:val="center"/>
          </w:tcPr>
          <w:p w14:paraId="20428864" w14:textId="77777777" w:rsidR="00CB08EC" w:rsidRDefault="00CB08EC" w:rsidP="00262CA4">
            <w:pPr>
              <w:jc w:val="right"/>
              <w:rPr>
                <w:sz w:val="21"/>
                <w:szCs w:val="21"/>
              </w:rPr>
            </w:pPr>
            <w:r>
              <w:rPr>
                <w:sz w:val="21"/>
                <w:szCs w:val="21"/>
              </w:rPr>
              <w:t>15</w:t>
            </w:r>
          </w:p>
        </w:tc>
        <w:tc>
          <w:tcPr>
            <w:tcW w:w="1496" w:type="dxa"/>
            <w:vAlign w:val="center"/>
          </w:tcPr>
          <w:p w14:paraId="33771568" w14:textId="77777777" w:rsidR="00CB08EC" w:rsidRDefault="00CB08EC" w:rsidP="00262CA4">
            <w:pPr>
              <w:jc w:val="right"/>
              <w:rPr>
                <w:sz w:val="21"/>
                <w:szCs w:val="21"/>
              </w:rPr>
            </w:pPr>
            <w:r>
              <w:rPr>
                <w:sz w:val="21"/>
                <w:szCs w:val="21"/>
              </w:rPr>
              <w:t>15</w:t>
            </w:r>
          </w:p>
        </w:tc>
      </w:tr>
      <w:tr w:rsidR="00CB08EC" w:rsidRPr="00E021CD" w14:paraId="559A5399" w14:textId="77777777" w:rsidTr="00262CA4">
        <w:trPr>
          <w:jc w:val="center"/>
        </w:trPr>
        <w:tc>
          <w:tcPr>
            <w:tcW w:w="1214" w:type="dxa"/>
            <w:vAlign w:val="center"/>
          </w:tcPr>
          <w:p w14:paraId="2ACE171E" w14:textId="77777777" w:rsidR="00CB08EC" w:rsidRPr="00F96EC1" w:rsidRDefault="00CB08EC" w:rsidP="00262CA4">
            <w:pPr>
              <w:jc w:val="right"/>
              <w:rPr>
                <w:rFonts w:ascii="宋体" w:hAnsi="宋体" w:cs="宋体"/>
                <w:sz w:val="21"/>
                <w:szCs w:val="21"/>
              </w:rPr>
            </w:pPr>
            <w:r w:rsidRPr="00F96EC1">
              <w:rPr>
                <w:rFonts w:hint="eastAsia"/>
                <w:sz w:val="21"/>
                <w:szCs w:val="21"/>
              </w:rPr>
              <w:t>1</w:t>
            </w:r>
          </w:p>
        </w:tc>
        <w:tc>
          <w:tcPr>
            <w:tcW w:w="1475" w:type="dxa"/>
            <w:vAlign w:val="center"/>
          </w:tcPr>
          <w:p w14:paraId="3F599C36" w14:textId="77777777" w:rsidR="00CB08EC" w:rsidRDefault="00CB08EC" w:rsidP="00262CA4">
            <w:pPr>
              <w:jc w:val="right"/>
              <w:rPr>
                <w:sz w:val="21"/>
                <w:szCs w:val="21"/>
              </w:rPr>
            </w:pPr>
            <w:r>
              <w:rPr>
                <w:sz w:val="21"/>
                <w:szCs w:val="21"/>
              </w:rPr>
              <w:t>15</w:t>
            </w:r>
          </w:p>
        </w:tc>
        <w:tc>
          <w:tcPr>
            <w:tcW w:w="1496" w:type="dxa"/>
            <w:vAlign w:val="center"/>
          </w:tcPr>
          <w:p w14:paraId="6BCA93F0" w14:textId="77777777" w:rsidR="00CB08EC" w:rsidRDefault="00CB08EC" w:rsidP="00262CA4">
            <w:pPr>
              <w:jc w:val="right"/>
              <w:rPr>
                <w:sz w:val="21"/>
                <w:szCs w:val="21"/>
              </w:rPr>
            </w:pPr>
            <w:r>
              <w:rPr>
                <w:sz w:val="21"/>
                <w:szCs w:val="21"/>
              </w:rPr>
              <w:t>15</w:t>
            </w:r>
          </w:p>
        </w:tc>
      </w:tr>
    </w:tbl>
    <w:p w14:paraId="1C8606B3" w14:textId="5A7A2359" w:rsidR="00CB08EC" w:rsidRPr="000526DA" w:rsidRDefault="00CB08EC" w:rsidP="00CB08EC">
      <w:pPr>
        <w:spacing w:line="360" w:lineRule="auto"/>
        <w:ind w:firstLine="420"/>
        <w:rPr>
          <w:rFonts w:hint="eastAsia"/>
        </w:rPr>
      </w:pPr>
      <w:r>
        <w:rPr>
          <w:rFonts w:hint="eastAsia"/>
        </w:rPr>
        <w:t>在本试验中，本文选择由</w:t>
      </w:r>
      <w:r w:rsidRPr="000526DA">
        <w:rPr>
          <w:rFonts w:hint="eastAsia"/>
        </w:rPr>
        <w:t>M.J.HARROLD</w:t>
      </w:r>
      <w:r>
        <w:rPr>
          <w:rFonts w:hint="eastAsia"/>
        </w:rPr>
        <w:t>提出的成熟测试集约减算法</w:t>
      </w:r>
      <w:r>
        <w:rPr>
          <w:rFonts w:hint="eastAsia"/>
        </w:rPr>
        <w:t>HGS</w:t>
      </w:r>
      <w:r>
        <w:rPr>
          <w:rFonts w:hint="eastAsia"/>
        </w:rPr>
        <w:t>进行对比。</w:t>
      </w:r>
      <w:r w:rsidRPr="000526DA">
        <w:rPr>
          <w:rFonts w:hint="eastAsia"/>
        </w:rPr>
        <w:t>通过表</w:t>
      </w:r>
      <w:r>
        <w:t>1</w:t>
      </w:r>
      <w:r w:rsidRPr="000526DA">
        <w:rPr>
          <w:rFonts w:hint="eastAsia"/>
        </w:rPr>
        <w:t>可知：</w:t>
      </w:r>
      <w:r w:rsidRPr="000526DA">
        <w:rPr>
          <w:rFonts w:hint="eastAsia"/>
        </w:rPr>
        <w:t>1</w:t>
      </w:r>
      <w:r w:rsidRPr="000526DA">
        <w:rPr>
          <w:rFonts w:hint="eastAsia"/>
        </w:rPr>
        <w:t>）当</w:t>
      </w:r>
      <w:proofErr w:type="spellStart"/>
      <w:r w:rsidRPr="000526DA">
        <w:rPr>
          <w:rFonts w:hint="eastAsia"/>
          <w:i/>
        </w:rPr>
        <w:t>InerSetPer</w:t>
      </w:r>
      <w:proofErr w:type="spellEnd"/>
      <w:r w:rsidRPr="000526DA">
        <w:rPr>
          <w:rFonts w:hint="eastAsia"/>
        </w:rPr>
        <w:t>的取值范围在</w:t>
      </w:r>
      <w:r w:rsidRPr="000526DA">
        <w:rPr>
          <w:rFonts w:hint="eastAsia"/>
        </w:rPr>
        <w:t>[0.0</w:t>
      </w:r>
      <w:r>
        <w:rPr>
          <w:rFonts w:hint="eastAsia"/>
        </w:rPr>
        <w:t>01</w:t>
      </w:r>
      <w:r w:rsidRPr="000526DA">
        <w:rPr>
          <w:rFonts w:hint="eastAsia"/>
        </w:rPr>
        <w:t>, 0.</w:t>
      </w:r>
      <w:r>
        <w:rPr>
          <w:rFonts w:hint="eastAsia"/>
        </w:rPr>
        <w:t>6]</w:t>
      </w:r>
      <w:r w:rsidRPr="000526DA">
        <w:rPr>
          <w:rFonts w:hint="eastAsia"/>
        </w:rPr>
        <w:t>时，本方法始终优于</w:t>
      </w:r>
      <w:r w:rsidRPr="000526DA">
        <w:rPr>
          <w:rFonts w:hint="eastAsia"/>
        </w:rPr>
        <w:t>HGS</w:t>
      </w:r>
      <w:r w:rsidRPr="000526DA">
        <w:rPr>
          <w:rFonts w:hint="eastAsia"/>
        </w:rPr>
        <w:t>算法，图</w:t>
      </w:r>
      <w:r>
        <w:t>1</w:t>
      </w:r>
      <w:r w:rsidRPr="000526DA">
        <w:rPr>
          <w:rFonts w:hint="eastAsia"/>
        </w:rPr>
        <w:t>给出了在这段区间范围内的结果的变化趋势，随着</w:t>
      </w:r>
      <w:proofErr w:type="spellStart"/>
      <w:r w:rsidRPr="000526DA">
        <w:rPr>
          <w:rFonts w:hint="eastAsia"/>
          <w:i/>
        </w:rPr>
        <w:t>InerSetPer</w:t>
      </w:r>
      <w:proofErr w:type="spellEnd"/>
      <w:r w:rsidRPr="000526DA">
        <w:rPr>
          <w:rFonts w:hint="eastAsia"/>
        </w:rPr>
        <w:t>取值的不断变大，两种算法之间的差距将缩小。</w:t>
      </w:r>
      <w:r w:rsidRPr="000526DA">
        <w:rPr>
          <w:rFonts w:hint="eastAsia"/>
        </w:rPr>
        <w:t>2</w:t>
      </w:r>
      <w:r w:rsidRPr="000526DA">
        <w:rPr>
          <w:rFonts w:hint="eastAsia"/>
        </w:rPr>
        <w:t>）</w:t>
      </w:r>
      <w:proofErr w:type="spellStart"/>
      <w:r w:rsidRPr="000526DA">
        <w:rPr>
          <w:rFonts w:hint="eastAsia"/>
          <w:i/>
        </w:rPr>
        <w:t>InerSetPer</w:t>
      </w:r>
      <w:proofErr w:type="spellEnd"/>
      <w:r w:rsidRPr="000526DA">
        <w:rPr>
          <w:rFonts w:hint="eastAsia"/>
        </w:rPr>
        <w:t>取值</w:t>
      </w:r>
      <w:r>
        <w:rPr>
          <w:rFonts w:hint="eastAsia"/>
        </w:rPr>
        <w:t>范围在</w:t>
      </w:r>
      <w:r>
        <w:rPr>
          <w:rFonts w:hint="eastAsia"/>
        </w:rPr>
        <w:t>[</w:t>
      </w:r>
      <w:r w:rsidRPr="000526DA">
        <w:rPr>
          <w:rFonts w:hint="eastAsia"/>
        </w:rPr>
        <w:t>0.</w:t>
      </w:r>
      <w:r>
        <w:rPr>
          <w:rFonts w:hint="eastAsia"/>
        </w:rPr>
        <w:t>25, 1]</w:t>
      </w:r>
      <w:r w:rsidRPr="000526DA">
        <w:rPr>
          <w:rFonts w:hint="eastAsia"/>
        </w:rPr>
        <w:t>，本方法获取的测试用例集合的</w:t>
      </w:r>
      <w:r>
        <w:rPr>
          <w:rFonts w:hint="eastAsia"/>
        </w:rPr>
        <w:t>规模大致</w:t>
      </w:r>
      <w:r w:rsidRPr="000526DA">
        <w:rPr>
          <w:rFonts w:hint="eastAsia"/>
        </w:rPr>
        <w:t>处于比较稳定的状态。</w:t>
      </w:r>
    </w:p>
    <w:p w14:paraId="5CBBCD01" w14:textId="0756EB5B" w:rsidR="00CB08EC" w:rsidRPr="00A558F9" w:rsidRDefault="00CB08EC" w:rsidP="00CB08EC">
      <w:pPr>
        <w:jc w:val="center"/>
        <w:rPr>
          <w:rFonts w:hint="eastAsia"/>
        </w:rPr>
      </w:pPr>
      <w:r w:rsidRPr="00A558F9">
        <w:rPr>
          <w:noProof/>
        </w:rPr>
        <w:lastRenderedPageBreak/>
        <w:drawing>
          <wp:inline distT="0" distB="0" distL="0" distR="0" wp14:anchorId="43C0CD97" wp14:editId="7AFE42D5">
            <wp:extent cx="501015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190750"/>
                    </a:xfrm>
                    <a:prstGeom prst="rect">
                      <a:avLst/>
                    </a:prstGeom>
                    <a:noFill/>
                    <a:ln>
                      <a:noFill/>
                    </a:ln>
                  </pic:spPr>
                </pic:pic>
              </a:graphicData>
            </a:graphic>
          </wp:inline>
        </w:drawing>
      </w:r>
    </w:p>
    <w:p w14:paraId="2BB4803F" w14:textId="717617C0" w:rsidR="00CB08EC" w:rsidRPr="006A0617" w:rsidRDefault="00CB08EC" w:rsidP="00CB08EC">
      <w:pPr>
        <w:pStyle w:val="a7"/>
        <w:jc w:val="center"/>
        <w:rPr>
          <w:rFonts w:ascii="华文楷体" w:eastAsia="华文楷体" w:hAnsi="华文楷体" w:hint="eastAsia"/>
          <w:b/>
          <w:sz w:val="24"/>
          <w:szCs w:val="24"/>
        </w:rPr>
      </w:pPr>
      <w:bookmarkStart w:id="3" w:name="_Toc319658715"/>
      <w:bookmarkStart w:id="4" w:name="_Toc327468775"/>
      <w:r w:rsidRPr="006A0617">
        <w:rPr>
          <w:rFonts w:ascii="华文楷体" w:eastAsia="华文楷体" w:hAnsi="华文楷体" w:hint="eastAsia"/>
          <w:b/>
          <w:sz w:val="24"/>
          <w:szCs w:val="24"/>
        </w:rPr>
        <w:t xml:space="preserve">图 </w:t>
      </w:r>
      <w:r>
        <w:rPr>
          <w:rFonts w:ascii="华文楷体" w:eastAsia="华文楷体" w:hAnsi="华文楷体"/>
          <w:b/>
          <w:sz w:val="24"/>
          <w:szCs w:val="24"/>
        </w:rPr>
        <w:t>1</w:t>
      </w:r>
      <w:r>
        <w:rPr>
          <w:rFonts w:ascii="华文楷体" w:eastAsia="华文楷体" w:hAnsi="华文楷体" w:hint="eastAsia"/>
          <w:b/>
          <w:sz w:val="24"/>
          <w:szCs w:val="24"/>
        </w:rPr>
        <w:t xml:space="preserve">  </w:t>
      </w:r>
      <w:r w:rsidRPr="006A0617">
        <w:rPr>
          <w:rFonts w:ascii="华文楷体" w:eastAsia="华文楷体" w:hAnsi="华文楷体" w:hint="eastAsia"/>
          <w:b/>
          <w:sz w:val="24"/>
          <w:szCs w:val="24"/>
        </w:rPr>
        <w:t>随着</w:t>
      </w:r>
      <w:proofErr w:type="spellStart"/>
      <w:r w:rsidRPr="006A0617">
        <w:rPr>
          <w:rFonts w:ascii="华文楷体" w:eastAsia="华文楷体" w:hAnsi="华文楷体" w:hint="eastAsia"/>
          <w:b/>
          <w:sz w:val="24"/>
          <w:szCs w:val="24"/>
        </w:rPr>
        <w:t>InerSetPer</w:t>
      </w:r>
      <w:proofErr w:type="spellEnd"/>
      <w:r w:rsidRPr="006A0617">
        <w:rPr>
          <w:rFonts w:ascii="华文楷体" w:eastAsia="华文楷体" w:hAnsi="华文楷体" w:hint="eastAsia"/>
          <w:b/>
          <w:sz w:val="24"/>
          <w:szCs w:val="24"/>
        </w:rPr>
        <w:t>变化对测试集约</w:t>
      </w:r>
      <w:proofErr w:type="gramStart"/>
      <w:r w:rsidRPr="006A0617">
        <w:rPr>
          <w:rFonts w:ascii="华文楷体" w:eastAsia="华文楷体" w:hAnsi="华文楷体" w:hint="eastAsia"/>
          <w:b/>
          <w:sz w:val="24"/>
          <w:szCs w:val="24"/>
        </w:rPr>
        <w:t>减效果</w:t>
      </w:r>
      <w:proofErr w:type="gramEnd"/>
      <w:r w:rsidRPr="006A0617">
        <w:rPr>
          <w:rFonts w:ascii="华文楷体" w:eastAsia="华文楷体" w:hAnsi="华文楷体" w:hint="eastAsia"/>
          <w:b/>
          <w:sz w:val="24"/>
          <w:szCs w:val="24"/>
        </w:rPr>
        <w:t>影响</w:t>
      </w:r>
      <w:bookmarkEnd w:id="3"/>
      <w:bookmarkEnd w:id="4"/>
    </w:p>
    <w:p w14:paraId="6B25A0EA" w14:textId="77777777" w:rsidR="00CB08EC" w:rsidRPr="00A24E65" w:rsidRDefault="00CB08EC" w:rsidP="00CB08EC">
      <w:pPr>
        <w:numPr>
          <w:ilvl w:val="0"/>
          <w:numId w:val="1"/>
        </w:numPr>
        <w:spacing w:line="360" w:lineRule="auto"/>
        <w:rPr>
          <w:rFonts w:hint="eastAsia"/>
          <w:lang w:val="it-IT"/>
        </w:rPr>
      </w:pPr>
      <w:r w:rsidRPr="00673EFC">
        <w:t xml:space="preserve">Harrold M J, Gupta R, </w:t>
      </w:r>
      <w:proofErr w:type="spellStart"/>
      <w:r w:rsidRPr="00673EFC">
        <w:t>Soffa</w:t>
      </w:r>
      <w:proofErr w:type="spellEnd"/>
      <w:r w:rsidRPr="00673EFC">
        <w:t xml:space="preserve"> M L. A methodology for</w:t>
      </w:r>
      <w:r w:rsidRPr="00673EFC">
        <w:rPr>
          <w:rFonts w:hint="eastAsia"/>
        </w:rPr>
        <w:t xml:space="preserve"> </w:t>
      </w:r>
      <w:r w:rsidRPr="00673EFC">
        <w:t xml:space="preserve">controlling the size of a test suite[J]. </w:t>
      </w:r>
      <w:r>
        <w:rPr>
          <w:lang w:val="it-IT"/>
        </w:rPr>
        <w:t>ACM Transaction</w:t>
      </w:r>
      <w:r w:rsidRPr="00673EFC">
        <w:rPr>
          <w:lang w:val="it-IT"/>
        </w:rPr>
        <w:t xml:space="preserve"> Software Engineeri</w:t>
      </w:r>
      <w:r>
        <w:rPr>
          <w:lang w:val="it-IT"/>
        </w:rPr>
        <w:t>ng and Methodology, 1993, 2(3)</w:t>
      </w:r>
      <w:r w:rsidRPr="00673EFC">
        <w:rPr>
          <w:lang w:val="it-IT"/>
        </w:rPr>
        <w:t>:270- 285</w:t>
      </w:r>
      <w:r>
        <w:rPr>
          <w:rFonts w:hAnsi="宋体" w:hint="eastAsia"/>
          <w:color w:val="000000"/>
        </w:rPr>
        <w:t>.</w:t>
      </w:r>
    </w:p>
    <w:p w14:paraId="242147B6" w14:textId="77777777" w:rsidR="00265A04" w:rsidRPr="00CB08EC" w:rsidRDefault="00265A04"/>
    <w:sectPr w:rsidR="00265A04" w:rsidRPr="00CB08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A8E0A" w14:textId="77777777" w:rsidR="002708AD" w:rsidRDefault="002708AD" w:rsidP="00CB08EC">
      <w:r>
        <w:separator/>
      </w:r>
    </w:p>
  </w:endnote>
  <w:endnote w:type="continuationSeparator" w:id="0">
    <w:p w14:paraId="355D5BC8" w14:textId="77777777" w:rsidR="002708AD" w:rsidRDefault="002708AD" w:rsidP="00CB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2FD1" w14:textId="77777777" w:rsidR="002708AD" w:rsidRDefault="002708AD" w:rsidP="00CB08EC">
      <w:r>
        <w:separator/>
      </w:r>
    </w:p>
  </w:footnote>
  <w:footnote w:type="continuationSeparator" w:id="0">
    <w:p w14:paraId="209FCE9E" w14:textId="77777777" w:rsidR="002708AD" w:rsidRDefault="002708AD" w:rsidP="00CB0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C5DFD"/>
    <w:multiLevelType w:val="hybridMultilevel"/>
    <w:tmpl w:val="A3DEF782"/>
    <w:lvl w:ilvl="0" w:tplc="EE5E40DA">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32"/>
    <w:rsid w:val="00265A04"/>
    <w:rsid w:val="00265AA2"/>
    <w:rsid w:val="002708AD"/>
    <w:rsid w:val="00C85232"/>
    <w:rsid w:val="00CB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FACD8"/>
  <w15:chartTrackingRefBased/>
  <w15:docId w15:val="{0665E78B-89C2-4A3A-988A-2BEE5EBB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08EC"/>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8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8EC"/>
    <w:rPr>
      <w:sz w:val="18"/>
      <w:szCs w:val="18"/>
    </w:rPr>
  </w:style>
  <w:style w:type="paragraph" w:styleId="a5">
    <w:name w:val="footer"/>
    <w:basedOn w:val="a"/>
    <w:link w:val="a6"/>
    <w:uiPriority w:val="99"/>
    <w:unhideWhenUsed/>
    <w:rsid w:val="00CB08EC"/>
    <w:pPr>
      <w:tabs>
        <w:tab w:val="center" w:pos="4153"/>
        <w:tab w:val="right" w:pos="8306"/>
      </w:tabs>
      <w:snapToGrid w:val="0"/>
      <w:jc w:val="left"/>
    </w:pPr>
    <w:rPr>
      <w:sz w:val="18"/>
      <w:szCs w:val="18"/>
    </w:rPr>
  </w:style>
  <w:style w:type="character" w:customStyle="1" w:styleId="a6">
    <w:name w:val="页脚 字符"/>
    <w:basedOn w:val="a0"/>
    <w:link w:val="a5"/>
    <w:uiPriority w:val="99"/>
    <w:rsid w:val="00CB08EC"/>
    <w:rPr>
      <w:sz w:val="18"/>
      <w:szCs w:val="18"/>
    </w:rPr>
  </w:style>
  <w:style w:type="paragraph" w:styleId="a7">
    <w:name w:val="caption"/>
    <w:basedOn w:val="a"/>
    <w:next w:val="a"/>
    <w:qFormat/>
    <w:rsid w:val="00CB08EC"/>
    <w:rPr>
      <w:rFonts w:ascii="Arial" w:eastAsia="黑体" w:hAnsi="Arial" w:cs="Arial"/>
      <w:sz w:val="20"/>
      <w:szCs w:val="20"/>
    </w:rPr>
  </w:style>
  <w:style w:type="paragraph" w:styleId="a8">
    <w:name w:val="Body Text"/>
    <w:basedOn w:val="a"/>
    <w:link w:val="a9"/>
    <w:rsid w:val="00CB08EC"/>
    <w:pPr>
      <w:spacing w:after="120"/>
    </w:pPr>
  </w:style>
  <w:style w:type="character" w:customStyle="1" w:styleId="a9">
    <w:name w:val="正文文本 字符"/>
    <w:basedOn w:val="a0"/>
    <w:link w:val="a8"/>
    <w:rsid w:val="00CB08E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2018-06-14T06:34:00Z</dcterms:created>
  <dcterms:modified xsi:type="dcterms:W3CDTF">2018-06-14T06:39:00Z</dcterms:modified>
</cp:coreProperties>
</file>