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7FA20">
      <w:pPr>
        <w:pStyle w:val="31"/>
        <w:spacing w:before="1840" w:after="360"/>
        <w:jc w:val="center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车载视觉道路障碍物与未知风险预警系统</w:t>
      </w:r>
    </w:p>
    <w:p w14:paraId="0971F1F5">
      <w:pPr>
        <w:pStyle w:val="26"/>
        <w:spacing w:after="900"/>
        <w:jc w:val="center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开发与交付要求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706E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73B12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项目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F6A2C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内容</w:t>
            </w:r>
          </w:p>
        </w:tc>
      </w:tr>
      <w:tr w14:paraId="71BC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013B9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文档类型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73B56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开发与交付要求</w:t>
            </w:r>
          </w:p>
        </w:tc>
      </w:tr>
      <w:tr w14:paraId="1361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B348C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文档用途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76BCF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明确研发阶段、技术基线、工程规范、评估流程和最终交付物</w:t>
            </w:r>
          </w:p>
        </w:tc>
      </w:tr>
      <w:tr w14:paraId="2E65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69824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适用阶段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7E04C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项目立项、研发实施与验收</w:t>
            </w:r>
          </w:p>
        </w:tc>
      </w:tr>
      <w:tr w14:paraId="4418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09FBA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版本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1FBA8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V1.0</w:t>
            </w:r>
          </w:p>
        </w:tc>
      </w:tr>
      <w:tr w14:paraId="2B3BE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E184F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编制日期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9BBE3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2026年7月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日</w:t>
            </w:r>
          </w:p>
        </w:tc>
      </w:tr>
    </w:tbl>
    <w:p w14:paraId="5EFB9011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</w:p>
    <w:p w14:paraId="16B27DEA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br w:type="page"/>
      </w:r>
    </w:p>
    <w:p w14:paraId="006BC63A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一、研发目标</w:t>
      </w:r>
    </w:p>
    <w:p w14:paraId="5970A256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项目研发应形成可复现、可评估、可联调的完整软件与模型闭环。交付不能只包含模型权重或演示视频，必须同时提供数据说明、配置、代码、日志、评估结果、失败案例和部署文档。</w:t>
      </w:r>
    </w:p>
    <w:p w14:paraId="3FF0F1E3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二、技术基线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7D46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7159B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模块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3016C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建议基线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58668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最低要求</w:t>
            </w:r>
          </w:p>
        </w:tc>
      </w:tr>
      <w:tr w14:paraId="31EC0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1ADE9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可行驶区域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CCC3B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SegFormer、DeepLabV3+或BiSeNet类模型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FE82F9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输出像素掩码、边界及置信度</w:t>
            </w:r>
          </w:p>
        </w:tc>
      </w:tr>
      <w:tr w14:paraId="79CE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341FF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已知障碍物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C8119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YOLO系列、RT-DETR类检测器或实例分割模型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F7915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重点验证小目标Recall</w:t>
            </w:r>
          </w:p>
        </w:tc>
      </w:tr>
      <w:tr w14:paraId="209E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A0D99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未知异常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FC18B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最大Softmax/能量分数、重建误差或异常分割网络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9EF3E1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至少建立一个可复现基线</w:t>
            </w:r>
          </w:p>
        </w:tc>
      </w:tr>
      <w:tr w14:paraId="3DE3C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F8737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距离估计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33B85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单目深度、几何投影或仿真深度辅助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5BC52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报告近距离误差</w:t>
            </w:r>
          </w:p>
        </w:tc>
      </w:tr>
      <w:tr w14:paraId="00D56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4D329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风险状态机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06CA2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规则或轻量学习模型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5E684E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可配置、可解释、有防抖</w:t>
            </w:r>
          </w:p>
        </w:tc>
      </w:tr>
      <w:tr w14:paraId="5CE8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AB4BC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系统接口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0FE40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结构化目标列表与风险报文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E37B10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包含版本、延迟和降级状态</w:t>
            </w:r>
          </w:p>
        </w:tc>
      </w:tr>
    </w:tbl>
    <w:p w14:paraId="5F5382CC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</w:p>
    <w:p w14:paraId="124424DF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三、开发计划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5FE2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11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F98BE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阶段</w:t>
            </w:r>
          </w:p>
        </w:tc>
        <w:tc>
          <w:tcPr>
            <w:tcW w:w="2211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991DB3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周期</w:t>
            </w:r>
          </w:p>
        </w:tc>
        <w:tc>
          <w:tcPr>
            <w:tcW w:w="2211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079D1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主要任务</w:t>
            </w:r>
          </w:p>
        </w:tc>
        <w:tc>
          <w:tcPr>
            <w:tcW w:w="2211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B946B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阶段交付</w:t>
            </w:r>
          </w:p>
        </w:tc>
      </w:tr>
      <w:tr w14:paraId="64D4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4771C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Phase 1：平台与数据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66E35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5EA95B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环境、数据卡、类别映射、样例可视化和分割基线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AEEE45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环境报告、数据说明、第一版指标</w:t>
            </w:r>
          </w:p>
        </w:tc>
      </w:tr>
      <w:tr w14:paraId="4DA3F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161E1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Phase 2：已知障碍物</w:t>
            </w:r>
          </w:p>
        </w:tc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0BF64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9AE0C3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训练检测/分割模型，分析小目标和遮挡</w:t>
            </w:r>
          </w:p>
        </w:tc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5593A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模型、mAP/Recall、失败案例</w:t>
            </w:r>
          </w:p>
        </w:tc>
      </w:tr>
      <w:tr w14:paraId="65F6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9A4B0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Phase 3：未知风险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79ABC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D6141B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建立异常检测基线，完成阈值与泛化分析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3B9506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异常指标、阈值报告、可视化</w:t>
            </w:r>
          </w:p>
        </w:tc>
      </w:tr>
      <w:tr w14:paraId="16E7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3CCA4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Phase 4：空间风险</w:t>
            </w:r>
          </w:p>
        </w:tc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3CA62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6AC70B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融合距离、行驶走廊和风险状态机</w:t>
            </w:r>
          </w:p>
        </w:tc>
        <w:tc>
          <w:tcPr>
            <w:tcW w:w="2211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0DE82A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风险接口、单元测试、回放结果</w:t>
            </w:r>
          </w:p>
        </w:tc>
      </w:tr>
      <w:tr w14:paraId="5B6C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AD258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Phase 5：仿真闭环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129C2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6BC6F8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CARLA场景、端到端联调、性能和验收</w:t>
            </w:r>
          </w:p>
        </w:tc>
        <w:tc>
          <w:tcPr>
            <w:tcW w:w="221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DF4461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场景脚本、演示、验收报告</w:t>
            </w:r>
          </w:p>
        </w:tc>
      </w:tr>
    </w:tbl>
    <w:p w14:paraId="56FC1FD5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</w:p>
    <w:p w14:paraId="02939A02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四、代码与工程规范</w:t>
      </w:r>
    </w:p>
    <w:p w14:paraId="269AF199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代码按数据、模型、训练、推理、评估、接口和仿真模块拆分。</w:t>
      </w:r>
    </w:p>
    <w:p w14:paraId="50C3ECCA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全部参数进入YAML/JSON配置，禁止将路径、阈值和类别硬编码在核心逻辑中。</w:t>
      </w:r>
    </w:p>
    <w:p w14:paraId="6964326B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训练和评估记录Git提交、配置、数据版本、随机种子和运行环境。</w:t>
      </w:r>
    </w:p>
    <w:p w14:paraId="7E3C8D1E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大文件、数据集和权重不得直接提交Git；使用索引或受控存储。</w:t>
      </w:r>
    </w:p>
    <w:p w14:paraId="293E9920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关键模块提供单元测试；风险状态机和坐标转换必须覆盖边界条件。</w:t>
      </w:r>
    </w:p>
    <w:p w14:paraId="48A9BD6B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异常退出、丢帧、传感器不可用和模型加载失败必须返回明确错误码。</w:t>
      </w:r>
    </w:p>
    <w:p w14:paraId="210D30E5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五、实验与评估要求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7F8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294F9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要求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EDDFC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说明</w:t>
            </w:r>
          </w:p>
        </w:tc>
      </w:tr>
      <w:tr w14:paraId="5CDB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B8AF6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固定基线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6F473D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冻结第一版数据划分、输入尺寸、模型和指标</w:t>
            </w:r>
          </w:p>
        </w:tc>
      </w:tr>
      <w:tr w14:paraId="0C1A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BB278A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对照实验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1D9D6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每次只改变一个关键因素，记录配置差异</w:t>
            </w:r>
          </w:p>
        </w:tc>
      </w:tr>
      <w:tr w14:paraId="450B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9F70E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分场景统计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2980B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白天/夜间、晴天/雨天、近/中/远距离、小/大目标分别统计</w:t>
            </w:r>
          </w:p>
        </w:tc>
      </w:tr>
      <w:tr w14:paraId="175D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EC3D8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阈值分析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82DDD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风险阈值和异常阈值给出PR曲线或等价分析</w:t>
            </w:r>
          </w:p>
        </w:tc>
      </w:tr>
      <w:tr w14:paraId="439C1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8DA03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失败案例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5051D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漏报、误报、边界错误和距离异常分类整理</w:t>
            </w:r>
          </w:p>
        </w:tc>
      </w:tr>
      <w:tr w14:paraId="76BA5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FD478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可复现性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62099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由非原开发人员按README完成推理和评估</w:t>
            </w:r>
          </w:p>
        </w:tc>
      </w:tr>
    </w:tbl>
    <w:p w14:paraId="7F7FC2F4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</w:p>
    <w:p w14:paraId="0221B0FE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六、阶段评审要求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5A54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E433D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评审节点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96DCF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必须展示</w:t>
            </w:r>
          </w:p>
        </w:tc>
      </w:tr>
      <w:tr w14:paraId="024E2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2B875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F34FD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环境可复现、数据可视化、分割Demo和第一版指标</w:t>
            </w:r>
          </w:p>
        </w:tc>
      </w:tr>
      <w:tr w14:paraId="0B941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64332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A1D1D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已知障碍物检测结果、小目标漏检分析</w:t>
            </w:r>
          </w:p>
        </w:tc>
      </w:tr>
      <w:tr w14:paraId="5912E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24955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8E0FE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未知异常可视化、指标、阈值和泛化问题</w:t>
            </w:r>
          </w:p>
        </w:tc>
      </w:tr>
      <w:tr w14:paraId="2EA4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A8DB9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B7837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风险状态机、距离与走廊冲突单元测试</w:t>
            </w:r>
          </w:p>
        </w:tc>
      </w:tr>
      <w:tr w14:paraId="6254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90A22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第</w:t>
            </w:r>
            <w:r>
              <w:rPr>
                <w:rFonts w:hint="eastAsia" w:cs="宋体"/>
                <w:b w:val="0"/>
                <w:bCs/>
                <w:i w:val="0"/>
                <w:iCs w:val="0"/>
                <w:color w:val="auto"/>
                <w:sz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周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BD426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CARLA闭环、性能测试、最终报告和完整交付包</w:t>
            </w:r>
          </w:p>
        </w:tc>
      </w:tr>
    </w:tbl>
    <w:p w14:paraId="1E0A2A69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</w:p>
    <w:p w14:paraId="20A86236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七、最终交付清单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72BB7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DDBE3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类别</w:t>
            </w:r>
          </w:p>
        </w:tc>
        <w:tc>
          <w:tcPr>
            <w:tcW w:w="4422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DC43F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必须提交内容</w:t>
            </w:r>
          </w:p>
        </w:tc>
      </w:tr>
      <w:tr w14:paraId="1A53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A6307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源代码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D7B3B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完整源码、配置、启动脚本、单元测试和README</w:t>
            </w:r>
          </w:p>
        </w:tc>
      </w:tr>
      <w:tr w14:paraId="59AA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F3DE7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数据资料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27A8F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数据卡、许可说明、划分清单、类别映射和样例</w:t>
            </w:r>
          </w:p>
        </w:tc>
      </w:tr>
      <w:tr w14:paraId="0FC0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8990F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模型资料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7C13D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权重索引、训练配置、日志、模型版本和推理说明</w:t>
            </w:r>
          </w:p>
        </w:tc>
      </w:tr>
      <w:tr w14:paraId="4F25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865C0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评估资料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B8A9D0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指标表、评估脚本、阈值分析、失败案例和消融结果</w:t>
            </w:r>
          </w:p>
        </w:tc>
      </w:tr>
      <w:tr w14:paraId="5105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966E6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仿真资料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9760C8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场景配置、资产说明、采集脚本、真值导出和随机种子</w:t>
            </w:r>
          </w:p>
        </w:tc>
      </w:tr>
      <w:tr w14:paraId="647D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C9A50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接口资料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99D65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输入输出字段、状态码、示例报文和联调说明</w:t>
            </w:r>
          </w:p>
        </w:tc>
      </w:tr>
      <w:tr w14:paraId="391A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15D69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演示材料</w:t>
            </w:r>
          </w:p>
        </w:tc>
        <w:tc>
          <w:tcPr>
            <w:tcW w:w="4422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2F548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至少3类风险场景的端到端演示</w:t>
            </w:r>
          </w:p>
        </w:tc>
      </w:tr>
      <w:tr w14:paraId="6B90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1007CD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项目报告</w:t>
            </w:r>
          </w:p>
        </w:tc>
        <w:tc>
          <w:tcPr>
            <w:tcW w:w="4422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779CC2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方法、结果、限制、复现步骤、风险和后续建议</w:t>
            </w:r>
          </w:p>
        </w:tc>
      </w:tr>
    </w:tbl>
    <w:p w14:paraId="10C6A382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八、验收门槛</w:t>
      </w:r>
    </w:p>
    <w:p w14:paraId="58AA02ED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全部P0功能可以在统一入口下运行。</w:t>
      </w:r>
    </w:p>
    <w:p w14:paraId="7A40AF2E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从环境安装到推理评估具备完整可复现步骤。</w:t>
      </w:r>
    </w:p>
    <w:p w14:paraId="0B3C52B8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真实数据与仿真数据均有结果，且明确两者差异。</w:t>
      </w:r>
    </w:p>
    <w:p w14:paraId="5E7DE1F1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未知障碍物即使无法分类，也能输出异常区域及空间风险。</w:t>
      </w:r>
    </w:p>
    <w:p w14:paraId="4AFC60CB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相机严重退化时能够输出降级状态。</w:t>
      </w:r>
    </w:p>
    <w:p w14:paraId="2079B26F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性能数据在目标GPU、固定分辨率和固定批量下测得。</w:t>
      </w:r>
    </w:p>
    <w:p w14:paraId="0926CCD9">
      <w:pPr>
        <w:ind w:left="425" w:firstLine="0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• 报告包含失败案例和已知限制，不只展示最佳样例。</w:t>
      </w:r>
    </w:p>
    <w:p w14:paraId="11EB3B70">
      <w:pPr>
        <w:pStyle w:val="3"/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  <w:t>九、第一周启动清单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0207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26F5D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序号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875DA4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任务</w:t>
            </w:r>
          </w:p>
        </w:tc>
        <w:tc>
          <w:tcPr>
            <w:tcW w:w="2948" w:type="dxa"/>
            <w:shd w:val="clear" w:color="auto" w:fill="2F5597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286F45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完成标准</w:t>
            </w:r>
          </w:p>
        </w:tc>
      </w:tr>
      <w:tr w14:paraId="4C27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DC02DB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1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3817E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建立代码仓库和目录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97D43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代码、配置、数据索引、权重和输出分离</w:t>
            </w:r>
          </w:p>
        </w:tc>
      </w:tr>
      <w:tr w14:paraId="71D1B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F590DC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2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B83B97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完成候选数据调研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CFAC3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提交许可、规模、类别、下载和用途对比表</w:t>
            </w:r>
          </w:p>
        </w:tc>
      </w:tr>
      <w:tr w14:paraId="3D06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79BB4F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3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93810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完成环境基线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F4286D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记录GPU、驱动、CUDA、Python和框架版本</w:t>
            </w:r>
          </w:p>
        </w:tc>
      </w:tr>
      <w:tr w14:paraId="20EB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1D6C11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4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02F34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输出样例可视化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218F96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不少于20张，覆盖道路与异常场景</w:t>
            </w:r>
          </w:p>
        </w:tc>
      </w:tr>
      <w:tr w14:paraId="69FA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BBDCC9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5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00D4C4E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跑通分割Demo</w:t>
            </w:r>
          </w:p>
        </w:tc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BDF96E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输入图像/视频，输出可行驶区域叠加</w:t>
            </w:r>
          </w:p>
        </w:tc>
      </w:tr>
      <w:tr w14:paraId="6B48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ECA473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6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5337D6">
            <w:pPr>
              <w:spacing w:after="0" w:line="252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冻结第一版实验方案</w:t>
            </w:r>
          </w:p>
        </w:tc>
        <w:tc>
          <w:tcPr>
            <w:tcW w:w="2948" w:type="dxa"/>
            <w:shd w:val="clear" w:color="auto" w:fill="F5F8FC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677F7C">
            <w:pPr>
              <w:spacing w:after="0" w:line="252" w:lineRule="auto"/>
              <w:ind w:firstLine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auto"/>
                <w:sz w:val="18"/>
              </w:rPr>
              <w:t>确定数据划分、模型、输入尺寸和指标</w:t>
            </w:r>
          </w:p>
        </w:tc>
      </w:tr>
    </w:tbl>
    <w:p w14:paraId="1C93CD68">
      <w:pPr>
        <w:rPr>
          <w:rFonts w:hint="eastAsia" w:ascii="宋体" w:hAnsi="宋体" w:eastAsia="宋体" w:cs="宋体"/>
          <w:b w:val="0"/>
          <w:bCs/>
          <w:i w:val="0"/>
          <w:iCs w:val="0"/>
          <w:color w:val="auto"/>
        </w:rPr>
      </w:pPr>
    </w:p>
    <w:sectPr>
      <w:headerReference r:id="rId5" w:type="default"/>
      <w:footerReference r:id="rId6" w:type="default"/>
      <w:pgSz w:w="11906" w:h="16838"/>
      <w:pgMar w:top="1440" w:right="1474" w:bottom="1440" w:left="158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E275F">
    <w:pPr>
      <w:pStyle w:val="24"/>
      <w:jc w:val="center"/>
    </w:pPr>
    <w:r>
      <w:rPr>
        <w:rFonts w:ascii="宋体" w:hAnsi="宋体" w:eastAsia="宋体"/>
        <w:b w:val="0"/>
        <w:color w:val="666666"/>
        <w:sz w:val="18"/>
      </w:rPr>
      <w:fldChar w:fldCharType="begin"/>
    </w:r>
    <w:r>
      <w:rPr>
        <w:rFonts w:ascii="宋体" w:hAnsi="宋体" w:eastAsia="宋体"/>
        <w:b w:val="0"/>
        <w:color w:val="666666"/>
        <w:sz w:val="18"/>
      </w:rPr>
      <w:instrText xml:space="preserve">PAGE</w:instrText>
    </w:r>
    <w:r>
      <w:rPr>
        <w:rFonts w:ascii="宋体" w:hAnsi="宋体" w:eastAsia="宋体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2C0F">
    <w:pPr>
      <w:pStyle w:val="25"/>
      <w:jc w:val="right"/>
    </w:pPr>
    <w:r>
      <w:rPr>
        <w:rFonts w:ascii="宋体" w:hAnsi="宋体" w:eastAsia="宋体"/>
        <w:b w:val="0"/>
        <w:color w:val="7F7F7F"/>
        <w:sz w:val="17"/>
      </w:rPr>
      <w:t>车载视觉道路障碍物与未知风险预警系统｜开发与交付要求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E2B7A"/>
    <w:rsid w:val="114A2C81"/>
    <w:rsid w:val="533B619E"/>
    <w:rsid w:val="54774A70"/>
    <w:rsid w:val="59353E3E"/>
    <w:rsid w:val="6C7D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20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40"/>
      <w:ind w:firstLine="0"/>
      <w:outlineLvl w:val="2"/>
    </w:pPr>
    <w:rPr>
      <w:rFonts w:asciiTheme="majorHAnsi" w:hAnsiTheme="majorHAnsi" w:eastAsiaTheme="majorEastAsia" w:cstheme="majorBidi"/>
      <w:b/>
      <w:bCs/>
      <w:color w:val="40404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ind w:firstLine="0"/>
    </w:pPr>
    <w:rPr>
      <w:rFonts w:asciiTheme="majorHAnsi" w:hAnsiTheme="majorHAnsi" w:eastAsiaTheme="majorEastAsia" w:cstheme="majorBidi"/>
      <w:b/>
      <w:i/>
      <w:iCs/>
      <w:color w:val="2F5597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986</Words>
  <Characters>1090</Characters>
  <Lines>0</Lines>
  <Paragraphs>0</Paragraphs>
  <TotalTime>0</TotalTime>
  <ScaleCrop>false</ScaleCrop>
  <LinksUpToDate>false</LinksUpToDate>
  <CharactersWithSpaces>1101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独立项目文件</dc:description>
  <cp:lastModifiedBy>wind</cp:lastModifiedBy>
  <dcterms:modified xsi:type="dcterms:W3CDTF">2026-07-13T07:23:02Z</dcterms:modified>
  <dc:subject>开发与交付要求</dc:subject>
  <dc:title>车载视觉道路障碍物与未知风险预警系统——开发与交付要求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eyJoZGlkIjoiYjFjYzViZGNkYzNiMDFjZWFhYWViZWM3ZGE3NmRiNTciLCJ1c2VySWQiOiI5MDc3OTcyNDYifQ==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68D23A555852443E8EBE6524A2C57FC4_12</vt:lpwstr>
  </property>
</Properties>
</file>