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48E98">
      <w:pPr>
        <w:pStyle w:val="31"/>
        <w:spacing w:before="1840" w:after="36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rPr>
        <w:t>车载视觉道路障碍物与未知风险预警系统</w:t>
      </w:r>
    </w:p>
    <w:p w14:paraId="599224B8">
      <w:pPr>
        <w:pStyle w:val="26"/>
        <w:spacing w:after="90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rPr>
        <w:t>数据集与仿真环境要求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22"/>
      </w:tblGrid>
      <w:tr w14:paraId="40CE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422" w:type="dxa"/>
            <w:shd w:val="clear" w:color="auto" w:fill="2F5597"/>
            <w:tcMar>
              <w:top w:w="55" w:type="dxa"/>
              <w:left w:w="100" w:type="dxa"/>
              <w:bottom w:w="55" w:type="dxa"/>
              <w:right w:w="100" w:type="dxa"/>
            </w:tcMar>
            <w:vAlign w:val="center"/>
          </w:tcPr>
          <w:p w14:paraId="3EAEBF2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项目</w:t>
            </w:r>
          </w:p>
        </w:tc>
        <w:tc>
          <w:tcPr>
            <w:tcW w:w="4422" w:type="dxa"/>
            <w:shd w:val="clear" w:color="auto" w:fill="2F5597"/>
            <w:tcMar>
              <w:top w:w="55" w:type="dxa"/>
              <w:left w:w="100" w:type="dxa"/>
              <w:bottom w:w="55" w:type="dxa"/>
              <w:right w:w="100" w:type="dxa"/>
            </w:tcMar>
            <w:vAlign w:val="center"/>
          </w:tcPr>
          <w:p w14:paraId="456F97D6">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内容</w:t>
            </w:r>
          </w:p>
        </w:tc>
      </w:tr>
      <w:tr w14:paraId="052A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1ACA9835">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文档类型</w:t>
            </w:r>
          </w:p>
        </w:tc>
        <w:tc>
          <w:tcPr>
            <w:tcW w:w="4422" w:type="dxa"/>
            <w:shd w:val="clear" w:color="auto" w:fill="FFFFFF"/>
            <w:tcMar>
              <w:top w:w="55" w:type="dxa"/>
              <w:left w:w="100" w:type="dxa"/>
              <w:bottom w:w="55" w:type="dxa"/>
              <w:right w:w="100" w:type="dxa"/>
            </w:tcMar>
            <w:vAlign w:val="center"/>
          </w:tcPr>
          <w:p w14:paraId="0E03F31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数据集与仿真环境要求</w:t>
            </w:r>
          </w:p>
        </w:tc>
      </w:tr>
      <w:tr w14:paraId="4971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40C458F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文档用途</w:t>
            </w:r>
          </w:p>
        </w:tc>
        <w:tc>
          <w:tcPr>
            <w:tcW w:w="4422" w:type="dxa"/>
            <w:shd w:val="clear" w:color="auto" w:fill="F5F8FC"/>
            <w:tcMar>
              <w:top w:w="55" w:type="dxa"/>
              <w:left w:w="100" w:type="dxa"/>
              <w:bottom w:w="55" w:type="dxa"/>
              <w:right w:w="100" w:type="dxa"/>
            </w:tcMar>
            <w:vAlign w:val="center"/>
          </w:tcPr>
          <w:p w14:paraId="4FB4F9E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规定数据来源、数据治理、服务器环境、仿真场景及真值格式</w:t>
            </w:r>
          </w:p>
        </w:tc>
      </w:tr>
      <w:tr w14:paraId="3391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3F41048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适用阶段</w:t>
            </w:r>
          </w:p>
        </w:tc>
        <w:tc>
          <w:tcPr>
            <w:tcW w:w="4422" w:type="dxa"/>
            <w:shd w:val="clear" w:color="auto" w:fill="FFFFFF"/>
            <w:tcMar>
              <w:top w:w="55" w:type="dxa"/>
              <w:left w:w="100" w:type="dxa"/>
              <w:bottom w:w="55" w:type="dxa"/>
              <w:right w:w="100" w:type="dxa"/>
            </w:tcMar>
            <w:vAlign w:val="center"/>
          </w:tcPr>
          <w:p w14:paraId="2CC1FF7A">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项目立项、研发实施与验收</w:t>
            </w:r>
          </w:p>
        </w:tc>
      </w:tr>
      <w:tr w14:paraId="03F35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6ECFFFF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版本</w:t>
            </w:r>
          </w:p>
        </w:tc>
        <w:tc>
          <w:tcPr>
            <w:tcW w:w="4422" w:type="dxa"/>
            <w:shd w:val="clear" w:color="auto" w:fill="F5F8FC"/>
            <w:tcMar>
              <w:top w:w="55" w:type="dxa"/>
              <w:left w:w="100" w:type="dxa"/>
              <w:bottom w:w="55" w:type="dxa"/>
              <w:right w:w="100" w:type="dxa"/>
            </w:tcMar>
            <w:vAlign w:val="center"/>
          </w:tcPr>
          <w:p w14:paraId="75184D4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V1.0</w:t>
            </w:r>
          </w:p>
        </w:tc>
      </w:tr>
      <w:tr w14:paraId="08FF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082A80D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编制日期</w:t>
            </w:r>
          </w:p>
        </w:tc>
        <w:tc>
          <w:tcPr>
            <w:tcW w:w="4422" w:type="dxa"/>
            <w:shd w:val="clear" w:color="auto" w:fill="FFFFFF"/>
            <w:tcMar>
              <w:top w:w="55" w:type="dxa"/>
              <w:left w:w="100" w:type="dxa"/>
              <w:bottom w:w="55" w:type="dxa"/>
              <w:right w:w="100" w:type="dxa"/>
            </w:tcMar>
            <w:vAlign w:val="center"/>
          </w:tcPr>
          <w:p w14:paraId="12F9955A">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2026年7月</w:t>
            </w:r>
            <w:r>
              <w:rPr>
                <w:rFonts w:hint="eastAsia" w:cs="宋体"/>
                <w:b w:val="0"/>
                <w:bCs/>
                <w:i w:val="0"/>
                <w:iCs w:val="0"/>
                <w:color w:val="auto"/>
                <w:sz w:val="18"/>
                <w:lang w:val="en-US" w:eastAsia="zh-CN"/>
              </w:rPr>
              <w:t>7</w:t>
            </w:r>
            <w:r>
              <w:rPr>
                <w:rFonts w:hint="eastAsia" w:ascii="宋体" w:hAnsi="宋体" w:eastAsia="宋体" w:cs="宋体"/>
                <w:b w:val="0"/>
                <w:bCs/>
                <w:i w:val="0"/>
                <w:iCs w:val="0"/>
                <w:color w:val="auto"/>
                <w:sz w:val="18"/>
              </w:rPr>
              <w:t>日</w:t>
            </w:r>
          </w:p>
        </w:tc>
      </w:tr>
    </w:tbl>
    <w:p w14:paraId="008A37C2">
      <w:pPr>
        <w:rPr>
          <w:rFonts w:hint="eastAsia" w:ascii="宋体" w:hAnsi="宋体" w:eastAsia="宋体" w:cs="宋体"/>
          <w:b w:val="0"/>
          <w:bCs/>
          <w:i w:val="0"/>
          <w:iCs w:val="0"/>
          <w:color w:val="auto"/>
        </w:rPr>
      </w:pPr>
    </w:p>
    <w:p w14:paraId="3C10B810">
      <w:pPr>
        <w:rPr>
          <w:rFonts w:hint="eastAsia" w:ascii="宋体" w:hAnsi="宋体" w:eastAsia="宋体" w:cs="宋体"/>
          <w:b w:val="0"/>
          <w:bCs/>
          <w:i w:val="0"/>
          <w:iCs w:val="0"/>
          <w:color w:val="auto"/>
        </w:rPr>
      </w:pPr>
      <w:r>
        <w:rPr>
          <w:rFonts w:hint="eastAsia" w:ascii="宋体" w:hAnsi="宋体" w:eastAsia="宋体" w:cs="宋体"/>
          <w:b w:val="0"/>
          <w:bCs/>
          <w:i w:val="0"/>
          <w:iCs w:val="0"/>
          <w:color w:val="auto"/>
        </w:rPr>
        <w:br w:type="page"/>
      </w:r>
    </w:p>
    <w:p w14:paraId="41A85136">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一、数据使用原则</w:t>
      </w:r>
    </w:p>
    <w:p w14:paraId="336E21FC">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所有数据集在下载前核验许可协议和研究用途限制。</w:t>
      </w:r>
    </w:p>
    <w:p w14:paraId="26531C85">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原始数据只读保存，转换与预处理结果必须可由脚本重建。</w:t>
      </w:r>
    </w:p>
    <w:p w14:paraId="6B6869F8">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训练集、验证集和测试集按序列或场景划分，防止相邻帧泄漏。</w:t>
      </w:r>
    </w:p>
    <w:p w14:paraId="44125759">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不同数据集必须先完成类别、忽略区域和坐标系映射，禁止直接无规则混合。</w:t>
      </w:r>
    </w:p>
    <w:p w14:paraId="4FB714FA">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数据版本、来源、文件数量、校验值和处理脚本统一登记。</w:t>
      </w:r>
    </w:p>
    <w:p w14:paraId="40F9F2FB">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二、候选数据集</w:t>
      </w:r>
    </w:p>
    <w:p w14:paraId="4743DDEA">
      <w:pPr>
        <w:pStyle w:val="4"/>
        <w:rPr>
          <w:rFonts w:hint="eastAsia" w:ascii="宋体" w:hAnsi="宋体" w:eastAsia="宋体" w:cs="宋体"/>
          <w:b w:val="0"/>
          <w:bCs/>
          <w:i w:val="0"/>
          <w:iCs w:val="0"/>
          <w:color w:val="auto"/>
        </w:rPr>
      </w:pPr>
      <w:r>
        <w:rPr>
          <w:rFonts w:hint="eastAsia" w:ascii="宋体" w:hAnsi="宋体" w:eastAsia="宋体" w:cs="宋体"/>
          <w:b w:val="0"/>
          <w:bCs/>
          <w:i w:val="0"/>
          <w:iCs w:val="0"/>
          <w:color w:val="auto"/>
        </w:rPr>
        <w:t>2.1 道路语义与可行驶区域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948"/>
        <w:gridCol w:w="2948"/>
      </w:tblGrid>
      <w:tr w14:paraId="421C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2F5597"/>
            <w:tcMar>
              <w:top w:w="55" w:type="dxa"/>
              <w:left w:w="100" w:type="dxa"/>
              <w:bottom w:w="55" w:type="dxa"/>
              <w:right w:w="100" w:type="dxa"/>
            </w:tcMar>
            <w:vAlign w:val="center"/>
          </w:tcPr>
          <w:p w14:paraId="0D93CC1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数据集</w:t>
            </w:r>
          </w:p>
        </w:tc>
        <w:tc>
          <w:tcPr>
            <w:tcW w:w="2948" w:type="dxa"/>
            <w:shd w:val="clear" w:color="auto" w:fill="2F5597"/>
            <w:tcMar>
              <w:top w:w="55" w:type="dxa"/>
              <w:left w:w="100" w:type="dxa"/>
              <w:bottom w:w="55" w:type="dxa"/>
              <w:right w:w="100" w:type="dxa"/>
            </w:tcMar>
            <w:vAlign w:val="center"/>
          </w:tcPr>
          <w:p w14:paraId="539FCB31">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用途</w:t>
            </w:r>
          </w:p>
        </w:tc>
        <w:tc>
          <w:tcPr>
            <w:tcW w:w="2948" w:type="dxa"/>
            <w:shd w:val="clear" w:color="auto" w:fill="2F5597"/>
            <w:tcMar>
              <w:top w:w="55" w:type="dxa"/>
              <w:left w:w="100" w:type="dxa"/>
              <w:bottom w:w="55" w:type="dxa"/>
              <w:right w:w="100" w:type="dxa"/>
            </w:tcMar>
            <w:vAlign w:val="center"/>
          </w:tcPr>
          <w:p w14:paraId="43FC171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注意事项</w:t>
            </w:r>
          </w:p>
        </w:tc>
      </w:tr>
      <w:tr w14:paraId="1A0B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FFFFF"/>
            <w:tcMar>
              <w:top w:w="55" w:type="dxa"/>
              <w:left w:w="100" w:type="dxa"/>
              <w:bottom w:w="55" w:type="dxa"/>
              <w:right w:w="100" w:type="dxa"/>
            </w:tcMar>
            <w:vAlign w:val="center"/>
          </w:tcPr>
          <w:p w14:paraId="47B57B5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Cityscapes</w:t>
            </w:r>
          </w:p>
        </w:tc>
        <w:tc>
          <w:tcPr>
            <w:tcW w:w="2948" w:type="dxa"/>
            <w:shd w:val="clear" w:color="auto" w:fill="FFFFFF"/>
            <w:tcMar>
              <w:top w:w="55" w:type="dxa"/>
              <w:left w:w="100" w:type="dxa"/>
              <w:bottom w:w="55" w:type="dxa"/>
              <w:right w:w="100" w:type="dxa"/>
            </w:tcMar>
            <w:vAlign w:val="center"/>
          </w:tcPr>
          <w:p w14:paraId="24878827">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城市道路语义分割和可行驶区域基线</w:t>
            </w:r>
          </w:p>
        </w:tc>
        <w:tc>
          <w:tcPr>
            <w:tcW w:w="2948" w:type="dxa"/>
            <w:shd w:val="clear" w:color="auto" w:fill="FFFFFF"/>
            <w:tcMar>
              <w:top w:w="55" w:type="dxa"/>
              <w:left w:w="100" w:type="dxa"/>
              <w:bottom w:w="55" w:type="dxa"/>
              <w:right w:w="100" w:type="dxa"/>
            </w:tcMar>
            <w:vAlign w:val="center"/>
          </w:tcPr>
          <w:p w14:paraId="5C03E285">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精细标注，但场景与天气范围有限</w:t>
            </w:r>
          </w:p>
        </w:tc>
      </w:tr>
      <w:tr w14:paraId="17E6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5F8FC"/>
            <w:tcMar>
              <w:top w:w="55" w:type="dxa"/>
              <w:left w:w="100" w:type="dxa"/>
              <w:bottom w:w="55" w:type="dxa"/>
              <w:right w:w="100" w:type="dxa"/>
            </w:tcMar>
            <w:vAlign w:val="center"/>
          </w:tcPr>
          <w:p w14:paraId="39EB441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BDD100K</w:t>
            </w:r>
          </w:p>
        </w:tc>
        <w:tc>
          <w:tcPr>
            <w:tcW w:w="2948" w:type="dxa"/>
            <w:shd w:val="clear" w:color="auto" w:fill="F5F8FC"/>
            <w:tcMar>
              <w:top w:w="55" w:type="dxa"/>
              <w:left w:w="100" w:type="dxa"/>
              <w:bottom w:w="55" w:type="dxa"/>
              <w:right w:w="100" w:type="dxa"/>
            </w:tcMar>
            <w:vAlign w:val="center"/>
          </w:tcPr>
          <w:p w14:paraId="13003E6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可行驶区域、车道和道路目标联合学习</w:t>
            </w:r>
          </w:p>
        </w:tc>
        <w:tc>
          <w:tcPr>
            <w:tcW w:w="2948" w:type="dxa"/>
            <w:shd w:val="clear" w:color="auto" w:fill="F5F8FC"/>
            <w:tcMar>
              <w:top w:w="55" w:type="dxa"/>
              <w:left w:w="100" w:type="dxa"/>
              <w:bottom w:w="55" w:type="dxa"/>
              <w:right w:w="100" w:type="dxa"/>
            </w:tcMar>
            <w:vAlign w:val="center"/>
          </w:tcPr>
          <w:p w14:paraId="162CA02E">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适合真实视频与多任务基线</w:t>
            </w:r>
          </w:p>
        </w:tc>
      </w:tr>
      <w:tr w14:paraId="6A91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FFFFF"/>
            <w:tcMar>
              <w:top w:w="55" w:type="dxa"/>
              <w:left w:w="100" w:type="dxa"/>
              <w:bottom w:w="55" w:type="dxa"/>
              <w:right w:w="100" w:type="dxa"/>
            </w:tcMar>
            <w:vAlign w:val="center"/>
          </w:tcPr>
          <w:p w14:paraId="3A01C36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Mapillary Vistas</w:t>
            </w:r>
          </w:p>
        </w:tc>
        <w:tc>
          <w:tcPr>
            <w:tcW w:w="2948" w:type="dxa"/>
            <w:shd w:val="clear" w:color="auto" w:fill="FFFFFF"/>
            <w:tcMar>
              <w:top w:w="55" w:type="dxa"/>
              <w:left w:w="100" w:type="dxa"/>
              <w:bottom w:w="55" w:type="dxa"/>
              <w:right w:w="100" w:type="dxa"/>
            </w:tcMar>
            <w:vAlign w:val="center"/>
          </w:tcPr>
          <w:p w14:paraId="68C97DAA">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跨地域道路语义和泛化测试</w:t>
            </w:r>
          </w:p>
        </w:tc>
        <w:tc>
          <w:tcPr>
            <w:tcW w:w="2948" w:type="dxa"/>
            <w:shd w:val="clear" w:color="auto" w:fill="FFFFFF"/>
            <w:tcMar>
              <w:top w:w="55" w:type="dxa"/>
              <w:left w:w="100" w:type="dxa"/>
              <w:bottom w:w="55" w:type="dxa"/>
              <w:right w:w="100" w:type="dxa"/>
            </w:tcMar>
            <w:vAlign w:val="center"/>
          </w:tcPr>
          <w:p w14:paraId="2788AA01">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类别丰富，需进行类别映射</w:t>
            </w:r>
          </w:p>
        </w:tc>
      </w:tr>
    </w:tbl>
    <w:p w14:paraId="1314F818">
      <w:pPr>
        <w:pStyle w:val="4"/>
        <w:rPr>
          <w:rFonts w:hint="eastAsia" w:ascii="宋体" w:hAnsi="宋体" w:eastAsia="宋体" w:cs="宋体"/>
          <w:b w:val="0"/>
          <w:bCs/>
          <w:i w:val="0"/>
          <w:iCs w:val="0"/>
          <w:color w:val="auto"/>
        </w:rPr>
      </w:pPr>
      <w:r>
        <w:rPr>
          <w:rFonts w:hint="eastAsia" w:ascii="宋体" w:hAnsi="宋体" w:eastAsia="宋体" w:cs="宋体"/>
          <w:b w:val="0"/>
          <w:bCs/>
          <w:i w:val="0"/>
          <w:iCs w:val="0"/>
          <w:color w:val="auto"/>
        </w:rPr>
        <w:t>2.2 异常与未知障碍物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948"/>
        <w:gridCol w:w="2948"/>
      </w:tblGrid>
      <w:tr w14:paraId="4064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2F5597"/>
            <w:tcMar>
              <w:top w:w="55" w:type="dxa"/>
              <w:left w:w="100" w:type="dxa"/>
              <w:bottom w:w="55" w:type="dxa"/>
              <w:right w:w="100" w:type="dxa"/>
            </w:tcMar>
            <w:vAlign w:val="center"/>
          </w:tcPr>
          <w:p w14:paraId="2DA793B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数据集</w:t>
            </w:r>
          </w:p>
        </w:tc>
        <w:tc>
          <w:tcPr>
            <w:tcW w:w="2948" w:type="dxa"/>
            <w:shd w:val="clear" w:color="auto" w:fill="2F5597"/>
            <w:tcMar>
              <w:top w:w="55" w:type="dxa"/>
              <w:left w:w="100" w:type="dxa"/>
              <w:bottom w:w="55" w:type="dxa"/>
              <w:right w:w="100" w:type="dxa"/>
            </w:tcMar>
            <w:vAlign w:val="center"/>
          </w:tcPr>
          <w:p w14:paraId="52B9E49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用途</w:t>
            </w:r>
          </w:p>
        </w:tc>
        <w:tc>
          <w:tcPr>
            <w:tcW w:w="2948" w:type="dxa"/>
            <w:shd w:val="clear" w:color="auto" w:fill="2F5597"/>
            <w:tcMar>
              <w:top w:w="55" w:type="dxa"/>
              <w:left w:w="100" w:type="dxa"/>
              <w:bottom w:w="55" w:type="dxa"/>
              <w:right w:w="100" w:type="dxa"/>
            </w:tcMar>
            <w:vAlign w:val="center"/>
          </w:tcPr>
          <w:p w14:paraId="123F37D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建议</w:t>
            </w:r>
          </w:p>
        </w:tc>
      </w:tr>
      <w:tr w14:paraId="2056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FFFFF"/>
            <w:tcMar>
              <w:top w:w="55" w:type="dxa"/>
              <w:left w:w="100" w:type="dxa"/>
              <w:bottom w:w="55" w:type="dxa"/>
              <w:right w:w="100" w:type="dxa"/>
            </w:tcMar>
            <w:vAlign w:val="center"/>
          </w:tcPr>
          <w:p w14:paraId="5AA62ED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Lost and Found</w:t>
            </w:r>
          </w:p>
        </w:tc>
        <w:tc>
          <w:tcPr>
            <w:tcW w:w="2948" w:type="dxa"/>
            <w:shd w:val="clear" w:color="auto" w:fill="FFFFFF"/>
            <w:tcMar>
              <w:top w:w="55" w:type="dxa"/>
              <w:left w:w="100" w:type="dxa"/>
              <w:bottom w:w="55" w:type="dxa"/>
              <w:right w:w="100" w:type="dxa"/>
            </w:tcMar>
            <w:vAlign w:val="center"/>
          </w:tcPr>
          <w:p w14:paraId="4B0FC0E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道路小障碍物检测/分割</w:t>
            </w:r>
          </w:p>
        </w:tc>
        <w:tc>
          <w:tcPr>
            <w:tcW w:w="2948" w:type="dxa"/>
            <w:shd w:val="clear" w:color="auto" w:fill="FFFFFF"/>
            <w:tcMar>
              <w:top w:w="55" w:type="dxa"/>
              <w:left w:w="100" w:type="dxa"/>
              <w:bottom w:w="55" w:type="dxa"/>
              <w:right w:w="100" w:type="dxa"/>
            </w:tcMar>
            <w:vAlign w:val="center"/>
          </w:tcPr>
          <w:p w14:paraId="64910FB8">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作为道路障碍物重点测试集</w:t>
            </w:r>
          </w:p>
        </w:tc>
      </w:tr>
      <w:tr w14:paraId="60FC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5F8FC"/>
            <w:tcMar>
              <w:top w:w="55" w:type="dxa"/>
              <w:left w:w="100" w:type="dxa"/>
              <w:bottom w:w="55" w:type="dxa"/>
              <w:right w:w="100" w:type="dxa"/>
            </w:tcMar>
            <w:vAlign w:val="center"/>
          </w:tcPr>
          <w:p w14:paraId="32E52E1C">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Fishyscapes</w:t>
            </w:r>
          </w:p>
        </w:tc>
        <w:tc>
          <w:tcPr>
            <w:tcW w:w="2948" w:type="dxa"/>
            <w:shd w:val="clear" w:color="auto" w:fill="F5F8FC"/>
            <w:tcMar>
              <w:top w:w="55" w:type="dxa"/>
              <w:left w:w="100" w:type="dxa"/>
              <w:bottom w:w="55" w:type="dxa"/>
              <w:right w:w="100" w:type="dxa"/>
            </w:tcMar>
            <w:vAlign w:val="center"/>
          </w:tcPr>
          <w:p w14:paraId="418500D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像素级异常检测</w:t>
            </w:r>
          </w:p>
        </w:tc>
        <w:tc>
          <w:tcPr>
            <w:tcW w:w="2948" w:type="dxa"/>
            <w:shd w:val="clear" w:color="auto" w:fill="F5F8FC"/>
            <w:tcMar>
              <w:top w:w="55" w:type="dxa"/>
              <w:left w:w="100" w:type="dxa"/>
              <w:bottom w:w="55" w:type="dxa"/>
              <w:right w:w="100" w:type="dxa"/>
            </w:tcMar>
            <w:vAlign w:val="center"/>
          </w:tcPr>
          <w:p w14:paraId="068E2C3C">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评估训练类别之外区域</w:t>
            </w:r>
          </w:p>
        </w:tc>
      </w:tr>
      <w:tr w14:paraId="10B6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FFFFF"/>
            <w:tcMar>
              <w:top w:w="55" w:type="dxa"/>
              <w:left w:w="100" w:type="dxa"/>
              <w:bottom w:w="55" w:type="dxa"/>
              <w:right w:w="100" w:type="dxa"/>
            </w:tcMar>
            <w:vAlign w:val="center"/>
          </w:tcPr>
          <w:p w14:paraId="1EC8924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RoadAnomaly21</w:t>
            </w:r>
          </w:p>
        </w:tc>
        <w:tc>
          <w:tcPr>
            <w:tcW w:w="2948" w:type="dxa"/>
            <w:shd w:val="clear" w:color="auto" w:fill="FFFFFF"/>
            <w:tcMar>
              <w:top w:w="55" w:type="dxa"/>
              <w:left w:w="100" w:type="dxa"/>
              <w:bottom w:w="55" w:type="dxa"/>
              <w:right w:w="100" w:type="dxa"/>
            </w:tcMar>
            <w:vAlign w:val="center"/>
          </w:tcPr>
          <w:p w14:paraId="5837121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道路未知物体异常分割</w:t>
            </w:r>
          </w:p>
        </w:tc>
        <w:tc>
          <w:tcPr>
            <w:tcW w:w="2948" w:type="dxa"/>
            <w:shd w:val="clear" w:color="auto" w:fill="FFFFFF"/>
            <w:tcMar>
              <w:top w:w="55" w:type="dxa"/>
              <w:left w:w="100" w:type="dxa"/>
              <w:bottom w:w="55" w:type="dxa"/>
              <w:right w:w="100" w:type="dxa"/>
            </w:tcMar>
            <w:vAlign w:val="center"/>
          </w:tcPr>
          <w:p w14:paraId="6404B213">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用于异常分割验证</w:t>
            </w:r>
          </w:p>
        </w:tc>
      </w:tr>
      <w:tr w14:paraId="4907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5F8FC"/>
            <w:tcMar>
              <w:top w:w="55" w:type="dxa"/>
              <w:left w:w="100" w:type="dxa"/>
              <w:bottom w:w="55" w:type="dxa"/>
              <w:right w:w="100" w:type="dxa"/>
            </w:tcMar>
            <w:vAlign w:val="center"/>
          </w:tcPr>
          <w:p w14:paraId="01DD7EA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SegmentMeIfYouCan</w:t>
            </w:r>
          </w:p>
        </w:tc>
        <w:tc>
          <w:tcPr>
            <w:tcW w:w="2948" w:type="dxa"/>
            <w:shd w:val="clear" w:color="auto" w:fill="F5F8FC"/>
            <w:tcMar>
              <w:top w:w="55" w:type="dxa"/>
              <w:left w:w="100" w:type="dxa"/>
              <w:bottom w:w="55" w:type="dxa"/>
              <w:right w:w="100" w:type="dxa"/>
            </w:tcMar>
            <w:vAlign w:val="center"/>
          </w:tcPr>
          <w:p w14:paraId="6A0B6585">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异常分割与道路障碍物评测</w:t>
            </w:r>
          </w:p>
        </w:tc>
        <w:tc>
          <w:tcPr>
            <w:tcW w:w="2948" w:type="dxa"/>
            <w:shd w:val="clear" w:color="auto" w:fill="F5F8FC"/>
            <w:tcMar>
              <w:top w:w="55" w:type="dxa"/>
              <w:left w:w="100" w:type="dxa"/>
              <w:bottom w:w="55" w:type="dxa"/>
              <w:right w:w="100" w:type="dxa"/>
            </w:tcMar>
            <w:vAlign w:val="center"/>
          </w:tcPr>
          <w:p w14:paraId="7C1EBCA4">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统一比较未知物体能力</w:t>
            </w:r>
          </w:p>
        </w:tc>
      </w:tr>
    </w:tbl>
    <w:p w14:paraId="67B236D2">
      <w:pPr>
        <w:pStyle w:val="4"/>
        <w:rPr>
          <w:rFonts w:hint="eastAsia" w:ascii="宋体" w:hAnsi="宋体" w:eastAsia="宋体" w:cs="宋体"/>
          <w:b w:val="0"/>
          <w:bCs/>
          <w:i w:val="0"/>
          <w:iCs w:val="0"/>
          <w:color w:val="auto"/>
        </w:rPr>
      </w:pPr>
      <w:r>
        <w:rPr>
          <w:rFonts w:hint="eastAsia" w:ascii="宋体" w:hAnsi="宋体" w:eastAsia="宋体" w:cs="宋体"/>
          <w:b w:val="0"/>
          <w:bCs/>
          <w:i w:val="0"/>
          <w:iCs w:val="0"/>
          <w:color w:val="auto"/>
        </w:rPr>
        <w:t>2.3 推荐最小组合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948"/>
        <w:gridCol w:w="2948"/>
      </w:tblGrid>
      <w:tr w14:paraId="2E95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2F5597"/>
            <w:tcMar>
              <w:top w:w="55" w:type="dxa"/>
              <w:left w:w="100" w:type="dxa"/>
              <w:bottom w:w="55" w:type="dxa"/>
              <w:right w:w="100" w:type="dxa"/>
            </w:tcMar>
            <w:vAlign w:val="center"/>
          </w:tcPr>
          <w:p w14:paraId="5C2FBA9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阶段</w:t>
            </w:r>
          </w:p>
        </w:tc>
        <w:tc>
          <w:tcPr>
            <w:tcW w:w="2948" w:type="dxa"/>
            <w:shd w:val="clear" w:color="auto" w:fill="2F5597"/>
            <w:tcMar>
              <w:top w:w="55" w:type="dxa"/>
              <w:left w:w="100" w:type="dxa"/>
              <w:bottom w:w="55" w:type="dxa"/>
              <w:right w:w="100" w:type="dxa"/>
            </w:tcMar>
            <w:vAlign w:val="center"/>
          </w:tcPr>
          <w:p w14:paraId="52F0FBA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组合</w:t>
            </w:r>
          </w:p>
        </w:tc>
        <w:tc>
          <w:tcPr>
            <w:tcW w:w="2948" w:type="dxa"/>
            <w:shd w:val="clear" w:color="auto" w:fill="2F5597"/>
            <w:tcMar>
              <w:top w:w="55" w:type="dxa"/>
              <w:left w:w="100" w:type="dxa"/>
              <w:bottom w:w="55" w:type="dxa"/>
              <w:right w:w="100" w:type="dxa"/>
            </w:tcMar>
            <w:vAlign w:val="center"/>
          </w:tcPr>
          <w:p w14:paraId="6D8AC4D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目标</w:t>
            </w:r>
          </w:p>
        </w:tc>
      </w:tr>
      <w:tr w14:paraId="219B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FFFFF"/>
            <w:tcMar>
              <w:top w:w="55" w:type="dxa"/>
              <w:left w:w="100" w:type="dxa"/>
              <w:bottom w:w="55" w:type="dxa"/>
              <w:right w:w="100" w:type="dxa"/>
            </w:tcMar>
            <w:vAlign w:val="center"/>
          </w:tcPr>
          <w:p w14:paraId="092434C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基础分割</w:t>
            </w:r>
          </w:p>
        </w:tc>
        <w:tc>
          <w:tcPr>
            <w:tcW w:w="2948" w:type="dxa"/>
            <w:shd w:val="clear" w:color="auto" w:fill="FFFFFF"/>
            <w:tcMar>
              <w:top w:w="55" w:type="dxa"/>
              <w:left w:w="100" w:type="dxa"/>
              <w:bottom w:w="55" w:type="dxa"/>
              <w:right w:w="100" w:type="dxa"/>
            </w:tcMar>
            <w:vAlign w:val="center"/>
          </w:tcPr>
          <w:p w14:paraId="72D2CBA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Cityscapes或BDD100K</w:t>
            </w:r>
          </w:p>
        </w:tc>
        <w:tc>
          <w:tcPr>
            <w:tcW w:w="2948" w:type="dxa"/>
            <w:shd w:val="clear" w:color="auto" w:fill="FFFFFF"/>
            <w:tcMar>
              <w:top w:w="55" w:type="dxa"/>
              <w:left w:w="100" w:type="dxa"/>
              <w:bottom w:w="55" w:type="dxa"/>
              <w:right w:w="100" w:type="dxa"/>
            </w:tcMar>
            <w:vAlign w:val="center"/>
          </w:tcPr>
          <w:p w14:paraId="406E8654">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跑通可行驶区域基线</w:t>
            </w:r>
          </w:p>
        </w:tc>
      </w:tr>
      <w:tr w14:paraId="1ADD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5F8FC"/>
            <w:tcMar>
              <w:top w:w="55" w:type="dxa"/>
              <w:left w:w="100" w:type="dxa"/>
              <w:bottom w:w="55" w:type="dxa"/>
              <w:right w:w="100" w:type="dxa"/>
            </w:tcMar>
            <w:vAlign w:val="center"/>
          </w:tcPr>
          <w:p w14:paraId="4C3B118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异常检测</w:t>
            </w:r>
          </w:p>
        </w:tc>
        <w:tc>
          <w:tcPr>
            <w:tcW w:w="2948" w:type="dxa"/>
            <w:shd w:val="clear" w:color="auto" w:fill="F5F8FC"/>
            <w:tcMar>
              <w:top w:w="55" w:type="dxa"/>
              <w:left w:w="100" w:type="dxa"/>
              <w:bottom w:w="55" w:type="dxa"/>
              <w:right w:w="100" w:type="dxa"/>
            </w:tcMar>
            <w:vAlign w:val="center"/>
          </w:tcPr>
          <w:p w14:paraId="7EADE11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正常道路训练集 + Lost and Found</w:t>
            </w:r>
          </w:p>
        </w:tc>
        <w:tc>
          <w:tcPr>
            <w:tcW w:w="2948" w:type="dxa"/>
            <w:shd w:val="clear" w:color="auto" w:fill="F5F8FC"/>
            <w:tcMar>
              <w:top w:w="55" w:type="dxa"/>
              <w:left w:w="100" w:type="dxa"/>
              <w:bottom w:w="55" w:type="dxa"/>
              <w:right w:w="100" w:type="dxa"/>
            </w:tcMar>
            <w:vAlign w:val="center"/>
          </w:tcPr>
          <w:p w14:paraId="1748D406">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建立未知障碍物基线</w:t>
            </w:r>
          </w:p>
        </w:tc>
      </w:tr>
      <w:tr w14:paraId="3ECE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FFFFF"/>
            <w:tcMar>
              <w:top w:w="55" w:type="dxa"/>
              <w:left w:w="100" w:type="dxa"/>
              <w:bottom w:w="55" w:type="dxa"/>
              <w:right w:w="100" w:type="dxa"/>
            </w:tcMar>
            <w:vAlign w:val="center"/>
          </w:tcPr>
          <w:p w14:paraId="5D3D9E2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泛化评估</w:t>
            </w:r>
          </w:p>
        </w:tc>
        <w:tc>
          <w:tcPr>
            <w:tcW w:w="2948" w:type="dxa"/>
            <w:shd w:val="clear" w:color="auto" w:fill="FFFFFF"/>
            <w:tcMar>
              <w:top w:w="55" w:type="dxa"/>
              <w:left w:w="100" w:type="dxa"/>
              <w:bottom w:w="55" w:type="dxa"/>
              <w:right w:w="100" w:type="dxa"/>
            </w:tcMar>
            <w:vAlign w:val="center"/>
          </w:tcPr>
          <w:p w14:paraId="2FD4BBD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Mapillary Vistas + Fishyscapes/RoadAnomaly21</w:t>
            </w:r>
          </w:p>
        </w:tc>
        <w:tc>
          <w:tcPr>
            <w:tcW w:w="2948" w:type="dxa"/>
            <w:shd w:val="clear" w:color="auto" w:fill="FFFFFF"/>
            <w:tcMar>
              <w:top w:w="55" w:type="dxa"/>
              <w:left w:w="100" w:type="dxa"/>
              <w:bottom w:w="55" w:type="dxa"/>
              <w:right w:w="100" w:type="dxa"/>
            </w:tcMar>
            <w:vAlign w:val="center"/>
          </w:tcPr>
          <w:p w14:paraId="43264824">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跨地域和未知风险评估</w:t>
            </w:r>
          </w:p>
        </w:tc>
      </w:tr>
      <w:tr w14:paraId="5B51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shd w:val="clear" w:color="auto" w:fill="F5F8FC"/>
            <w:tcMar>
              <w:top w:w="55" w:type="dxa"/>
              <w:left w:w="100" w:type="dxa"/>
              <w:bottom w:w="55" w:type="dxa"/>
              <w:right w:w="100" w:type="dxa"/>
            </w:tcMar>
            <w:vAlign w:val="center"/>
          </w:tcPr>
          <w:p w14:paraId="213CBD9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闭环验收</w:t>
            </w:r>
          </w:p>
        </w:tc>
        <w:tc>
          <w:tcPr>
            <w:tcW w:w="2948" w:type="dxa"/>
            <w:shd w:val="clear" w:color="auto" w:fill="F5F8FC"/>
            <w:tcMar>
              <w:top w:w="55" w:type="dxa"/>
              <w:left w:w="100" w:type="dxa"/>
              <w:bottom w:w="55" w:type="dxa"/>
              <w:right w:w="100" w:type="dxa"/>
            </w:tcMar>
            <w:vAlign w:val="center"/>
          </w:tcPr>
          <w:p w14:paraId="4CB0664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真实数据 + CARLA合成数据</w:t>
            </w:r>
          </w:p>
        </w:tc>
        <w:tc>
          <w:tcPr>
            <w:tcW w:w="2948" w:type="dxa"/>
            <w:shd w:val="clear" w:color="auto" w:fill="F5F8FC"/>
            <w:tcMar>
              <w:top w:w="55" w:type="dxa"/>
              <w:left w:w="100" w:type="dxa"/>
              <w:bottom w:w="55" w:type="dxa"/>
              <w:right w:w="100" w:type="dxa"/>
            </w:tcMar>
            <w:vAlign w:val="center"/>
          </w:tcPr>
          <w:p w14:paraId="6938F8CF">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验证风险状态和极端场景</w:t>
            </w:r>
          </w:p>
        </w:tc>
      </w:tr>
    </w:tbl>
    <w:p w14:paraId="1707FCC8">
      <w:pPr>
        <w:rPr>
          <w:rFonts w:hint="eastAsia" w:ascii="宋体" w:hAnsi="宋体" w:eastAsia="宋体" w:cs="宋体"/>
          <w:b w:val="0"/>
          <w:bCs/>
          <w:i w:val="0"/>
          <w:iCs w:val="0"/>
          <w:color w:val="auto"/>
        </w:rPr>
      </w:pPr>
    </w:p>
    <w:p w14:paraId="036AA373">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三、数据目录与质量要求</w:t>
      </w:r>
    </w:p>
    <w:p w14:paraId="2B5FB050">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project_road_risk/</w:t>
      </w:r>
    </w:p>
    <w:p w14:paraId="09AD2A7A">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data_raw/          # 原始数据，只读</w:t>
      </w:r>
    </w:p>
    <w:p w14:paraId="47C4FD5A">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data_processed/    # 转换后的数据</w:t>
      </w:r>
    </w:p>
    <w:p w14:paraId="33668DB5">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metadata/          # 许可、校验值、划分及数据卡</w:t>
      </w:r>
    </w:p>
    <w:p w14:paraId="287CA503">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configs/           # 数据与训练配置</w:t>
      </w:r>
    </w:p>
    <w:p w14:paraId="186C6E57">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scripts/           # 下载、转换、校验、评估脚本</w:t>
      </w:r>
    </w:p>
    <w:p w14:paraId="7FA93F04">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checkpoints/       # 模型索引与权重</w:t>
      </w:r>
    </w:p>
    <w:p w14:paraId="32D50D4D">
      <w:pPr>
        <w:shd w:val="clear" w:fill="F3F6F9"/>
        <w:spacing w:after="0" w:line="240" w:lineRule="auto"/>
        <w:ind w:left="283"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7"/>
        </w:rPr>
        <w:t xml:space="preserve">  outputs/           # 日志、预测和报告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22"/>
      </w:tblGrid>
      <w:tr w14:paraId="7D2F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422" w:type="dxa"/>
            <w:shd w:val="clear" w:color="auto" w:fill="2F5597"/>
            <w:tcMar>
              <w:top w:w="55" w:type="dxa"/>
              <w:left w:w="100" w:type="dxa"/>
              <w:bottom w:w="55" w:type="dxa"/>
              <w:right w:w="100" w:type="dxa"/>
            </w:tcMar>
            <w:vAlign w:val="center"/>
          </w:tcPr>
          <w:p w14:paraId="4656779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检查项</w:t>
            </w:r>
          </w:p>
        </w:tc>
        <w:tc>
          <w:tcPr>
            <w:tcW w:w="4422" w:type="dxa"/>
            <w:shd w:val="clear" w:color="auto" w:fill="2F5597"/>
            <w:tcMar>
              <w:top w:w="55" w:type="dxa"/>
              <w:left w:w="100" w:type="dxa"/>
              <w:bottom w:w="55" w:type="dxa"/>
              <w:right w:w="100" w:type="dxa"/>
            </w:tcMar>
            <w:vAlign w:val="center"/>
          </w:tcPr>
          <w:p w14:paraId="167D2CFE">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验收要求</w:t>
            </w:r>
          </w:p>
        </w:tc>
      </w:tr>
      <w:tr w14:paraId="63D6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01108C0A">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完整性</w:t>
            </w:r>
          </w:p>
        </w:tc>
        <w:tc>
          <w:tcPr>
            <w:tcW w:w="4422" w:type="dxa"/>
            <w:shd w:val="clear" w:color="auto" w:fill="FFFFFF"/>
            <w:tcMar>
              <w:top w:w="55" w:type="dxa"/>
              <w:left w:w="100" w:type="dxa"/>
              <w:bottom w:w="55" w:type="dxa"/>
              <w:right w:w="100" w:type="dxa"/>
            </w:tcMar>
            <w:vAlign w:val="center"/>
          </w:tcPr>
          <w:p w14:paraId="1C3755A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记录压缩包大小、文件数量和SHA256，随机抽检解压结果</w:t>
            </w:r>
          </w:p>
        </w:tc>
      </w:tr>
      <w:tr w14:paraId="3684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411D30D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标注</w:t>
            </w:r>
          </w:p>
        </w:tc>
        <w:tc>
          <w:tcPr>
            <w:tcW w:w="4422" w:type="dxa"/>
            <w:shd w:val="clear" w:color="auto" w:fill="F5F8FC"/>
            <w:tcMar>
              <w:top w:w="55" w:type="dxa"/>
              <w:left w:w="100" w:type="dxa"/>
              <w:bottom w:w="55" w:type="dxa"/>
              <w:right w:w="100" w:type="dxa"/>
            </w:tcMar>
            <w:vAlign w:val="center"/>
          </w:tcPr>
          <w:p w14:paraId="3DB02C7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验证类别、忽略区域、掩码、框、时间戳及坐标字段</w:t>
            </w:r>
          </w:p>
        </w:tc>
      </w:tr>
      <w:tr w14:paraId="21F9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276AD85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划分</w:t>
            </w:r>
          </w:p>
        </w:tc>
        <w:tc>
          <w:tcPr>
            <w:tcW w:w="4422" w:type="dxa"/>
            <w:shd w:val="clear" w:color="auto" w:fill="FFFFFF"/>
            <w:tcMar>
              <w:top w:w="55" w:type="dxa"/>
              <w:left w:w="100" w:type="dxa"/>
              <w:bottom w:w="55" w:type="dxa"/>
              <w:right w:w="100" w:type="dxa"/>
            </w:tcMar>
            <w:vAlign w:val="center"/>
          </w:tcPr>
          <w:p w14:paraId="6E2208DE">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形成train/val/test清单并检查序列泄漏</w:t>
            </w:r>
          </w:p>
        </w:tc>
      </w:tr>
      <w:tr w14:paraId="35B0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38F12CCE">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可视化</w:t>
            </w:r>
          </w:p>
        </w:tc>
        <w:tc>
          <w:tcPr>
            <w:tcW w:w="4422" w:type="dxa"/>
            <w:shd w:val="clear" w:color="auto" w:fill="F5F8FC"/>
            <w:tcMar>
              <w:top w:w="55" w:type="dxa"/>
              <w:left w:w="100" w:type="dxa"/>
              <w:bottom w:w="55" w:type="dxa"/>
              <w:right w:w="100" w:type="dxa"/>
            </w:tcMar>
            <w:vAlign w:val="center"/>
          </w:tcPr>
          <w:p w14:paraId="09C0B2D1">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每个数据集至少输出20个随机标注叠加样例</w:t>
            </w:r>
          </w:p>
        </w:tc>
      </w:tr>
      <w:tr w14:paraId="35C3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1BAD17DA">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数据卡</w:t>
            </w:r>
          </w:p>
        </w:tc>
        <w:tc>
          <w:tcPr>
            <w:tcW w:w="4422" w:type="dxa"/>
            <w:shd w:val="clear" w:color="auto" w:fill="FFFFFF"/>
            <w:tcMar>
              <w:top w:w="55" w:type="dxa"/>
              <w:left w:w="100" w:type="dxa"/>
              <w:bottom w:w="55" w:type="dxa"/>
              <w:right w:w="100" w:type="dxa"/>
            </w:tcMar>
            <w:vAlign w:val="center"/>
          </w:tcPr>
          <w:p w14:paraId="2C56FBF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记录来源、许可、规模、场景分布、限制和推荐用途</w:t>
            </w:r>
          </w:p>
        </w:tc>
      </w:tr>
    </w:tbl>
    <w:p w14:paraId="60FC7741">
      <w:pPr>
        <w:rPr>
          <w:rFonts w:hint="eastAsia" w:ascii="宋体" w:hAnsi="宋体" w:eastAsia="宋体" w:cs="宋体"/>
          <w:b w:val="0"/>
          <w:bCs/>
          <w:i w:val="0"/>
          <w:iCs w:val="0"/>
          <w:color w:val="auto"/>
        </w:rPr>
      </w:pPr>
    </w:p>
    <w:p w14:paraId="2D6021AD">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四、</w:t>
      </w:r>
      <w:r>
        <w:rPr>
          <w:rFonts w:hint="eastAsia" w:ascii="宋体" w:hAnsi="宋体" w:eastAsia="宋体" w:cs="宋体"/>
          <w:b w:val="0"/>
          <w:bCs/>
          <w:i w:val="0"/>
          <w:iCs w:val="0"/>
          <w:color w:val="auto"/>
          <w:lang w:val="en-US" w:eastAsia="zh-CN"/>
        </w:rPr>
        <w:t>硬件</w:t>
      </w:r>
      <w:r>
        <w:rPr>
          <w:rFonts w:hint="eastAsia" w:ascii="宋体" w:hAnsi="宋体" w:eastAsia="宋体" w:cs="宋体"/>
          <w:b w:val="0"/>
          <w:bCs/>
          <w:i w:val="0"/>
          <w:iCs w:val="0"/>
          <w:color w:val="auto"/>
        </w:rPr>
        <w:t>与软件环境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22"/>
      </w:tblGrid>
      <w:tr w14:paraId="35EE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422" w:type="dxa"/>
            <w:shd w:val="clear" w:color="auto" w:fill="2F5597"/>
            <w:tcMar>
              <w:top w:w="55" w:type="dxa"/>
              <w:left w:w="100" w:type="dxa"/>
              <w:bottom w:w="55" w:type="dxa"/>
              <w:right w:w="100" w:type="dxa"/>
            </w:tcMar>
            <w:vAlign w:val="center"/>
          </w:tcPr>
          <w:p w14:paraId="7E77A64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项目</w:t>
            </w:r>
          </w:p>
        </w:tc>
        <w:tc>
          <w:tcPr>
            <w:tcW w:w="4422" w:type="dxa"/>
            <w:shd w:val="clear" w:color="auto" w:fill="2F5597"/>
            <w:tcMar>
              <w:top w:w="55" w:type="dxa"/>
              <w:left w:w="100" w:type="dxa"/>
              <w:bottom w:w="55" w:type="dxa"/>
              <w:right w:w="100" w:type="dxa"/>
            </w:tcMar>
            <w:vAlign w:val="center"/>
          </w:tcPr>
          <w:p w14:paraId="5A8193D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要求</w:t>
            </w:r>
          </w:p>
        </w:tc>
      </w:tr>
      <w:tr w14:paraId="1891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34D965F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操作系统</w:t>
            </w:r>
          </w:p>
        </w:tc>
        <w:tc>
          <w:tcPr>
            <w:tcW w:w="4422" w:type="dxa"/>
            <w:shd w:val="clear" w:color="auto" w:fill="FFFFFF"/>
            <w:tcMar>
              <w:top w:w="55" w:type="dxa"/>
              <w:left w:w="100" w:type="dxa"/>
              <w:bottom w:w="55" w:type="dxa"/>
              <w:right w:w="100" w:type="dxa"/>
            </w:tcMar>
            <w:vAlign w:val="center"/>
          </w:tcPr>
          <w:p w14:paraId="591F8B3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与所选CARLA发布包兼容</w:t>
            </w:r>
          </w:p>
        </w:tc>
      </w:tr>
      <w:tr w14:paraId="2E73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2B9EA12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GPU</w:t>
            </w:r>
          </w:p>
        </w:tc>
        <w:tc>
          <w:tcPr>
            <w:tcW w:w="4422" w:type="dxa"/>
            <w:shd w:val="clear" w:color="auto" w:fill="F5F8FC"/>
            <w:tcMar>
              <w:top w:w="55" w:type="dxa"/>
              <w:left w:w="100" w:type="dxa"/>
              <w:bottom w:w="55" w:type="dxa"/>
              <w:right w:w="100" w:type="dxa"/>
            </w:tcMar>
            <w:vAlign w:val="center"/>
          </w:tcPr>
          <w:p w14:paraId="3C57555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建议</w:t>
            </w:r>
            <w:r>
              <w:rPr>
                <w:rFonts w:hint="eastAsia" w:cs="宋体"/>
                <w:b w:val="0"/>
                <w:bCs/>
                <w:i w:val="0"/>
                <w:iCs w:val="0"/>
                <w:color w:val="auto"/>
                <w:sz w:val="18"/>
                <w:lang w:val="en-US" w:eastAsia="zh-CN"/>
              </w:rPr>
              <w:t>8</w:t>
            </w:r>
            <w:r>
              <w:rPr>
                <w:rFonts w:hint="eastAsia" w:ascii="宋体" w:hAnsi="宋体" w:eastAsia="宋体" w:cs="宋体"/>
                <w:b w:val="0"/>
                <w:bCs/>
                <w:i w:val="0"/>
                <w:iCs w:val="0"/>
                <w:color w:val="auto"/>
                <w:sz w:val="18"/>
              </w:rPr>
              <w:t>GB以上显存；按训练、推理和仿真任务分配资源</w:t>
            </w:r>
          </w:p>
        </w:tc>
      </w:tr>
      <w:tr w14:paraId="5425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7746297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驱动与CUDA</w:t>
            </w:r>
          </w:p>
        </w:tc>
        <w:tc>
          <w:tcPr>
            <w:tcW w:w="4422" w:type="dxa"/>
            <w:shd w:val="clear" w:color="auto" w:fill="FFFFFF"/>
            <w:tcMar>
              <w:top w:w="55" w:type="dxa"/>
              <w:left w:w="100" w:type="dxa"/>
              <w:bottom w:w="55" w:type="dxa"/>
              <w:right w:w="100" w:type="dxa"/>
            </w:tcMar>
            <w:vAlign w:val="center"/>
          </w:tcPr>
          <w:p w14:paraId="3FE86EE7">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与PyTorch、推理框架和CARLA兼容</w:t>
            </w:r>
          </w:p>
        </w:tc>
      </w:tr>
      <w:tr w14:paraId="013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23EA6EC6">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环境隔离</w:t>
            </w:r>
          </w:p>
        </w:tc>
        <w:tc>
          <w:tcPr>
            <w:tcW w:w="4422" w:type="dxa"/>
            <w:shd w:val="clear" w:color="auto" w:fill="F5F8FC"/>
            <w:tcMar>
              <w:top w:w="55" w:type="dxa"/>
              <w:left w:w="100" w:type="dxa"/>
              <w:bottom w:w="55" w:type="dxa"/>
              <w:right w:w="100" w:type="dxa"/>
            </w:tcMar>
            <w:vAlign w:val="center"/>
          </w:tcPr>
          <w:p w14:paraId="40DA0A5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使用Conda或容器固定Python及依赖</w:t>
            </w:r>
          </w:p>
        </w:tc>
      </w:tr>
      <w:tr w14:paraId="70B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4944BBC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资源管理</w:t>
            </w:r>
          </w:p>
        </w:tc>
        <w:tc>
          <w:tcPr>
            <w:tcW w:w="4422" w:type="dxa"/>
            <w:shd w:val="clear" w:color="auto" w:fill="FFFFFF"/>
            <w:tcMar>
              <w:top w:w="55" w:type="dxa"/>
              <w:left w:w="100" w:type="dxa"/>
              <w:bottom w:w="55" w:type="dxa"/>
              <w:right w:w="100" w:type="dxa"/>
            </w:tcMar>
            <w:vAlign w:val="center"/>
          </w:tcPr>
          <w:p w14:paraId="4F697A3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限定GPU、CPU、内存、磁盘和端口，禁止无约束占用</w:t>
            </w:r>
          </w:p>
        </w:tc>
      </w:tr>
      <w:tr w14:paraId="5358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48E98F8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验证</w:t>
            </w:r>
          </w:p>
        </w:tc>
        <w:tc>
          <w:tcPr>
            <w:tcW w:w="4422" w:type="dxa"/>
            <w:shd w:val="clear" w:color="auto" w:fill="F5F8FC"/>
            <w:tcMar>
              <w:top w:w="55" w:type="dxa"/>
              <w:left w:w="100" w:type="dxa"/>
              <w:bottom w:w="55" w:type="dxa"/>
              <w:right w:w="100" w:type="dxa"/>
            </w:tcMar>
            <w:vAlign w:val="center"/>
          </w:tcPr>
          <w:p w14:paraId="171F0DC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保存nvidia-smi、Python、PyTorch、CUDA和CARLA版本信息</w:t>
            </w:r>
          </w:p>
        </w:tc>
      </w:tr>
    </w:tbl>
    <w:p w14:paraId="0404A265">
      <w:pPr>
        <w:rPr>
          <w:rFonts w:hint="eastAsia" w:ascii="宋体" w:hAnsi="宋体" w:eastAsia="宋体" w:cs="宋体"/>
          <w:b w:val="0"/>
          <w:bCs/>
          <w:i w:val="0"/>
          <w:iCs w:val="0"/>
          <w:color w:val="auto"/>
        </w:rPr>
      </w:pPr>
    </w:p>
    <w:p w14:paraId="57EE6453">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五、CARLA部署要求</w:t>
      </w:r>
    </w:p>
    <w:p w14:paraId="192DF7A4">
      <w:pPr>
        <w:pStyle w:val="4"/>
        <w:rPr>
          <w:rFonts w:hint="eastAsia" w:ascii="宋体" w:hAnsi="宋体" w:eastAsia="宋体" w:cs="宋体"/>
          <w:b w:val="0"/>
          <w:bCs/>
          <w:i w:val="0"/>
          <w:iCs w:val="0"/>
          <w:color w:val="auto"/>
        </w:rPr>
      </w:pPr>
      <w:r>
        <w:rPr>
          <w:rFonts w:hint="eastAsia" w:ascii="宋体" w:hAnsi="宋体" w:eastAsia="宋体" w:cs="宋体"/>
          <w:b w:val="0"/>
          <w:bCs/>
          <w:i w:val="0"/>
          <w:iCs w:val="0"/>
          <w:color w:val="auto"/>
        </w:rPr>
        <w:t>5.1 基本要求</w:t>
      </w:r>
    </w:p>
    <w:p w14:paraId="4C8E6495">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采用与服务器系统兼容的CARLA预编译发布包。</w:t>
      </w:r>
    </w:p>
    <w:p w14:paraId="0A7B1E5B">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CARLA Python API版本必须与服务端版本一致。</w:t>
      </w:r>
    </w:p>
    <w:p w14:paraId="7C27D4A2">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使用同步模式和固定时间步长保证图像、物理状态与真值对齐。</w:t>
      </w:r>
    </w:p>
    <w:p w14:paraId="7DE67D44">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无显示器服务器采用离屏渲染，并完成连续帧稳定性测试。</w:t>
      </w:r>
    </w:p>
    <w:p w14:paraId="2F0EDF46">
      <w:pPr>
        <w:pStyle w:val="4"/>
        <w:rPr>
          <w:rFonts w:hint="eastAsia" w:ascii="宋体" w:hAnsi="宋体" w:eastAsia="宋体" w:cs="宋体"/>
          <w:b w:val="0"/>
          <w:bCs/>
          <w:i w:val="0"/>
          <w:iCs w:val="0"/>
          <w:color w:val="auto"/>
        </w:rPr>
      </w:pPr>
      <w:r>
        <w:rPr>
          <w:rFonts w:hint="eastAsia" w:ascii="宋体" w:hAnsi="宋体" w:eastAsia="宋体" w:cs="宋体"/>
          <w:b w:val="0"/>
          <w:bCs/>
          <w:i w:val="0"/>
          <w:iCs w:val="0"/>
          <w:color w:val="auto"/>
        </w:rPr>
        <w:t>5.2 最小连通性验收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22"/>
      </w:tblGrid>
      <w:tr w14:paraId="08E6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422" w:type="dxa"/>
            <w:shd w:val="clear" w:color="auto" w:fill="2F5597"/>
            <w:tcMar>
              <w:top w:w="55" w:type="dxa"/>
              <w:left w:w="100" w:type="dxa"/>
              <w:bottom w:w="55" w:type="dxa"/>
              <w:right w:w="100" w:type="dxa"/>
            </w:tcMar>
            <w:vAlign w:val="center"/>
          </w:tcPr>
          <w:p w14:paraId="6AB377B1">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步骤</w:t>
            </w:r>
          </w:p>
        </w:tc>
        <w:tc>
          <w:tcPr>
            <w:tcW w:w="4422" w:type="dxa"/>
            <w:shd w:val="clear" w:color="auto" w:fill="2F5597"/>
            <w:tcMar>
              <w:top w:w="55" w:type="dxa"/>
              <w:left w:w="100" w:type="dxa"/>
              <w:bottom w:w="55" w:type="dxa"/>
              <w:right w:w="100" w:type="dxa"/>
            </w:tcMar>
            <w:vAlign w:val="center"/>
          </w:tcPr>
          <w:p w14:paraId="5E92BF96">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验收结果</w:t>
            </w:r>
          </w:p>
        </w:tc>
      </w:tr>
      <w:tr w14:paraId="4858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0221F05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启动服务端</w:t>
            </w:r>
          </w:p>
        </w:tc>
        <w:tc>
          <w:tcPr>
            <w:tcW w:w="4422" w:type="dxa"/>
            <w:shd w:val="clear" w:color="auto" w:fill="FFFFFF"/>
            <w:tcMar>
              <w:top w:w="55" w:type="dxa"/>
              <w:left w:w="100" w:type="dxa"/>
              <w:bottom w:w="55" w:type="dxa"/>
              <w:right w:w="100" w:type="dxa"/>
            </w:tcMar>
            <w:vAlign w:val="center"/>
          </w:tcPr>
          <w:p w14:paraId="117B08D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日志无致命错误，端口可连接</w:t>
            </w:r>
          </w:p>
        </w:tc>
      </w:tr>
      <w:tr w14:paraId="7EF3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53E5FE65">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客户端连接</w:t>
            </w:r>
          </w:p>
        </w:tc>
        <w:tc>
          <w:tcPr>
            <w:tcW w:w="4422" w:type="dxa"/>
            <w:shd w:val="clear" w:color="auto" w:fill="F5F8FC"/>
            <w:tcMar>
              <w:top w:w="55" w:type="dxa"/>
              <w:left w:w="100" w:type="dxa"/>
              <w:bottom w:w="55" w:type="dxa"/>
              <w:right w:w="100" w:type="dxa"/>
            </w:tcMar>
            <w:vAlign w:val="center"/>
          </w:tcPr>
          <w:p w14:paraId="1E2C2891">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成功读取world和map</w:t>
            </w:r>
          </w:p>
        </w:tc>
      </w:tr>
      <w:tr w14:paraId="5F20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6333616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生成自车</w:t>
            </w:r>
          </w:p>
        </w:tc>
        <w:tc>
          <w:tcPr>
            <w:tcW w:w="4422" w:type="dxa"/>
            <w:shd w:val="clear" w:color="auto" w:fill="FFFFFF"/>
            <w:tcMar>
              <w:top w:w="55" w:type="dxa"/>
              <w:left w:w="100" w:type="dxa"/>
              <w:bottom w:w="55" w:type="dxa"/>
              <w:right w:w="100" w:type="dxa"/>
            </w:tcMar>
            <w:vAlign w:val="center"/>
          </w:tcPr>
          <w:p w14:paraId="65D610E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车辆稳定生成并可控制</w:t>
            </w:r>
          </w:p>
        </w:tc>
      </w:tr>
      <w:tr w14:paraId="7712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5368DC0A">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挂载传感器</w:t>
            </w:r>
          </w:p>
        </w:tc>
        <w:tc>
          <w:tcPr>
            <w:tcW w:w="4422" w:type="dxa"/>
            <w:shd w:val="clear" w:color="auto" w:fill="F5F8FC"/>
            <w:tcMar>
              <w:top w:w="55" w:type="dxa"/>
              <w:left w:w="100" w:type="dxa"/>
              <w:bottom w:w="55" w:type="dxa"/>
              <w:right w:w="100" w:type="dxa"/>
            </w:tcMar>
            <w:vAlign w:val="center"/>
          </w:tcPr>
          <w:p w14:paraId="176668F1">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RGB、深度、语义分割回调正常</w:t>
            </w:r>
          </w:p>
        </w:tc>
      </w:tr>
      <w:tr w14:paraId="17B3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311FE3B7">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同步采集</w:t>
            </w:r>
          </w:p>
        </w:tc>
        <w:tc>
          <w:tcPr>
            <w:tcW w:w="4422" w:type="dxa"/>
            <w:shd w:val="clear" w:color="auto" w:fill="FFFFFF"/>
            <w:tcMar>
              <w:top w:w="55" w:type="dxa"/>
              <w:left w:w="100" w:type="dxa"/>
              <w:bottom w:w="55" w:type="dxa"/>
              <w:right w:w="100" w:type="dxa"/>
            </w:tcMar>
            <w:vAlign w:val="center"/>
          </w:tcPr>
          <w:p w14:paraId="1B24047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frame_id一致并连续落盘不少于1000帧</w:t>
            </w:r>
          </w:p>
        </w:tc>
      </w:tr>
    </w:tbl>
    <w:p w14:paraId="12C69409">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六、仿真场景要求</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2211"/>
        <w:gridCol w:w="2211"/>
        <w:gridCol w:w="2211"/>
      </w:tblGrid>
      <w:tr w14:paraId="3574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11" w:type="dxa"/>
            <w:shd w:val="clear" w:color="auto" w:fill="2F5597"/>
            <w:tcMar>
              <w:top w:w="55" w:type="dxa"/>
              <w:left w:w="100" w:type="dxa"/>
              <w:bottom w:w="55" w:type="dxa"/>
              <w:right w:w="100" w:type="dxa"/>
            </w:tcMar>
            <w:vAlign w:val="center"/>
          </w:tcPr>
          <w:p w14:paraId="58880755">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场景</w:t>
            </w:r>
          </w:p>
        </w:tc>
        <w:tc>
          <w:tcPr>
            <w:tcW w:w="2211" w:type="dxa"/>
            <w:shd w:val="clear" w:color="auto" w:fill="2F5597"/>
            <w:tcMar>
              <w:top w:w="55" w:type="dxa"/>
              <w:left w:w="100" w:type="dxa"/>
              <w:bottom w:w="55" w:type="dxa"/>
              <w:right w:w="100" w:type="dxa"/>
            </w:tcMar>
            <w:vAlign w:val="center"/>
          </w:tcPr>
          <w:p w14:paraId="112CC3E6">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注入对象</w:t>
            </w:r>
          </w:p>
        </w:tc>
        <w:tc>
          <w:tcPr>
            <w:tcW w:w="2211" w:type="dxa"/>
            <w:shd w:val="clear" w:color="auto" w:fill="2F5597"/>
            <w:tcMar>
              <w:top w:w="55" w:type="dxa"/>
              <w:left w:w="100" w:type="dxa"/>
              <w:bottom w:w="55" w:type="dxa"/>
              <w:right w:w="100" w:type="dxa"/>
            </w:tcMar>
            <w:vAlign w:val="center"/>
          </w:tcPr>
          <w:p w14:paraId="1BA1BDA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变量</w:t>
            </w:r>
          </w:p>
        </w:tc>
        <w:tc>
          <w:tcPr>
            <w:tcW w:w="2211" w:type="dxa"/>
            <w:shd w:val="clear" w:color="auto" w:fill="2F5597"/>
            <w:tcMar>
              <w:top w:w="55" w:type="dxa"/>
              <w:left w:w="100" w:type="dxa"/>
              <w:bottom w:w="55" w:type="dxa"/>
              <w:right w:w="100" w:type="dxa"/>
            </w:tcMar>
            <w:vAlign w:val="center"/>
          </w:tcPr>
          <w:p w14:paraId="59840F5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预期真值</w:t>
            </w:r>
          </w:p>
        </w:tc>
      </w:tr>
      <w:tr w14:paraId="127E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shd w:val="clear" w:color="auto" w:fill="FFFFFF"/>
            <w:tcMar>
              <w:top w:w="55" w:type="dxa"/>
              <w:left w:w="100" w:type="dxa"/>
              <w:bottom w:w="55" w:type="dxa"/>
              <w:right w:w="100" w:type="dxa"/>
            </w:tcMar>
            <w:vAlign w:val="center"/>
          </w:tcPr>
          <w:p w14:paraId="3EF9262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施工改道</w:t>
            </w:r>
          </w:p>
        </w:tc>
        <w:tc>
          <w:tcPr>
            <w:tcW w:w="2211" w:type="dxa"/>
            <w:shd w:val="clear" w:color="auto" w:fill="FFFFFF"/>
            <w:tcMar>
              <w:top w:w="55" w:type="dxa"/>
              <w:left w:w="100" w:type="dxa"/>
              <w:bottom w:w="55" w:type="dxa"/>
              <w:right w:w="100" w:type="dxa"/>
            </w:tcMar>
            <w:vAlign w:val="center"/>
          </w:tcPr>
          <w:p w14:paraId="3CC0DAC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锥桶、护栏、施工车辆</w:t>
            </w:r>
          </w:p>
        </w:tc>
        <w:tc>
          <w:tcPr>
            <w:tcW w:w="2211" w:type="dxa"/>
            <w:shd w:val="clear" w:color="auto" w:fill="FFFFFF"/>
            <w:tcMar>
              <w:top w:w="55" w:type="dxa"/>
              <w:left w:w="100" w:type="dxa"/>
              <w:bottom w:w="55" w:type="dxa"/>
              <w:right w:w="100" w:type="dxa"/>
            </w:tcMar>
            <w:vAlign w:val="center"/>
          </w:tcPr>
          <w:p w14:paraId="72E62352">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布局、间距、天气、车速</w:t>
            </w:r>
          </w:p>
        </w:tc>
        <w:tc>
          <w:tcPr>
            <w:tcW w:w="2211" w:type="dxa"/>
            <w:shd w:val="clear" w:color="auto" w:fill="FFFFFF"/>
            <w:tcMar>
              <w:top w:w="55" w:type="dxa"/>
              <w:left w:w="100" w:type="dxa"/>
              <w:bottom w:w="55" w:type="dxa"/>
              <w:right w:w="100" w:type="dxa"/>
            </w:tcMar>
            <w:vAlign w:val="center"/>
          </w:tcPr>
          <w:p w14:paraId="45A4F5B2">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封闭区域与可行驶区域</w:t>
            </w:r>
          </w:p>
        </w:tc>
      </w:tr>
      <w:tr w14:paraId="6121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shd w:val="clear" w:color="auto" w:fill="F5F8FC"/>
            <w:tcMar>
              <w:top w:w="55" w:type="dxa"/>
              <w:left w:w="100" w:type="dxa"/>
              <w:bottom w:w="55" w:type="dxa"/>
              <w:right w:w="100" w:type="dxa"/>
            </w:tcMar>
            <w:vAlign w:val="center"/>
          </w:tcPr>
          <w:p w14:paraId="030F41C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道路遗撒</w:t>
            </w:r>
          </w:p>
        </w:tc>
        <w:tc>
          <w:tcPr>
            <w:tcW w:w="2211" w:type="dxa"/>
            <w:shd w:val="clear" w:color="auto" w:fill="F5F8FC"/>
            <w:tcMar>
              <w:top w:w="55" w:type="dxa"/>
              <w:left w:w="100" w:type="dxa"/>
              <w:bottom w:w="55" w:type="dxa"/>
              <w:right w:w="100" w:type="dxa"/>
            </w:tcMar>
            <w:vAlign w:val="center"/>
          </w:tcPr>
          <w:p w14:paraId="1B49DC0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纸箱、轮胎、木板或自定义资产</w:t>
            </w:r>
          </w:p>
        </w:tc>
        <w:tc>
          <w:tcPr>
            <w:tcW w:w="2211" w:type="dxa"/>
            <w:shd w:val="clear" w:color="auto" w:fill="F5F8FC"/>
            <w:tcMar>
              <w:top w:w="55" w:type="dxa"/>
              <w:left w:w="100" w:type="dxa"/>
              <w:bottom w:w="55" w:type="dxa"/>
              <w:right w:w="100" w:type="dxa"/>
            </w:tcMar>
            <w:vAlign w:val="center"/>
          </w:tcPr>
          <w:p w14:paraId="20618ACB">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尺寸、颜色、距离、遮挡</w:t>
            </w:r>
          </w:p>
        </w:tc>
        <w:tc>
          <w:tcPr>
            <w:tcW w:w="2211" w:type="dxa"/>
            <w:shd w:val="clear" w:color="auto" w:fill="F5F8FC"/>
            <w:tcMar>
              <w:top w:w="55" w:type="dxa"/>
              <w:left w:w="100" w:type="dxa"/>
              <w:bottom w:w="55" w:type="dxa"/>
              <w:right w:w="100" w:type="dxa"/>
            </w:tcMar>
            <w:vAlign w:val="center"/>
          </w:tcPr>
          <w:p w14:paraId="16A9BB3E">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障碍物实例、距离、占道比例</w:t>
            </w:r>
          </w:p>
        </w:tc>
      </w:tr>
      <w:tr w14:paraId="0109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shd w:val="clear" w:color="auto" w:fill="FFFFFF"/>
            <w:tcMar>
              <w:top w:w="55" w:type="dxa"/>
              <w:left w:w="100" w:type="dxa"/>
              <w:bottom w:w="55" w:type="dxa"/>
              <w:right w:w="100" w:type="dxa"/>
            </w:tcMar>
            <w:vAlign w:val="center"/>
          </w:tcPr>
          <w:p w14:paraId="5DFA146E">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坑洼破损</w:t>
            </w:r>
          </w:p>
        </w:tc>
        <w:tc>
          <w:tcPr>
            <w:tcW w:w="2211" w:type="dxa"/>
            <w:shd w:val="clear" w:color="auto" w:fill="FFFFFF"/>
            <w:tcMar>
              <w:top w:w="55" w:type="dxa"/>
              <w:left w:w="100" w:type="dxa"/>
              <w:bottom w:w="55" w:type="dxa"/>
              <w:right w:w="100" w:type="dxa"/>
            </w:tcMar>
            <w:vAlign w:val="center"/>
          </w:tcPr>
          <w:p w14:paraId="2294935D">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道路材质或自定义资产</w:t>
            </w:r>
          </w:p>
        </w:tc>
        <w:tc>
          <w:tcPr>
            <w:tcW w:w="2211" w:type="dxa"/>
            <w:shd w:val="clear" w:color="auto" w:fill="FFFFFF"/>
            <w:tcMar>
              <w:top w:w="55" w:type="dxa"/>
              <w:left w:w="100" w:type="dxa"/>
              <w:bottom w:w="55" w:type="dxa"/>
              <w:right w:w="100" w:type="dxa"/>
            </w:tcMar>
            <w:vAlign w:val="center"/>
          </w:tcPr>
          <w:p w14:paraId="086F593F">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面积、深度、阴影、积水</w:t>
            </w:r>
          </w:p>
        </w:tc>
        <w:tc>
          <w:tcPr>
            <w:tcW w:w="2211" w:type="dxa"/>
            <w:shd w:val="clear" w:color="auto" w:fill="FFFFFF"/>
            <w:tcMar>
              <w:top w:w="55" w:type="dxa"/>
              <w:left w:w="100" w:type="dxa"/>
              <w:bottom w:w="55" w:type="dxa"/>
              <w:right w:w="100" w:type="dxa"/>
            </w:tcMar>
            <w:vAlign w:val="center"/>
          </w:tcPr>
          <w:p w14:paraId="280B8741">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路面风险区域</w:t>
            </w:r>
          </w:p>
        </w:tc>
      </w:tr>
      <w:tr w14:paraId="38D1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shd w:val="clear" w:color="auto" w:fill="F5F8FC"/>
            <w:tcMar>
              <w:top w:w="55" w:type="dxa"/>
              <w:left w:w="100" w:type="dxa"/>
              <w:bottom w:w="55" w:type="dxa"/>
              <w:right w:w="100" w:type="dxa"/>
            </w:tcMar>
            <w:vAlign w:val="center"/>
          </w:tcPr>
          <w:p w14:paraId="4E8239E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事故占道</w:t>
            </w:r>
          </w:p>
        </w:tc>
        <w:tc>
          <w:tcPr>
            <w:tcW w:w="2211" w:type="dxa"/>
            <w:shd w:val="clear" w:color="auto" w:fill="F5F8FC"/>
            <w:tcMar>
              <w:top w:w="55" w:type="dxa"/>
              <w:left w:w="100" w:type="dxa"/>
              <w:bottom w:w="55" w:type="dxa"/>
              <w:right w:w="100" w:type="dxa"/>
            </w:tcMar>
            <w:vAlign w:val="center"/>
          </w:tcPr>
          <w:p w14:paraId="73AC9478">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静止车辆、散落物、警示牌</w:t>
            </w:r>
          </w:p>
        </w:tc>
        <w:tc>
          <w:tcPr>
            <w:tcW w:w="2211" w:type="dxa"/>
            <w:shd w:val="clear" w:color="auto" w:fill="F5F8FC"/>
            <w:tcMar>
              <w:top w:w="55" w:type="dxa"/>
              <w:left w:w="100" w:type="dxa"/>
              <w:bottom w:w="55" w:type="dxa"/>
              <w:right w:w="100" w:type="dxa"/>
            </w:tcMar>
            <w:vAlign w:val="center"/>
          </w:tcPr>
          <w:p w14:paraId="435136DF">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占用比例、弯道遮挡</w:t>
            </w:r>
          </w:p>
        </w:tc>
        <w:tc>
          <w:tcPr>
            <w:tcW w:w="2211" w:type="dxa"/>
            <w:shd w:val="clear" w:color="auto" w:fill="F5F8FC"/>
            <w:tcMar>
              <w:top w:w="55" w:type="dxa"/>
              <w:left w:w="100" w:type="dxa"/>
              <w:bottom w:w="55" w:type="dxa"/>
              <w:right w:w="100" w:type="dxa"/>
            </w:tcMar>
            <w:vAlign w:val="center"/>
          </w:tcPr>
          <w:p w14:paraId="4E67B777">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冲突关系与风险等级</w:t>
            </w:r>
          </w:p>
        </w:tc>
      </w:tr>
      <w:tr w14:paraId="2CF0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1" w:type="dxa"/>
            <w:shd w:val="clear" w:color="auto" w:fill="FFFFFF"/>
            <w:tcMar>
              <w:top w:w="55" w:type="dxa"/>
              <w:left w:w="100" w:type="dxa"/>
              <w:bottom w:w="55" w:type="dxa"/>
              <w:right w:w="100" w:type="dxa"/>
            </w:tcMar>
            <w:vAlign w:val="center"/>
          </w:tcPr>
          <w:p w14:paraId="31DA0E3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感知降级</w:t>
            </w:r>
          </w:p>
        </w:tc>
        <w:tc>
          <w:tcPr>
            <w:tcW w:w="2211" w:type="dxa"/>
            <w:shd w:val="clear" w:color="auto" w:fill="FFFFFF"/>
            <w:tcMar>
              <w:top w:w="55" w:type="dxa"/>
              <w:left w:w="100" w:type="dxa"/>
              <w:bottom w:w="55" w:type="dxa"/>
              <w:right w:w="100" w:type="dxa"/>
            </w:tcMar>
            <w:vAlign w:val="center"/>
          </w:tcPr>
          <w:p w14:paraId="0D506BA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暴雨、夜间、逆光、镜头退化</w:t>
            </w:r>
          </w:p>
        </w:tc>
        <w:tc>
          <w:tcPr>
            <w:tcW w:w="2211" w:type="dxa"/>
            <w:shd w:val="clear" w:color="auto" w:fill="FFFFFF"/>
            <w:tcMar>
              <w:top w:w="55" w:type="dxa"/>
              <w:left w:w="100" w:type="dxa"/>
              <w:bottom w:w="55" w:type="dxa"/>
              <w:right w:w="100" w:type="dxa"/>
            </w:tcMar>
            <w:vAlign w:val="center"/>
          </w:tcPr>
          <w:p w14:paraId="2F950350">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雨量、曝光、遮挡率</w:t>
            </w:r>
          </w:p>
        </w:tc>
        <w:tc>
          <w:tcPr>
            <w:tcW w:w="2211" w:type="dxa"/>
            <w:shd w:val="clear" w:color="auto" w:fill="FFFFFF"/>
            <w:tcMar>
              <w:top w:w="55" w:type="dxa"/>
              <w:left w:w="100" w:type="dxa"/>
              <w:bottom w:w="55" w:type="dxa"/>
              <w:right w:w="100" w:type="dxa"/>
            </w:tcMar>
            <w:vAlign w:val="center"/>
          </w:tcPr>
          <w:p w14:paraId="563BA890">
            <w:pPr>
              <w:spacing w:after="0" w:line="252" w:lineRule="auto"/>
              <w:ind w:firstLine="0"/>
              <w:jc w:val="left"/>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degraded/unavailable</w:t>
            </w:r>
          </w:p>
        </w:tc>
      </w:tr>
    </w:tbl>
    <w:p w14:paraId="7AB5CE9E">
      <w:pPr>
        <w:rPr>
          <w:rFonts w:hint="eastAsia" w:ascii="宋体" w:hAnsi="宋体" w:eastAsia="宋体" w:cs="宋体"/>
          <w:b w:val="0"/>
          <w:bCs/>
          <w:i w:val="0"/>
          <w:iCs w:val="0"/>
          <w:color w:val="auto"/>
        </w:rPr>
      </w:pPr>
    </w:p>
    <w:p w14:paraId="0E484DF5">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七、Ground Truth导出要求</w:t>
      </w:r>
    </w:p>
    <w:p w14:paraId="34C03614">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保存frame_id、仿真时间戳、地图、天气、随机种子和场景编号。</w:t>
      </w:r>
    </w:p>
    <w:p w14:paraId="73A341A4">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保存自车位姿、速度、加速度、转向角和预测行驶走廊。</w:t>
      </w:r>
    </w:p>
    <w:p w14:paraId="0AC30C79">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保存每个障碍物Actor ID、类别、3D包围框、距离和车道占用。</w:t>
      </w:r>
    </w:p>
    <w:p w14:paraId="46839125">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同步输出RGB、语义分割、实例分割和深度。</w:t>
      </w:r>
    </w:p>
    <w:p w14:paraId="56758113">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保存风险真值：走廊交叠、TTC、风险等级和主要原因。</w:t>
      </w:r>
    </w:p>
    <w:p w14:paraId="17A0BA63">
      <w:pPr>
        <w:ind w:left="425" w:firstLine="0"/>
        <w:rPr>
          <w:rFonts w:hint="eastAsia" w:ascii="宋体" w:hAnsi="宋体" w:eastAsia="宋体" w:cs="宋体"/>
          <w:b w:val="0"/>
          <w:bCs/>
          <w:i w:val="0"/>
          <w:iCs w:val="0"/>
          <w:color w:val="auto"/>
        </w:rPr>
      </w:pPr>
      <w:r>
        <w:rPr>
          <w:rFonts w:hint="eastAsia" w:ascii="宋体" w:hAnsi="宋体" w:eastAsia="宋体" w:cs="宋体"/>
          <w:b w:val="0"/>
          <w:bCs/>
          <w:i w:val="0"/>
          <w:iCs w:val="0"/>
          <w:color w:val="auto"/>
        </w:rPr>
        <w:t>• 未知类别实验必须保证测试异常资产未以相同或近重复形式进入训练集。</w:t>
      </w:r>
    </w:p>
    <w:p w14:paraId="2C19081C">
      <w:pPr>
        <w:pStyle w:val="3"/>
        <w:rPr>
          <w:rFonts w:hint="eastAsia" w:ascii="宋体" w:hAnsi="宋体" w:eastAsia="宋体" w:cs="宋体"/>
          <w:b w:val="0"/>
          <w:bCs/>
          <w:i w:val="0"/>
          <w:iCs w:val="0"/>
          <w:color w:val="auto"/>
        </w:rPr>
      </w:pPr>
      <w:r>
        <w:rPr>
          <w:rFonts w:hint="eastAsia" w:ascii="宋体" w:hAnsi="宋体" w:eastAsia="宋体" w:cs="宋体"/>
          <w:b w:val="0"/>
          <w:bCs/>
          <w:i w:val="0"/>
          <w:iCs w:val="0"/>
          <w:color w:val="auto"/>
        </w:rPr>
        <w:t>八、仿真数据验收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22"/>
      </w:tblGrid>
      <w:tr w14:paraId="5D8B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422" w:type="dxa"/>
            <w:shd w:val="clear" w:color="auto" w:fill="2F5597"/>
            <w:tcMar>
              <w:top w:w="55" w:type="dxa"/>
              <w:left w:w="100" w:type="dxa"/>
              <w:bottom w:w="55" w:type="dxa"/>
              <w:right w:w="100" w:type="dxa"/>
            </w:tcMar>
            <w:vAlign w:val="center"/>
          </w:tcPr>
          <w:p w14:paraId="63270AB3">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检查项</w:t>
            </w:r>
          </w:p>
        </w:tc>
        <w:tc>
          <w:tcPr>
            <w:tcW w:w="4422" w:type="dxa"/>
            <w:shd w:val="clear" w:color="auto" w:fill="2F5597"/>
            <w:tcMar>
              <w:top w:w="55" w:type="dxa"/>
              <w:left w:w="100" w:type="dxa"/>
              <w:bottom w:w="55" w:type="dxa"/>
              <w:right w:w="100" w:type="dxa"/>
            </w:tcMar>
            <w:vAlign w:val="center"/>
          </w:tcPr>
          <w:p w14:paraId="34BF45A9">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通过条件</w:t>
            </w:r>
          </w:p>
        </w:tc>
      </w:tr>
      <w:tr w14:paraId="5FAD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1C954834">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同步性</w:t>
            </w:r>
          </w:p>
        </w:tc>
        <w:tc>
          <w:tcPr>
            <w:tcW w:w="4422" w:type="dxa"/>
            <w:shd w:val="clear" w:color="auto" w:fill="FFFFFF"/>
            <w:tcMar>
              <w:top w:w="55" w:type="dxa"/>
              <w:left w:w="100" w:type="dxa"/>
              <w:bottom w:w="55" w:type="dxa"/>
              <w:right w:w="100" w:type="dxa"/>
            </w:tcMar>
            <w:vAlign w:val="center"/>
          </w:tcPr>
          <w:p w14:paraId="34AA2700">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各传感器frame_id与物理状态严格对应</w:t>
            </w:r>
          </w:p>
        </w:tc>
      </w:tr>
      <w:tr w14:paraId="1812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63E64637">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可复现性</w:t>
            </w:r>
          </w:p>
        </w:tc>
        <w:tc>
          <w:tcPr>
            <w:tcW w:w="4422" w:type="dxa"/>
            <w:shd w:val="clear" w:color="auto" w:fill="F5F8FC"/>
            <w:tcMar>
              <w:top w:w="55" w:type="dxa"/>
              <w:left w:w="100" w:type="dxa"/>
              <w:bottom w:w="55" w:type="dxa"/>
              <w:right w:w="100" w:type="dxa"/>
            </w:tcMar>
            <w:vAlign w:val="center"/>
          </w:tcPr>
          <w:p w14:paraId="53339C72">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相同配置和随机种子可重建场景</w:t>
            </w:r>
          </w:p>
        </w:tc>
      </w:tr>
      <w:tr w14:paraId="28AD4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0F0FD305">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标注质量</w:t>
            </w:r>
          </w:p>
        </w:tc>
        <w:tc>
          <w:tcPr>
            <w:tcW w:w="4422" w:type="dxa"/>
            <w:shd w:val="clear" w:color="auto" w:fill="FFFFFF"/>
            <w:tcMar>
              <w:top w:w="55" w:type="dxa"/>
              <w:left w:w="100" w:type="dxa"/>
              <w:bottom w:w="55" w:type="dxa"/>
              <w:right w:w="100" w:type="dxa"/>
            </w:tcMar>
            <w:vAlign w:val="center"/>
          </w:tcPr>
          <w:p w14:paraId="3B5FC416">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2D/3D投影正确，无系统性坐标偏移</w:t>
            </w:r>
          </w:p>
        </w:tc>
      </w:tr>
      <w:tr w14:paraId="70FA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5F8FC"/>
            <w:tcMar>
              <w:top w:w="55" w:type="dxa"/>
              <w:left w:w="100" w:type="dxa"/>
              <w:bottom w:w="55" w:type="dxa"/>
              <w:right w:w="100" w:type="dxa"/>
            </w:tcMar>
            <w:vAlign w:val="center"/>
          </w:tcPr>
          <w:p w14:paraId="7B8134FF">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覆盖度</w:t>
            </w:r>
          </w:p>
        </w:tc>
        <w:tc>
          <w:tcPr>
            <w:tcW w:w="4422" w:type="dxa"/>
            <w:shd w:val="clear" w:color="auto" w:fill="F5F8FC"/>
            <w:tcMar>
              <w:top w:w="55" w:type="dxa"/>
              <w:left w:w="100" w:type="dxa"/>
              <w:bottom w:w="55" w:type="dxa"/>
              <w:right w:w="100" w:type="dxa"/>
            </w:tcMar>
            <w:vAlign w:val="center"/>
          </w:tcPr>
          <w:p w14:paraId="031DC66B">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每类场景包含距离、速度、天气和遮挡组合</w:t>
            </w:r>
          </w:p>
        </w:tc>
      </w:tr>
      <w:tr w14:paraId="4ED7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22" w:type="dxa"/>
            <w:shd w:val="clear" w:color="auto" w:fill="FFFFFF"/>
            <w:tcMar>
              <w:top w:w="55" w:type="dxa"/>
              <w:left w:w="100" w:type="dxa"/>
              <w:bottom w:w="55" w:type="dxa"/>
              <w:right w:w="100" w:type="dxa"/>
            </w:tcMar>
            <w:vAlign w:val="center"/>
          </w:tcPr>
          <w:p w14:paraId="57DF5E76">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可用性</w:t>
            </w:r>
          </w:p>
        </w:tc>
        <w:tc>
          <w:tcPr>
            <w:tcW w:w="4422" w:type="dxa"/>
            <w:shd w:val="clear" w:color="auto" w:fill="FFFFFF"/>
            <w:tcMar>
              <w:top w:w="55" w:type="dxa"/>
              <w:left w:w="100" w:type="dxa"/>
              <w:bottom w:w="55" w:type="dxa"/>
              <w:right w:w="100" w:type="dxa"/>
            </w:tcMar>
            <w:vAlign w:val="center"/>
          </w:tcPr>
          <w:p w14:paraId="6F532F0C">
            <w:pPr>
              <w:spacing w:after="0" w:line="252" w:lineRule="auto"/>
              <w:ind w:firstLine="0"/>
              <w:jc w:val="center"/>
              <w:rPr>
                <w:rFonts w:hint="eastAsia" w:ascii="宋体" w:hAnsi="宋体" w:eastAsia="宋体" w:cs="宋体"/>
                <w:b w:val="0"/>
                <w:bCs/>
                <w:i w:val="0"/>
                <w:iCs w:val="0"/>
                <w:color w:val="auto"/>
              </w:rPr>
            </w:pPr>
            <w:r>
              <w:rPr>
                <w:rFonts w:hint="eastAsia" w:ascii="宋体" w:hAnsi="宋体" w:eastAsia="宋体" w:cs="宋体"/>
                <w:b w:val="0"/>
                <w:bCs/>
                <w:i w:val="0"/>
                <w:iCs w:val="0"/>
                <w:color w:val="auto"/>
                <w:sz w:val="18"/>
              </w:rPr>
              <w:t>数据读取、可视化和评估脚本完整</w:t>
            </w:r>
          </w:p>
        </w:tc>
      </w:tr>
    </w:tbl>
    <w:p w14:paraId="0B22BF1A">
      <w:pPr>
        <w:rPr>
          <w:rFonts w:hint="eastAsia" w:ascii="宋体" w:hAnsi="宋体" w:eastAsia="宋体" w:cs="宋体"/>
          <w:b w:val="0"/>
          <w:bCs/>
          <w:i w:val="0"/>
          <w:iCs w:val="0"/>
          <w:color w:val="auto"/>
        </w:rPr>
      </w:pPr>
    </w:p>
    <w:sectPr>
      <w:headerReference r:id="rId5" w:type="default"/>
      <w:footerReference r:id="rId6" w:type="default"/>
      <w:pgSz w:w="11906" w:h="16838"/>
      <w:pgMar w:top="1440" w:right="1474" w:bottom="1440" w:left="158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3EFBF">
    <w:pPr>
      <w:pStyle w:val="24"/>
      <w:jc w:val="center"/>
    </w:pPr>
    <w:r>
      <w:rPr>
        <w:rFonts w:ascii="宋体" w:hAnsi="宋体" w:eastAsia="宋体"/>
        <w:b w:val="0"/>
        <w:color w:val="666666"/>
        <w:sz w:val="18"/>
      </w:rPr>
      <w:fldChar w:fldCharType="begin"/>
    </w:r>
    <w:r>
      <w:rPr>
        <w:rFonts w:ascii="宋体" w:hAnsi="宋体" w:eastAsia="宋体"/>
        <w:b w:val="0"/>
        <w:color w:val="666666"/>
        <w:sz w:val="18"/>
      </w:rPr>
      <w:instrText xml:space="preserve">PAGE</w:instrText>
    </w:r>
    <w:r>
      <w:rPr>
        <w:rFonts w:ascii="宋体" w:hAnsi="宋体" w:eastAsia="宋体"/>
        <w:b w:val="0"/>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DBB53">
    <w:pPr>
      <w:pStyle w:val="25"/>
      <w:jc w:val="right"/>
    </w:pPr>
    <w:r>
      <w:rPr>
        <w:rFonts w:ascii="宋体" w:hAnsi="宋体" w:eastAsia="宋体"/>
        <w:b w:val="0"/>
        <w:color w:val="7F7F7F"/>
        <w:sz w:val="17"/>
      </w:rPr>
      <w:t>车载视觉道路障碍物与未知风险预警系统｜数据集与仿真环境要求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1621F"/>
    <w:rsid w:val="14A21F50"/>
    <w:rsid w:val="2B475678"/>
    <w:rsid w:val="2B905371"/>
    <w:rsid w:val="2EB8678E"/>
    <w:rsid w:val="3B906476"/>
    <w:rsid w:val="66A575B3"/>
    <w:rsid w:val="7F0E29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20"/>
    </w:pPr>
    <w:rPr>
      <w:rFonts w:ascii="宋体" w:hAnsi="宋体" w:eastAsia="宋体" w:cstheme="minorBidi"/>
      <w:color w:val="222222"/>
      <w:sz w:val="21"/>
      <w:szCs w:val="22"/>
      <w:lang w:val="en-US" w:eastAsia="en-US" w:bidi="ar-SA"/>
    </w:rPr>
  </w:style>
  <w:style w:type="paragraph" w:styleId="3">
    <w:name w:val="heading 1"/>
    <w:basedOn w:val="1"/>
    <w:next w:val="1"/>
    <w:link w:val="138"/>
    <w:qFormat/>
    <w:uiPriority w:val="9"/>
    <w:pPr>
      <w:keepNext/>
      <w:keepLines/>
      <w:spacing w:before="280" w:after="140"/>
      <w:ind w:firstLine="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80" w:after="140"/>
      <w:ind w:firstLine="0"/>
      <w:outlineLvl w:val="1"/>
    </w:pPr>
    <w:rPr>
      <w:rFonts w:asciiTheme="majorHAnsi" w:hAnsiTheme="majorHAnsi" w:eastAsiaTheme="majorEastAsia" w:cstheme="majorBidi"/>
      <w:b/>
      <w:bCs/>
      <w:color w:val="2F5597"/>
      <w:sz w:val="26"/>
      <w:szCs w:val="26"/>
    </w:rPr>
  </w:style>
  <w:style w:type="paragraph" w:styleId="5">
    <w:name w:val="heading 3"/>
    <w:basedOn w:val="1"/>
    <w:next w:val="1"/>
    <w:link w:val="140"/>
    <w:unhideWhenUsed/>
    <w:qFormat/>
    <w:uiPriority w:val="9"/>
    <w:pPr>
      <w:keepNext/>
      <w:keepLines/>
      <w:spacing w:before="280" w:after="140"/>
      <w:ind w:firstLine="0"/>
      <w:outlineLvl w:val="2"/>
    </w:pPr>
    <w:rPr>
      <w:rFonts w:asciiTheme="majorHAnsi" w:hAnsiTheme="majorHAnsi" w:eastAsiaTheme="majorEastAsia" w:cstheme="majorBidi"/>
      <w:b/>
      <w:bCs/>
      <w:color w:val="40404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ind w:firstLine="0"/>
    </w:pPr>
    <w:rPr>
      <w:rFonts w:asciiTheme="majorHAnsi" w:hAnsiTheme="majorHAnsi" w:eastAsiaTheme="majorEastAsia" w:cstheme="majorBidi"/>
      <w:b/>
      <w:i/>
      <w:iCs/>
      <w:color w:val="2F5597"/>
      <w:spacing w:val="15"/>
      <w:sz w:val="28"/>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after="300" w:line="240" w:lineRule="auto"/>
      <w:ind w:firstLine="0"/>
      <w:contextualSpacing/>
    </w:pPr>
    <w:rPr>
      <w:rFonts w:asciiTheme="majorHAnsi" w:hAnsiTheme="majorHAnsi" w:eastAsiaTheme="majorEastAsia" w:cstheme="majorBidi"/>
      <w:b/>
      <w:color w:val="17365D"/>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689</Words>
  <Characters>926</Characters>
  <Lines>0</Lines>
  <Paragraphs>0</Paragraphs>
  <TotalTime>0</TotalTime>
  <ScaleCrop>false</ScaleCrop>
  <LinksUpToDate>false</LinksUpToDate>
  <CharactersWithSpaces>1031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独立项目文件</dc:description>
  <cp:lastModifiedBy>wind</cp:lastModifiedBy>
  <dcterms:modified xsi:type="dcterms:W3CDTF">2026-07-13T03:25:02Z</dcterms:modified>
  <dc:subject>数据集与仿真环境要求</dc:subject>
  <dc:title>车载视觉道路障碍物与未知风险预警系统——数据集与仿真环境要求</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eyJoZGlkIjoiYjFjYzViZGNkYzNiMDFjZWFhYWViZWM3ZGE3NmRiNTciLCJ1c2VySWQiOiI5MDc3OTcyNDYifQ==</vt:lpwstr>
  </property>
  <property fmtid="{D5CDD505-2E9C-101B-9397-08002B2CF9AE}" pid="3" name="KSOProductBuildVer">
    <vt:lpwstr>2052-12.1.0.26895</vt:lpwstr>
  </property>
  <property fmtid="{D5CDD505-2E9C-101B-9397-08002B2CF9AE}" pid="4" name="ICV">
    <vt:lpwstr>72FA290E9CBF4645A090690DCA4B3D37_12</vt:lpwstr>
  </property>
</Properties>
</file>