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FEA0DE">
      <w:pPr>
        <w:pStyle w:val="2"/>
        <w:keepNext w:val="0"/>
        <w:keepLines w:val="0"/>
        <w:widowControl/>
        <w:suppressLineNumbers w:val="0"/>
        <w:spacing w:before="0" w:beforeAutospacing="0" w:line="15" w:lineRule="atLeast"/>
        <w:rPr>
          <w:rFonts w:hint="default" w:ascii="Times New Roman" w:hAnsi="Times New Roman" w:cs="Times New Roman"/>
          <w:sz w:val="32"/>
          <w:szCs w:val="32"/>
        </w:rPr>
      </w:pPr>
      <w:r>
        <w:rPr>
          <w:rFonts w:hint="default" w:ascii="Times New Roman" w:hAnsi="Times New Roman" w:cs="Times New Roman"/>
          <w:i w:val="0"/>
          <w:iCs w:val="0"/>
          <w:caps w:val="0"/>
          <w:color w:val="1F2328"/>
          <w:spacing w:val="0"/>
          <w:sz w:val="32"/>
          <w:szCs w:val="32"/>
          <w:shd w:val="clear" w:fill="FFFFFF"/>
        </w:rPr>
        <w:t>Project Background</w:t>
      </w:r>
    </w:p>
    <w:p w14:paraId="57B87384">
      <w:pPr>
        <w:keepNext w:val="0"/>
        <w:keepLines w:val="0"/>
        <w:widowControl/>
        <w:suppressLineNumbers w:val="0"/>
        <w:shd w:val="clear" w:fill="FFFFFF"/>
        <w:spacing w:before="0" w:beforeAutospacing="0"/>
        <w:ind w:left="0" w:firstLine="0"/>
        <w:jc w:val="left"/>
        <w:rPr>
          <w:rFonts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"https://github.com/SWEN90009-2024/SC-RedBack/blob/main/docs/Project Background.md" \l "project-background"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9C1D9A1">
      <w:pPr>
        <w:pStyle w:val="3"/>
        <w:keepNext w:val="0"/>
        <w:keepLines w:val="0"/>
        <w:widowControl/>
        <w:suppressLineNumbers w:val="0"/>
        <w:spacing w:line="15" w:lineRule="atLeast"/>
        <w:rPr>
          <w:rFonts w:hint="default" w:ascii="Times New Roman" w:hAnsi="Times New Roman" w:cs="Times New Roman"/>
          <w:sz w:val="21"/>
          <w:szCs w:val="21"/>
        </w:rPr>
      </w:pPr>
      <w:r>
        <w:rPr>
          <w:rFonts w:hint="default" w:ascii="Times New Roman" w:hAnsi="Times New Roman" w:cs="Times New Roman"/>
          <w:i w:val="0"/>
          <w:iCs w:val="0"/>
          <w:caps w:val="0"/>
          <w:color w:val="1F2328"/>
          <w:spacing w:val="0"/>
          <w:sz w:val="21"/>
          <w:szCs w:val="21"/>
          <w:shd w:val="clear" w:fill="FFFFFF"/>
        </w:rPr>
        <w:t>1. Description of Project</w:t>
      </w:r>
    </w:p>
    <w:p w14:paraId="63226FAD">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"https://github.com/SWEN90009-2024/SC-RedBack/blob/main/docs/Project Background.md" \l "1-description-of-project"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A5D30E9">
      <w:pPr>
        <w:pStyle w:val="4"/>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1F2328"/>
          <w:spacing w:val="0"/>
          <w:sz w:val="19"/>
          <w:szCs w:val="19"/>
        </w:rPr>
      </w:pPr>
      <w:r>
        <w:rPr>
          <w:rFonts w:hint="default" w:ascii="Times New Roman" w:hAnsi="Times New Roman" w:eastAsia="Segoe UI" w:cs="Times New Roman"/>
          <w:i w:val="0"/>
          <w:iCs w:val="0"/>
          <w:caps w:val="0"/>
          <w:color w:val="1F2328"/>
          <w:spacing w:val="0"/>
          <w:sz w:val="19"/>
          <w:szCs w:val="19"/>
          <w:shd w:val="clear" w:fill="FFFFFF"/>
        </w:rPr>
        <w:t>Complex competencies are a series of skills, capabilities, attributes and values that learners are expected to develop no matter what stages learners are in. It's not sufficient for current metrics to evaluate if young people are prepared to contribute to workplaces and communities. More metrics are necessary to demonstrate young people or students are equipped with a set of complex competencies. Ruby is such a tool that designed to support the implementation of competency-based, evidence-oriented, standards-references developmental assessment of complex competencies in teaching and learning of complex competencies. Ruby is thoughtfully designed to accommodate a wide array of users, including System Curriculum Leaders, Module Designers, Teachers, Students, School Principals, External Assessors, and Stakeholders or Parents.</w:t>
      </w:r>
    </w:p>
    <w:p w14:paraId="1A77F82D">
      <w:pPr>
        <w:pStyle w:val="4"/>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1F2328"/>
          <w:spacing w:val="0"/>
          <w:sz w:val="19"/>
          <w:szCs w:val="19"/>
        </w:rPr>
      </w:pPr>
      <w:r>
        <w:rPr>
          <w:rFonts w:hint="default" w:ascii="Times New Roman" w:hAnsi="Times New Roman" w:eastAsia="Segoe UI" w:cs="Times New Roman"/>
          <w:i w:val="0"/>
          <w:iCs w:val="0"/>
          <w:caps w:val="0"/>
          <w:color w:val="1F2328"/>
          <w:spacing w:val="0"/>
          <w:sz w:val="19"/>
          <w:szCs w:val="19"/>
          <w:shd w:val="clear" w:fill="FFFFFF"/>
        </w:rPr>
        <w:t>Depending on evaluation objectives such as teacher planning, school reporting, or credentialing, Ruby dynamically tailors the array of multiple-choice questions. These questions are designed to identify and evaluate typical behavioral signs related to the competency under assessment. For example, an evaluation aimed at teacher planning may contain about 10 questions since its purpose is to assist a teacher in gaining a quick sense of a student's competencies for planning future lessons. Meanwhile, a credential-based assessment may consist of around 22 questions as it serves a more formal capacity in substantiating a student's skill set in the form of a certification.</w:t>
      </w:r>
    </w:p>
    <w:p w14:paraId="01C75B38">
      <w:pPr>
        <w:pStyle w:val="4"/>
        <w:keepNext w:val="0"/>
        <w:keepLines w:val="0"/>
        <w:widowControl/>
        <w:suppressLineNumbers w:val="0"/>
        <w:shd w:val="clear" w:fill="FFFFFF"/>
        <w:spacing w:before="0" w:beforeAutospacing="0"/>
        <w:ind w:left="0" w:firstLine="0"/>
        <w:rPr>
          <w:rFonts w:hint="default" w:ascii="Times New Roman" w:hAnsi="Times New Roman" w:cs="Times New Roman"/>
        </w:rPr>
      </w:pPr>
      <w:r>
        <w:rPr>
          <w:rFonts w:hint="default" w:ascii="Times New Roman" w:hAnsi="Times New Roman" w:eastAsia="Segoe UI" w:cs="Times New Roman"/>
          <w:i w:val="0"/>
          <w:iCs w:val="0"/>
          <w:caps w:val="0"/>
          <w:color w:val="1F2328"/>
          <w:spacing w:val="0"/>
          <w:sz w:val="19"/>
          <w:szCs w:val="19"/>
          <w:shd w:val="clear" w:fill="FFFFFF"/>
        </w:rPr>
        <w:t>Ultimately, by teachers' responses to the questions, Ruby platform generates different assessments to serve three main purposes:</w:t>
      </w:r>
    </w:p>
    <w:p w14:paraId="49BB6AB6">
      <w:pPr>
        <w:pStyle w:val="4"/>
        <w:keepNext w:val="0"/>
        <w:keepLines w:val="0"/>
        <w:widowControl/>
        <w:suppressLineNumbers w:val="0"/>
        <w:rPr>
          <w:rFonts w:hint="default" w:ascii="Times New Roman" w:hAnsi="Times New Roman" w:cs="Times New Roman"/>
        </w:rPr>
      </w:pPr>
      <w:r>
        <w:rPr>
          <w:rStyle w:val="7"/>
          <w:rFonts w:hint="default" w:ascii="Times New Roman" w:hAnsi="Times New Roman" w:eastAsia="Segoe UI" w:cs="Times New Roman"/>
          <w:i w:val="0"/>
          <w:iCs w:val="0"/>
          <w:caps w:val="0"/>
          <w:color w:val="1F2328"/>
          <w:spacing w:val="0"/>
          <w:sz w:val="19"/>
          <w:szCs w:val="19"/>
          <w:bdr w:val="none" w:color="auto" w:sz="0" w:space="0"/>
          <w:shd w:val="clear" w:fill="FFFFFF"/>
        </w:rPr>
        <w:t>Teacher Planning</w:t>
      </w:r>
      <w:r>
        <w:rPr>
          <w:rFonts w:hint="default" w:ascii="Times New Roman" w:hAnsi="Times New Roman" w:eastAsia="Segoe UI" w:cs="Times New Roman"/>
          <w:i w:val="0"/>
          <w:iCs w:val="0"/>
          <w:caps w:val="0"/>
          <w:color w:val="1F2328"/>
          <w:spacing w:val="0"/>
          <w:sz w:val="19"/>
          <w:szCs w:val="19"/>
          <w:bdr w:val="none" w:color="auto" w:sz="0" w:space="0"/>
          <w:shd w:val="clear" w:fill="FFFFFF"/>
        </w:rPr>
        <w:t>: Generates 'rocket reports' from individual assessments for lesson planning and promoting reflection among teachers and students.</w:t>
      </w:r>
    </w:p>
    <w:p w14:paraId="5B68541B">
      <w:pPr>
        <w:pStyle w:val="4"/>
        <w:keepNext w:val="0"/>
        <w:keepLines w:val="0"/>
        <w:widowControl/>
        <w:suppressLineNumbers w:val="0"/>
        <w:rPr>
          <w:rFonts w:hint="default" w:ascii="Times New Roman" w:hAnsi="Times New Roman" w:cs="Times New Roman"/>
        </w:rPr>
      </w:pPr>
      <w:r>
        <w:rPr>
          <w:rStyle w:val="7"/>
          <w:rFonts w:hint="default" w:ascii="Times New Roman" w:hAnsi="Times New Roman" w:eastAsia="Segoe UI" w:cs="Times New Roman"/>
          <w:i w:val="0"/>
          <w:iCs w:val="0"/>
          <w:caps w:val="0"/>
          <w:color w:val="1F2328"/>
          <w:spacing w:val="0"/>
          <w:sz w:val="19"/>
          <w:szCs w:val="19"/>
          <w:bdr w:val="none" w:color="auto" w:sz="0" w:space="0"/>
          <w:shd w:val="clear" w:fill="FFFFFF"/>
        </w:rPr>
        <w:t>School Reporting</w:t>
      </w:r>
      <w:r>
        <w:rPr>
          <w:rFonts w:hint="default" w:ascii="Times New Roman" w:hAnsi="Times New Roman" w:eastAsia="Segoe UI" w:cs="Times New Roman"/>
          <w:i w:val="0"/>
          <w:iCs w:val="0"/>
          <w:caps w:val="0"/>
          <w:color w:val="1F2328"/>
          <w:spacing w:val="0"/>
          <w:sz w:val="19"/>
          <w:szCs w:val="19"/>
          <w:bdr w:val="none" w:color="auto" w:sz="0" w:space="0"/>
          <w:shd w:val="clear" w:fill="FFFFFF"/>
        </w:rPr>
        <w:t>: Produces 'fan profiles' from aggregated assessments for annual or semiannual reporting to learners and their families.</w:t>
      </w:r>
    </w:p>
    <w:p w14:paraId="2F14068D">
      <w:pPr>
        <w:pStyle w:val="4"/>
        <w:keepNext w:val="0"/>
        <w:keepLines w:val="0"/>
        <w:widowControl/>
        <w:suppressLineNumbers w:val="0"/>
        <w:rPr>
          <w:rFonts w:hint="default" w:ascii="Times New Roman" w:hAnsi="Times New Roman" w:cs="Times New Roman"/>
        </w:rPr>
      </w:pPr>
      <w:r>
        <w:rPr>
          <w:rStyle w:val="7"/>
          <w:rFonts w:hint="default" w:ascii="Times New Roman" w:hAnsi="Times New Roman" w:eastAsia="Segoe UI" w:cs="Times New Roman"/>
          <w:i w:val="0"/>
          <w:iCs w:val="0"/>
          <w:caps w:val="0"/>
          <w:color w:val="1F2328"/>
          <w:spacing w:val="0"/>
          <w:sz w:val="19"/>
          <w:szCs w:val="19"/>
          <w:bdr w:val="none" w:color="auto" w:sz="0" w:space="0"/>
          <w:shd w:val="clear" w:fill="FFFFFF"/>
        </w:rPr>
        <w:t>Credentialing</w:t>
      </w:r>
      <w:r>
        <w:rPr>
          <w:rFonts w:hint="default" w:ascii="Times New Roman" w:hAnsi="Times New Roman" w:eastAsia="Segoe UI" w:cs="Times New Roman"/>
          <w:i w:val="0"/>
          <w:iCs w:val="0"/>
          <w:caps w:val="0"/>
          <w:color w:val="1F2328"/>
          <w:spacing w:val="0"/>
          <w:sz w:val="19"/>
          <w:szCs w:val="19"/>
          <w:bdr w:val="none" w:color="auto" w:sz="0" w:space="0"/>
          <w:shd w:val="clear" w:fill="FFFFFF"/>
        </w:rPr>
        <w:t>: Awards the Australian Learner Competency Credential (LCC) at key educational transitions, capturing long-term assessments and validating learner competence. This credential is useful beyond the school setting for transitions, admissions, internal qualifications, and employment.</w:t>
      </w:r>
    </w:p>
    <w:p w14:paraId="61802BC9">
      <w:pPr>
        <w:pStyle w:val="3"/>
        <w:keepNext w:val="0"/>
        <w:keepLines w:val="0"/>
        <w:widowControl/>
        <w:suppressLineNumbers w:val="0"/>
        <w:spacing w:line="15" w:lineRule="atLeast"/>
        <w:rPr>
          <w:rFonts w:hint="default" w:ascii="Times New Roman" w:hAnsi="Times New Roman" w:cs="Times New Roman"/>
          <w:sz w:val="21"/>
          <w:szCs w:val="21"/>
        </w:rPr>
      </w:pPr>
      <w:r>
        <w:rPr>
          <w:rFonts w:hint="default" w:ascii="Times New Roman" w:hAnsi="Times New Roman" w:cs="Times New Roman"/>
          <w:i w:val="0"/>
          <w:iCs w:val="0"/>
          <w:caps w:val="0"/>
          <w:color w:val="1F2328"/>
          <w:spacing w:val="0"/>
          <w:sz w:val="21"/>
          <w:szCs w:val="21"/>
          <w:shd w:val="clear" w:fill="FFFFFF"/>
        </w:rPr>
        <w:t>2. Current Challenges</w:t>
      </w:r>
    </w:p>
    <w:p w14:paraId="04FF9D7B">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1F2328"/>
          <w:spacing w:val="0"/>
          <w:sz w:val="19"/>
          <w:szCs w:val="19"/>
        </w:rPr>
      </w:pPr>
      <w:r>
        <w:rPr>
          <w:rFonts w:hint="default" w:ascii="Times New Roman" w:hAnsi="Times New Roman" w:eastAsia="Segoe UI" w:cs="Times New Roman"/>
          <w:i w:val="0"/>
          <w:iCs w:val="0"/>
          <w:caps w:val="0"/>
          <w:spacing w:val="0"/>
          <w:kern w:val="0"/>
          <w:sz w:val="19"/>
          <w:szCs w:val="19"/>
          <w:u w:val="single"/>
          <w:shd w:val="clear" w:fill="FFFFFF"/>
          <w:lang w:val="en-US" w:eastAsia="zh-CN" w:bidi="ar"/>
        </w:rPr>
        <w:fldChar w:fldCharType="begin"/>
      </w:r>
      <w:r>
        <w:rPr>
          <w:rFonts w:hint="default" w:ascii="Times New Roman" w:hAnsi="Times New Roman" w:eastAsia="Segoe UI" w:cs="Times New Roman"/>
          <w:i w:val="0"/>
          <w:iCs w:val="0"/>
          <w:caps w:val="0"/>
          <w:spacing w:val="0"/>
          <w:kern w:val="0"/>
          <w:sz w:val="19"/>
          <w:szCs w:val="19"/>
          <w:u w:val="single"/>
          <w:shd w:val="clear" w:fill="FFFFFF"/>
          <w:lang w:val="en-US" w:eastAsia="zh-CN" w:bidi="ar"/>
        </w:rPr>
        <w:instrText xml:space="preserve"> HYPERLINK "https://github.com/SWEN90009-2024/SC-RedBack/blob/main/docs/Project Background.md" \l "2-current-challenges" </w:instrText>
      </w:r>
      <w:r>
        <w:rPr>
          <w:rFonts w:hint="default" w:ascii="Times New Roman" w:hAnsi="Times New Roman" w:eastAsia="Segoe UI" w:cs="Times New Roman"/>
          <w:i w:val="0"/>
          <w:iCs w:val="0"/>
          <w:caps w:val="0"/>
          <w:spacing w:val="0"/>
          <w:kern w:val="0"/>
          <w:sz w:val="19"/>
          <w:szCs w:val="19"/>
          <w:u w:val="single"/>
          <w:shd w:val="clear" w:fill="FFFFFF"/>
          <w:lang w:val="en-US" w:eastAsia="zh-CN" w:bidi="ar"/>
        </w:rPr>
        <w:fldChar w:fldCharType="separate"/>
      </w:r>
      <w:r>
        <w:rPr>
          <w:rFonts w:hint="default" w:ascii="Times New Roman" w:hAnsi="Times New Roman" w:eastAsia="Segoe UI" w:cs="Times New Roman"/>
          <w:i w:val="0"/>
          <w:iCs w:val="0"/>
          <w:caps w:val="0"/>
          <w:spacing w:val="0"/>
          <w:kern w:val="0"/>
          <w:sz w:val="19"/>
          <w:szCs w:val="19"/>
          <w:u w:val="single"/>
          <w:shd w:val="clear" w:fill="FFFFFF"/>
          <w:lang w:val="en-US" w:eastAsia="zh-CN" w:bidi="ar"/>
        </w:rPr>
        <w:fldChar w:fldCharType="end"/>
      </w:r>
    </w:p>
    <w:p w14:paraId="124E4AC3">
      <w:pPr>
        <w:pStyle w:val="4"/>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1F2328"/>
          <w:spacing w:val="0"/>
          <w:sz w:val="19"/>
          <w:szCs w:val="19"/>
        </w:rPr>
      </w:pPr>
      <w:r>
        <w:rPr>
          <w:rFonts w:hint="default" w:ascii="Times New Roman" w:hAnsi="Times New Roman" w:eastAsia="Segoe UI" w:cs="Times New Roman"/>
          <w:i w:val="0"/>
          <w:iCs w:val="0"/>
          <w:caps w:val="0"/>
          <w:color w:val="1F2328"/>
          <w:spacing w:val="0"/>
          <w:sz w:val="19"/>
          <w:szCs w:val="19"/>
          <w:shd w:val="clear" w:fill="FFFFFF"/>
        </w:rPr>
        <w:t>One of our big challenges as the stakes become higher and we need to warrant the credentials we produce is to check if teachers understand our items in the same way for very different contexts. We don't know what evidence teachers use to make their judgement about the competency level of each student and if it is very different from one subject to another even though the questions are about a general capability e.g., collaboration. Our current challenge lies in the nuanced understanding and assessment of complex competencies such as collaboration, communication, and ethical decision-making. These competencies are essential for students to thrive beyond the classroom, yet their subjective nature poses a significant challenge in creating a standardized assessment framework.</w:t>
      </w:r>
    </w:p>
    <w:p w14:paraId="531C86BC">
      <w:pPr>
        <w:pStyle w:val="3"/>
        <w:keepNext w:val="0"/>
        <w:keepLines w:val="0"/>
        <w:widowControl/>
        <w:suppressLineNumbers w:val="0"/>
        <w:spacing w:line="15" w:lineRule="atLeast"/>
        <w:rPr>
          <w:rFonts w:hint="default" w:ascii="Times New Roman" w:hAnsi="Times New Roman" w:cs="Times New Roman"/>
        </w:rPr>
      </w:pPr>
      <w:r>
        <w:rPr>
          <w:rFonts w:hint="default" w:ascii="Times New Roman" w:hAnsi="Times New Roman" w:cs="Times New Roman"/>
          <w:i w:val="0"/>
          <w:iCs w:val="0"/>
          <w:caps w:val="0"/>
          <w:color w:val="1F2328"/>
          <w:spacing w:val="0"/>
          <w:sz w:val="21"/>
          <w:szCs w:val="21"/>
          <w:shd w:val="clear" w:fill="FFFFFF"/>
        </w:rPr>
        <w:t>3. Problem</w:t>
      </w:r>
      <w:bookmarkStart w:id="0" w:name="_GoBack"/>
      <w:bookmarkEnd w:id="0"/>
      <w:r>
        <w:rPr>
          <w:rFonts w:hint="default" w:ascii="Times New Roman" w:hAnsi="Times New Roman" w:eastAsia="Segoe UI" w:cs="Times New Roman"/>
          <w:i w:val="0"/>
          <w:iCs w:val="0"/>
          <w:caps w:val="0"/>
          <w:spacing w:val="0"/>
          <w:kern w:val="0"/>
          <w:sz w:val="19"/>
          <w:szCs w:val="19"/>
          <w:u w:val="single"/>
          <w:shd w:val="clear" w:fill="FFFFFF"/>
          <w:lang w:val="en-US" w:eastAsia="zh-CN" w:bidi="ar"/>
        </w:rPr>
        <w:fldChar w:fldCharType="begin"/>
      </w:r>
      <w:r>
        <w:rPr>
          <w:rFonts w:hint="default" w:ascii="Times New Roman" w:hAnsi="Times New Roman" w:eastAsia="Segoe UI" w:cs="Times New Roman"/>
          <w:i w:val="0"/>
          <w:iCs w:val="0"/>
          <w:caps w:val="0"/>
          <w:spacing w:val="0"/>
          <w:kern w:val="0"/>
          <w:sz w:val="19"/>
          <w:szCs w:val="19"/>
          <w:u w:val="single"/>
          <w:shd w:val="clear" w:fill="FFFFFF"/>
          <w:lang w:val="en-US" w:eastAsia="zh-CN" w:bidi="ar"/>
        </w:rPr>
        <w:instrText xml:space="preserve"> HYPERLINK "https://github.com/SWEN90009-2024/SC-RedBack/blob/main/docs/Project Background.md" \l "3-problem" </w:instrText>
      </w:r>
      <w:r>
        <w:rPr>
          <w:rFonts w:hint="default" w:ascii="Times New Roman" w:hAnsi="Times New Roman" w:eastAsia="Segoe UI" w:cs="Times New Roman"/>
          <w:i w:val="0"/>
          <w:iCs w:val="0"/>
          <w:caps w:val="0"/>
          <w:spacing w:val="0"/>
          <w:kern w:val="0"/>
          <w:sz w:val="19"/>
          <w:szCs w:val="19"/>
          <w:u w:val="single"/>
          <w:shd w:val="clear" w:fill="FFFFFF"/>
          <w:lang w:val="en-US" w:eastAsia="zh-CN" w:bidi="ar"/>
        </w:rPr>
        <w:fldChar w:fldCharType="separate"/>
      </w:r>
      <w:r>
        <w:rPr>
          <w:rFonts w:hint="default" w:ascii="Times New Roman" w:hAnsi="Times New Roman" w:eastAsia="Segoe UI" w:cs="Times New Roman"/>
          <w:i w:val="0"/>
          <w:iCs w:val="0"/>
          <w:caps w:val="0"/>
          <w:spacing w:val="0"/>
          <w:kern w:val="0"/>
          <w:sz w:val="19"/>
          <w:szCs w:val="19"/>
          <w:u w:val="single"/>
          <w:shd w:val="clear" w:fill="FFFFFF"/>
          <w:lang w:val="en-US" w:eastAsia="zh-CN" w:bidi="ar"/>
        </w:rPr>
        <w:fldChar w:fldCharType="end"/>
      </w:r>
    </w:p>
    <w:p w14:paraId="07C347B1">
      <w:pPr>
        <w:pStyle w:val="4"/>
        <w:keepNext w:val="0"/>
        <w:keepLines w:val="0"/>
        <w:widowControl/>
        <w:suppressLineNumbers w:val="0"/>
        <w:rPr>
          <w:rFonts w:hint="default" w:ascii="Times New Roman" w:hAnsi="Times New Roman" w:cs="Times New Roman"/>
        </w:rPr>
      </w:pPr>
      <w:r>
        <w:rPr>
          <w:rFonts w:hint="default" w:ascii="Times New Roman" w:hAnsi="Times New Roman" w:eastAsia="Segoe UI" w:cs="Times New Roman"/>
          <w:i w:val="0"/>
          <w:iCs w:val="0"/>
          <w:caps w:val="0"/>
          <w:color w:val="1F2328"/>
          <w:spacing w:val="0"/>
          <w:sz w:val="19"/>
          <w:szCs w:val="19"/>
          <w:bdr w:val="none" w:color="auto" w:sz="0" w:space="0"/>
          <w:shd w:val="clear" w:fill="FFFFFF"/>
        </w:rPr>
        <w:t>How to ensure that teachers understand each topic in the same way?</w:t>
      </w:r>
    </w:p>
    <w:p w14:paraId="10E192EA">
      <w:pPr>
        <w:pStyle w:val="4"/>
        <w:keepNext w:val="0"/>
        <w:keepLines w:val="0"/>
        <w:widowControl/>
        <w:suppressLineNumbers w:val="0"/>
        <w:rPr>
          <w:rFonts w:hint="default" w:ascii="Times New Roman" w:hAnsi="Times New Roman" w:cs="Times New Roman"/>
        </w:rPr>
      </w:pPr>
      <w:r>
        <w:rPr>
          <w:rFonts w:hint="default" w:ascii="Times New Roman" w:hAnsi="Times New Roman" w:eastAsia="Segoe UI" w:cs="Times New Roman"/>
          <w:i w:val="0"/>
          <w:iCs w:val="0"/>
          <w:caps w:val="0"/>
          <w:color w:val="1F2328"/>
          <w:spacing w:val="0"/>
          <w:sz w:val="19"/>
          <w:szCs w:val="19"/>
          <w:bdr w:val="none" w:color="auto" w:sz="0" w:space="0"/>
          <w:shd w:val="clear" w:fill="FFFFFF"/>
        </w:rPr>
        <w:t>How to know what evidence the teacher uses to judge each student's ability?</w:t>
      </w:r>
    </w:p>
    <w:p w14:paraId="7B23235B">
      <w:pPr>
        <w:pStyle w:val="4"/>
        <w:keepNext w:val="0"/>
        <w:keepLines w:val="0"/>
        <w:widowControl/>
        <w:suppressLineNumbers w:val="0"/>
        <w:rPr>
          <w:rFonts w:hint="default" w:ascii="Times New Roman" w:hAnsi="Times New Roman" w:cs="Times New Roman"/>
        </w:rPr>
      </w:pPr>
      <w:r>
        <w:rPr>
          <w:rFonts w:hint="default" w:ascii="Times New Roman" w:hAnsi="Times New Roman" w:eastAsia="Segoe UI" w:cs="Times New Roman"/>
          <w:i w:val="0"/>
          <w:iCs w:val="0"/>
          <w:caps w:val="0"/>
          <w:color w:val="1F2328"/>
          <w:spacing w:val="0"/>
          <w:sz w:val="19"/>
          <w:szCs w:val="19"/>
          <w:bdr w:val="none" w:color="auto" w:sz="0" w:space="0"/>
          <w:shd w:val="clear" w:fill="FFFFFF"/>
        </w:rPr>
        <w:t>How to check the difference of ability level between different disciplines？</w:t>
      </w:r>
    </w:p>
    <w:p w14:paraId="26911BA7">
      <w:pPr>
        <w:pStyle w:val="3"/>
        <w:keepNext w:val="0"/>
        <w:keepLines w:val="0"/>
        <w:widowControl/>
        <w:suppressLineNumbers w:val="0"/>
        <w:spacing w:line="15" w:lineRule="atLeast"/>
        <w:rPr>
          <w:rFonts w:hint="default" w:ascii="Times New Roman" w:hAnsi="Times New Roman" w:cs="Times New Roman"/>
          <w:sz w:val="21"/>
          <w:szCs w:val="21"/>
        </w:rPr>
      </w:pPr>
      <w:r>
        <w:rPr>
          <w:rFonts w:hint="default" w:ascii="Times New Roman" w:hAnsi="Times New Roman" w:cs="Times New Roman"/>
          <w:i w:val="0"/>
          <w:iCs w:val="0"/>
          <w:caps w:val="0"/>
          <w:color w:val="1F2328"/>
          <w:spacing w:val="0"/>
          <w:sz w:val="21"/>
          <w:szCs w:val="21"/>
          <w:shd w:val="clear" w:fill="FFFFFF"/>
        </w:rPr>
        <w:t>4. Potential solutions</w:t>
      </w:r>
    </w:p>
    <w:p w14:paraId="44369275">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1F2328"/>
          <w:spacing w:val="0"/>
          <w:sz w:val="19"/>
          <w:szCs w:val="19"/>
        </w:rPr>
      </w:pPr>
      <w:r>
        <w:rPr>
          <w:rFonts w:hint="default" w:ascii="Times New Roman" w:hAnsi="Times New Roman" w:eastAsia="Segoe UI" w:cs="Times New Roman"/>
          <w:i w:val="0"/>
          <w:iCs w:val="0"/>
          <w:caps w:val="0"/>
          <w:spacing w:val="0"/>
          <w:kern w:val="0"/>
          <w:sz w:val="19"/>
          <w:szCs w:val="19"/>
          <w:u w:val="single"/>
          <w:shd w:val="clear" w:fill="FFFFFF"/>
          <w:lang w:val="en-US" w:eastAsia="zh-CN" w:bidi="ar"/>
        </w:rPr>
        <w:fldChar w:fldCharType="begin"/>
      </w:r>
      <w:r>
        <w:rPr>
          <w:rFonts w:hint="default" w:ascii="Times New Roman" w:hAnsi="Times New Roman" w:eastAsia="Segoe UI" w:cs="Times New Roman"/>
          <w:i w:val="0"/>
          <w:iCs w:val="0"/>
          <w:caps w:val="0"/>
          <w:spacing w:val="0"/>
          <w:kern w:val="0"/>
          <w:sz w:val="19"/>
          <w:szCs w:val="19"/>
          <w:u w:val="single"/>
          <w:shd w:val="clear" w:fill="FFFFFF"/>
          <w:lang w:val="en-US" w:eastAsia="zh-CN" w:bidi="ar"/>
        </w:rPr>
        <w:instrText xml:space="preserve"> HYPERLINK "https://github.com/SWEN90009-2024/SC-RedBack/blob/main/docs/Project Background.md" \l "4-potential-solutions" </w:instrText>
      </w:r>
      <w:r>
        <w:rPr>
          <w:rFonts w:hint="default" w:ascii="Times New Roman" w:hAnsi="Times New Roman" w:eastAsia="Segoe UI" w:cs="Times New Roman"/>
          <w:i w:val="0"/>
          <w:iCs w:val="0"/>
          <w:caps w:val="0"/>
          <w:spacing w:val="0"/>
          <w:kern w:val="0"/>
          <w:sz w:val="19"/>
          <w:szCs w:val="19"/>
          <w:u w:val="single"/>
          <w:shd w:val="clear" w:fill="FFFFFF"/>
          <w:lang w:val="en-US" w:eastAsia="zh-CN" w:bidi="ar"/>
        </w:rPr>
        <w:fldChar w:fldCharType="separate"/>
      </w:r>
      <w:r>
        <w:rPr>
          <w:rFonts w:hint="default" w:ascii="Times New Roman" w:hAnsi="Times New Roman" w:eastAsia="Segoe UI" w:cs="Times New Roman"/>
          <w:i w:val="0"/>
          <w:iCs w:val="0"/>
          <w:caps w:val="0"/>
          <w:spacing w:val="0"/>
          <w:kern w:val="0"/>
          <w:sz w:val="19"/>
          <w:szCs w:val="19"/>
          <w:u w:val="single"/>
          <w:shd w:val="clear" w:fill="FFFFFF"/>
          <w:lang w:val="en-US" w:eastAsia="zh-CN" w:bidi="ar"/>
        </w:rPr>
        <w:fldChar w:fldCharType="end"/>
      </w:r>
    </w:p>
    <w:p w14:paraId="7F5E32E4">
      <w:pPr>
        <w:pStyle w:val="4"/>
        <w:keepNext w:val="0"/>
        <w:keepLines w:val="0"/>
        <w:widowControl/>
        <w:suppressLineNumbers w:val="0"/>
        <w:shd w:val="clear" w:fill="FFFFFF"/>
        <w:spacing w:before="0" w:beforeAutospacing="0" w:after="0" w:afterAutospacing="0"/>
        <w:ind w:left="0" w:firstLine="0"/>
        <w:rPr>
          <w:rFonts w:hint="default" w:ascii="Times New Roman" w:hAnsi="Times New Roman" w:eastAsia="Segoe UI" w:cs="Times New Roman"/>
          <w:i w:val="0"/>
          <w:iCs w:val="0"/>
          <w:caps w:val="0"/>
          <w:color w:val="1F2328"/>
          <w:spacing w:val="0"/>
          <w:sz w:val="19"/>
          <w:szCs w:val="19"/>
        </w:rPr>
      </w:pPr>
      <w:r>
        <w:rPr>
          <w:rFonts w:hint="default" w:ascii="Times New Roman" w:hAnsi="Times New Roman" w:eastAsia="Segoe UI" w:cs="Times New Roman"/>
          <w:i w:val="0"/>
          <w:iCs w:val="0"/>
          <w:caps w:val="0"/>
          <w:color w:val="1F2328"/>
          <w:spacing w:val="0"/>
          <w:sz w:val="19"/>
          <w:szCs w:val="19"/>
          <w:shd w:val="clear" w:fill="FFFFFF"/>
        </w:rPr>
        <w:t>Potential solution 1: the function of "comprehensive evaluation of students"-this function integrates the scores of teachers in all subjects and calculates the average score of each student in different abilities (such as communication ability and learning ability). By averaging the scores of teachers' questionnaires in various subjects, the consistency of teachers' understanding of problems and evaluation criteria is solved to some extent, and the authority and accuracy of evaluation are enhanced. At the same time, this function also provides us with the possibility of further analysis and evaluation basis and improvement of evaluation system. Potential solution 2: manual weight assignment-before making the questionnaire, ask the teacher to assign weights to each evaluation standard (such as communication accounting for 10%, personal and social capability accounting for 20%, etc.). So as to standardize the understanding of each topic and ensure that each teacher has made clear the relative importance of each evaluation standard when evaluating. This can not only improve the consistency of teachers' evaluation, but also reflect students' performance on different topics and abilities more accurately.</w:t>
      </w:r>
    </w:p>
    <w:p w14:paraId="734C4AAE"/>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JjMTA2NTI4NjdiYzQ4ZWM2ZWUyZDViODNhYTEzZDIifQ=="/>
  </w:docVars>
  <w:rsids>
    <w:rsidRoot w:val="00000000"/>
    <w:rsid w:val="004752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2024-08-14T02:00:59Z</dcterms:created>
  <dc:creator>Administrator</dc:creator>
  <cp:lastModifiedBy>WPS_1601888375</cp:lastModifiedBy>
  <dcterms:modified xsi:type="dcterms:W3CDTF">2024-08-14T02:02:10Z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524C0FED15E244929D13C60BC90DE238_12</vt:lpwstr>
  </property>
</Properties>
</file>