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矩阵乘法</w:t>
      </w:r>
    </w:p>
    <w:p>
      <w:pPr>
        <w:pStyle w:val="3"/>
        <w:bidi w:val="0"/>
        <w:rPr>
          <w:rFonts w:hint="eastAsia" w:ascii="宋体" w:hAnsi="宋体" w:eastAsia="宋体" w:cs="宋体"/>
          <w:color w:val="auto"/>
        </w:rPr>
      </w:pPr>
      <w:r>
        <w:rPr>
          <w:rFonts w:hint="eastAsia" w:ascii="宋体" w:hAnsi="宋体" w:eastAsia="宋体" w:cs="宋体"/>
          <w:color w:val="auto"/>
        </w:rPr>
        <w:t>1.实验背景</w:t>
      </w:r>
    </w:p>
    <w:p>
      <w:pPr>
        <w:ind w:firstLine="480" w:firstLineChars="200"/>
        <w:jc w:val="left"/>
        <w:rPr>
          <w:rFonts w:hint="eastAsia" w:ascii="宋体" w:hAnsi="宋体" w:eastAsia="宋体" w:cs="宋体"/>
          <w:color w:val="auto"/>
          <w:sz w:val="24"/>
          <w:szCs w:val="24"/>
        </w:rPr>
      </w:pPr>
      <w:r>
        <w:rPr>
          <w:rFonts w:hint="eastAsia" w:ascii="宋体" w:hAnsi="宋体" w:eastAsia="宋体" w:cs="宋体"/>
          <w:color w:val="auto"/>
          <w:sz w:val="24"/>
          <w:szCs w:val="24"/>
        </w:rPr>
        <w:t>在图像处理、信号处理、网络分析以及机器学习等领域中，矩阵乘法被广泛应用来解决实际问题，而通过学习计算机组成原理：</w:t>
      </w:r>
    </w:p>
    <w:p>
      <w:pPr>
        <w:ind w:firstLine="480" w:firstLineChars="200"/>
        <w:jc w:val="left"/>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w:instrText>
      </w:r>
      <w:r>
        <w:rPr>
          <w:rFonts w:hint="eastAsia" w:ascii="宋体" w:hAnsi="宋体" w:eastAsia="宋体" w:cs="宋体"/>
          <w:color w:val="auto"/>
          <w:sz w:val="24"/>
          <w:szCs w:val="24"/>
        </w:rPr>
        <w:instrText xml:space="preserve">= 1 \* GB3</w:instrText>
      </w:r>
      <w:r>
        <w:rPr>
          <w:rFonts w:hint="eastAsia" w:ascii="宋体" w:hAnsi="宋体" w:eastAsia="宋体" w:cs="宋体"/>
          <w:color w:val="auto"/>
          <w:sz w:val="24"/>
          <w:szCs w:val="24"/>
        </w:rPr>
        <w:instrText xml:space="preserve">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①</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t>了解如何设计指令集，可以使计算机高效地执行矩阵乘法计算；</w:t>
      </w:r>
    </w:p>
    <w:p>
      <w:pPr>
        <w:ind w:firstLine="480" w:firstLineChars="200"/>
        <w:jc w:val="left"/>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w:instrText>
      </w:r>
      <w:r>
        <w:rPr>
          <w:rFonts w:hint="eastAsia" w:ascii="宋体" w:hAnsi="宋体" w:eastAsia="宋体" w:cs="宋体"/>
          <w:color w:val="auto"/>
          <w:sz w:val="24"/>
          <w:szCs w:val="24"/>
        </w:rPr>
        <w:instrText xml:space="preserve">= 2 \* GB3</w:instrText>
      </w:r>
      <w:r>
        <w:rPr>
          <w:rFonts w:hint="eastAsia" w:ascii="宋体" w:hAnsi="宋体" w:eastAsia="宋体" w:cs="宋体"/>
          <w:color w:val="auto"/>
          <w:sz w:val="24"/>
          <w:szCs w:val="24"/>
        </w:rPr>
        <w:instrText xml:space="preserve">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②</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t>了解如何设计高性能的处理器架构，可以使得处理器能够更快地执行矩阵乘法等复杂计算任务；</w:t>
      </w:r>
    </w:p>
    <w:p>
      <w:pPr>
        <w:ind w:firstLine="480" w:firstLineChars="200"/>
        <w:jc w:val="left"/>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w:instrText>
      </w:r>
      <w:r>
        <w:rPr>
          <w:rFonts w:hint="eastAsia" w:ascii="宋体" w:hAnsi="宋体" w:eastAsia="宋体" w:cs="宋体"/>
          <w:color w:val="auto"/>
          <w:sz w:val="24"/>
          <w:szCs w:val="24"/>
        </w:rPr>
        <w:instrText xml:space="preserve">= 3 \* GB3</w:instrText>
      </w:r>
      <w:r>
        <w:rPr>
          <w:rFonts w:hint="eastAsia" w:ascii="宋体" w:hAnsi="宋体" w:eastAsia="宋体" w:cs="宋体"/>
          <w:color w:val="auto"/>
          <w:sz w:val="24"/>
          <w:szCs w:val="24"/>
        </w:rPr>
        <w:instrText xml:space="preserve">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③</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t>了解存储器层次结构，可以优化数据的存储和访问方式，提高矩阵乘法地运算效率；</w:t>
      </w:r>
    </w:p>
    <w:p>
      <w:pPr>
        <w:ind w:firstLine="480" w:firstLineChars="200"/>
        <w:jc w:val="left"/>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w:instrText>
      </w:r>
      <w:r>
        <w:rPr>
          <w:rFonts w:hint="eastAsia" w:ascii="宋体" w:hAnsi="宋体" w:eastAsia="宋体" w:cs="宋体"/>
          <w:color w:val="auto"/>
          <w:sz w:val="24"/>
          <w:szCs w:val="24"/>
        </w:rPr>
        <w:instrText xml:space="preserve">= 4 \* GB3</w:instrText>
      </w:r>
      <w:r>
        <w:rPr>
          <w:rFonts w:hint="eastAsia" w:ascii="宋体" w:hAnsi="宋体" w:eastAsia="宋体" w:cs="宋体"/>
          <w:color w:val="auto"/>
          <w:sz w:val="24"/>
          <w:szCs w:val="24"/>
        </w:rPr>
        <w:instrText xml:space="preserve">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④</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t>了解如何设计和实现并行计算地硬件结构和算法，可以更好地利用计算资源，加速矩阵乘法等高度可并行化地计算密集型任务。</w:t>
      </w:r>
    </w:p>
    <w:p>
      <w:pPr>
        <w:rPr>
          <w:rFonts w:hint="eastAsia" w:ascii="宋体" w:hAnsi="宋体" w:eastAsia="宋体" w:cs="宋体"/>
          <w:color w:val="auto"/>
          <w:lang w:val="en-US" w:eastAsia="zh-CN"/>
        </w:rPr>
      </w:pPr>
    </w:p>
    <w:p>
      <w:pPr>
        <w:rPr>
          <w:rFonts w:hint="eastAsia" w:ascii="宋体" w:hAnsi="宋体" w:eastAsia="宋体" w:cs="宋体"/>
          <w:color w:val="auto"/>
          <w:lang w:val="en-US" w:eastAsia="zh-CN"/>
        </w:rPr>
      </w:pPr>
    </w:p>
    <w:p>
      <w:pPr>
        <w:pStyle w:val="3"/>
        <w:bidi w:val="0"/>
        <w:rPr>
          <w:rFonts w:hint="eastAsia" w:ascii="宋体" w:hAnsi="宋体" w:eastAsia="宋体" w:cs="宋体"/>
          <w:color w:val="auto"/>
          <w:lang w:val="en-US" w:eastAsia="zh-CN"/>
        </w:rPr>
      </w:pPr>
      <w:r>
        <w:rPr>
          <w:rFonts w:hint="eastAsia" w:ascii="宋体" w:hAnsi="宋体" w:eastAsia="宋体" w:cs="宋体"/>
          <w:color w:val="auto"/>
          <w:lang w:val="en-US" w:eastAsia="zh-CN"/>
        </w:rPr>
        <w:t>2.优化方法：</w:t>
      </w:r>
    </w:p>
    <w:p>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AVX：英特尔在其最新的处理器中支持的指令集架构，可以显著提高向量并行计算的性能。AVX指令集针对应用中常见的浮点计算进行了优化，利用SIMD（Single Instruction Multiple Data，单指令多数据）技术，能够将一条指令应用于多个操作数，从而实现高效的并行计算。</w:t>
      </w:r>
    </w:p>
    <w:p>
      <w:pPr>
        <w:ind w:firstLine="480" w:firstLineChars="200"/>
        <w:rPr>
          <w:rFonts w:hint="eastAsia" w:ascii="宋体" w:hAnsi="宋体" w:eastAsia="宋体" w:cs="宋体"/>
          <w:color w:val="auto"/>
          <w:sz w:val="24"/>
          <w:szCs w:val="24"/>
          <w:lang w:val="en-US" w:eastAsia="zh-CN"/>
        </w:rPr>
      </w:pPr>
    </w:p>
    <w:p>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并行AVX：并行化是指通过利用多核处理器或者通过分布式计算来实现计算任务的加速。在AVX指令集的应用中，可以使用多线程来实现并行计算，从而进一步提高计算速度。</w:t>
      </w:r>
    </w:p>
    <w:p>
      <w:pPr>
        <w:ind w:firstLine="480" w:firstLineChars="200"/>
        <w:rPr>
          <w:rFonts w:hint="eastAsia" w:ascii="宋体" w:hAnsi="宋体" w:eastAsia="宋体" w:cs="宋体"/>
          <w:color w:val="auto"/>
          <w:sz w:val="24"/>
          <w:szCs w:val="24"/>
          <w:lang w:val="en-US" w:eastAsia="zh-CN"/>
        </w:rPr>
      </w:pPr>
    </w:p>
    <w:p>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阻塞或者分块优化AVX：帮助提高计算性能和内存使用效率。在矩阵乘法等计算密集型任务中，使用阻塞AVX计算可以将大的计算任务分为多个小块，然后使用AVX指令对这些小块进行计算，并将计算结果合成为最终的结果。阻塞AVX计算不仅可以减少内存访问，也可以提高向量化效率。</w:t>
      </w:r>
    </w:p>
    <w:p>
      <w:pPr>
        <w:ind w:firstLine="480" w:firstLineChars="200"/>
        <w:rPr>
          <w:rFonts w:hint="eastAsia" w:ascii="宋体" w:hAnsi="宋体" w:eastAsia="宋体" w:cs="宋体"/>
          <w:color w:val="auto"/>
          <w:sz w:val="24"/>
          <w:szCs w:val="24"/>
          <w:lang w:val="en-US" w:eastAsia="zh-CN"/>
        </w:rPr>
      </w:pPr>
    </w:p>
    <w:p>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使用OpenMP来并行计算阻塞AVX矩阵乘法：使用OpenMP，动态调整块的大小，以充分利用处理器的缓存和并行计算资源。使用多线程可以进一步提高计算效率；阻塞AVX计算，提高计算效率。</w:t>
      </w:r>
    </w:p>
    <w:p>
      <w:pPr>
        <w:ind w:firstLine="420" w:firstLineChars="200"/>
        <w:rPr>
          <w:rFonts w:hint="eastAsia" w:ascii="宋体" w:hAnsi="宋体" w:eastAsia="宋体" w:cs="宋体"/>
          <w:color w:val="auto"/>
          <w:lang w:val="en-US" w:eastAsia="zh-CN"/>
        </w:rPr>
      </w:pPr>
    </w:p>
    <w:p>
      <w:pPr>
        <w:pStyle w:val="3"/>
        <w:bidi w:val="0"/>
        <w:rPr>
          <w:rFonts w:hint="eastAsia" w:ascii="宋体" w:hAnsi="宋体" w:eastAsia="宋体" w:cs="宋体"/>
          <w:color w:val="auto"/>
          <w:lang w:val="en-US" w:eastAsia="zh-CN"/>
        </w:rPr>
      </w:pPr>
      <w:r>
        <w:rPr>
          <w:rFonts w:hint="eastAsia" w:ascii="宋体" w:hAnsi="宋体" w:eastAsia="宋体" w:cs="宋体"/>
          <w:color w:val="auto"/>
          <w:lang w:val="en-US" w:eastAsia="zh-CN"/>
        </w:rPr>
        <w:t>3.</w:t>
      </w:r>
      <w:r>
        <w:rPr>
          <w:rFonts w:hint="eastAsia" w:ascii="宋体" w:hAnsi="宋体" w:eastAsia="宋体" w:cs="宋体"/>
          <w:color w:val="auto"/>
        </w:rPr>
        <w:t>矩阵规模在1024</w:t>
      </w:r>
      <w:r>
        <w:rPr>
          <w:rFonts w:hint="eastAsia" w:ascii="宋体" w:hAnsi="宋体" w:eastAsia="宋体" w:cs="宋体"/>
          <w:color w:val="auto"/>
          <w:lang w:val="en-US" w:eastAsia="zh-CN"/>
        </w:rPr>
        <w:t>到</w:t>
      </w:r>
      <w:r>
        <w:rPr>
          <w:rFonts w:hint="eastAsia" w:ascii="宋体" w:hAnsi="宋体" w:eastAsia="宋体" w:cs="宋体"/>
          <w:color w:val="auto"/>
        </w:rPr>
        <w:t>4096</w:t>
      </w:r>
      <w:r>
        <w:rPr>
          <w:rFonts w:hint="eastAsia" w:ascii="宋体" w:hAnsi="宋体" w:eastAsia="宋体" w:cs="宋体"/>
          <w:color w:val="auto"/>
          <w:lang w:eastAsia="zh-CN"/>
        </w:rPr>
        <w:t>的</w:t>
      </w:r>
      <w:r>
        <w:rPr>
          <w:rFonts w:hint="eastAsia" w:ascii="宋体" w:hAnsi="宋体" w:eastAsia="宋体" w:cs="宋体"/>
          <w:color w:val="auto"/>
          <w:lang w:val="en-US" w:eastAsia="zh-CN"/>
        </w:rPr>
        <w:t>测试：</w:t>
      </w:r>
    </w:p>
    <w:p>
      <w:pPr>
        <w:rPr>
          <w:rFonts w:hint="eastAsia" w:ascii="宋体" w:hAnsi="宋体" w:eastAsia="宋体" w:cs="宋体"/>
          <w:color w:val="auto"/>
          <w:lang w:val="en-US" w:eastAsia="zh-CN"/>
        </w:rPr>
      </w:pPr>
      <w:r>
        <w:rPr>
          <w:rFonts w:hint="eastAsia" w:ascii="宋体" w:hAnsi="宋体" w:eastAsia="宋体" w:cs="宋体"/>
          <w:color w:val="auto"/>
          <w:lang w:val="en-US" w:eastAsia="zh-CN"/>
        </w:rPr>
        <w:t>1024：</w:t>
      </w:r>
    </w:p>
    <w:p>
      <w:pPr>
        <w:rPr>
          <w:rFonts w:hint="eastAsia" w:ascii="宋体" w:hAnsi="宋体" w:eastAsia="宋体" w:cs="宋体"/>
          <w:color w:val="auto"/>
        </w:rPr>
      </w:pPr>
    </w:p>
    <w:p>
      <w:pPr>
        <w:jc w:val="center"/>
        <w:rPr>
          <w:rFonts w:hint="eastAsia" w:ascii="宋体" w:hAnsi="宋体" w:eastAsia="宋体" w:cs="宋体"/>
          <w:color w:val="auto"/>
        </w:rPr>
      </w:pPr>
      <w:r>
        <w:rPr>
          <w:rFonts w:hint="eastAsia" w:ascii="宋体" w:hAnsi="宋体" w:eastAsia="宋体" w:cs="宋体"/>
          <w:color w:val="auto"/>
        </w:rPr>
        <w:drawing>
          <wp:inline distT="0" distB="0" distL="114300" distR="114300">
            <wp:extent cx="5268595" cy="2277110"/>
            <wp:effectExtent l="0" t="0" r="444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277110"/>
                    </a:xfrm>
                    <a:prstGeom prst="rect">
                      <a:avLst/>
                    </a:prstGeom>
                    <a:noFill/>
                    <a:ln>
                      <a:noFill/>
                    </a:ln>
                  </pic:spPr>
                </pic:pic>
              </a:graphicData>
            </a:graphic>
          </wp:inline>
        </w:drawing>
      </w:r>
    </w:p>
    <w:p>
      <w:pPr>
        <w:rPr>
          <w:rFonts w:hint="eastAsia" w:ascii="宋体" w:hAnsi="宋体" w:eastAsia="宋体" w:cs="宋体"/>
          <w:color w:val="auto"/>
        </w:rPr>
      </w:pPr>
    </w:p>
    <w:p>
      <w:pPr>
        <w:rPr>
          <w:rFonts w:hint="eastAsia" w:ascii="宋体" w:hAnsi="宋体" w:eastAsia="宋体" w:cs="宋体"/>
          <w:color w:val="auto"/>
          <w:lang w:val="en-US" w:eastAsia="zh-CN"/>
        </w:rPr>
      </w:pPr>
      <w:r>
        <w:rPr>
          <w:rFonts w:hint="eastAsia" w:ascii="宋体" w:hAnsi="宋体" w:eastAsia="宋体" w:cs="宋体"/>
          <w:color w:val="auto"/>
          <w:lang w:val="en-US" w:eastAsia="zh-CN"/>
        </w:rPr>
        <w:t>2048：</w:t>
      </w:r>
    </w:p>
    <w:p>
      <w:pPr>
        <w:jc w:val="center"/>
        <w:rPr>
          <w:rFonts w:hint="eastAsia" w:ascii="宋体" w:hAnsi="宋体" w:eastAsia="宋体" w:cs="宋体"/>
          <w:color w:val="auto"/>
        </w:rPr>
      </w:pPr>
      <w:r>
        <w:rPr>
          <w:rFonts w:hint="eastAsia" w:ascii="宋体" w:hAnsi="宋体" w:eastAsia="宋体" w:cs="宋体"/>
          <w:color w:val="auto"/>
        </w:rPr>
        <w:drawing>
          <wp:inline distT="0" distB="0" distL="114300" distR="114300">
            <wp:extent cx="5052060" cy="262128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052060" cy="2621280"/>
                    </a:xfrm>
                    <a:prstGeom prst="rect">
                      <a:avLst/>
                    </a:prstGeom>
                    <a:noFill/>
                    <a:ln>
                      <a:noFill/>
                    </a:ln>
                  </pic:spPr>
                </pic:pic>
              </a:graphicData>
            </a:graphic>
          </wp:inline>
        </w:drawing>
      </w:r>
    </w:p>
    <w:p>
      <w:pPr>
        <w:rPr>
          <w:rFonts w:hint="eastAsia" w:ascii="宋体" w:hAnsi="宋体" w:eastAsia="宋体" w:cs="宋体"/>
          <w:color w:val="auto"/>
          <w:lang w:val="en-US" w:eastAsia="zh-CN"/>
        </w:rPr>
      </w:pPr>
      <w:r>
        <w:rPr>
          <w:rFonts w:hint="eastAsia" w:ascii="宋体" w:hAnsi="宋体" w:eastAsia="宋体" w:cs="宋体"/>
          <w:color w:val="auto"/>
          <w:lang w:val="en-US" w:eastAsia="zh-CN"/>
        </w:rPr>
        <w:t>3072：</w:t>
      </w:r>
    </w:p>
    <w:p>
      <w:pPr>
        <w:jc w:val="center"/>
        <w:rPr>
          <w:rFonts w:hint="eastAsia" w:ascii="宋体" w:hAnsi="宋体" w:eastAsia="宋体" w:cs="宋体"/>
          <w:color w:val="auto"/>
          <w:lang w:val="en-US" w:eastAsia="zh-CN"/>
        </w:rPr>
      </w:pPr>
      <w:r>
        <w:rPr>
          <w:rFonts w:hint="eastAsia" w:ascii="宋体" w:hAnsi="宋体" w:eastAsia="宋体" w:cs="宋体"/>
          <w:color w:val="auto"/>
        </w:rPr>
        <w:drawing>
          <wp:inline distT="0" distB="0" distL="114300" distR="114300">
            <wp:extent cx="3855720" cy="23469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855720" cy="2346960"/>
                    </a:xfrm>
                    <a:prstGeom prst="rect">
                      <a:avLst/>
                    </a:prstGeom>
                    <a:noFill/>
                    <a:ln>
                      <a:noFill/>
                    </a:ln>
                  </pic:spPr>
                </pic:pic>
              </a:graphicData>
            </a:graphic>
          </wp:inline>
        </w:drawing>
      </w:r>
    </w:p>
    <w:p>
      <w:pPr>
        <w:rPr>
          <w:rFonts w:hint="eastAsia" w:ascii="宋体" w:hAnsi="宋体" w:eastAsia="宋体" w:cs="宋体"/>
          <w:color w:val="auto"/>
        </w:rPr>
      </w:pPr>
    </w:p>
    <w:p>
      <w:pPr>
        <w:rPr>
          <w:rFonts w:hint="eastAsia" w:ascii="宋体" w:hAnsi="宋体" w:eastAsia="宋体" w:cs="宋体"/>
          <w:color w:val="auto"/>
          <w:lang w:val="en-US" w:eastAsia="zh-CN"/>
        </w:rPr>
      </w:pPr>
      <w:r>
        <w:rPr>
          <w:rFonts w:hint="eastAsia" w:ascii="宋体" w:hAnsi="宋体" w:eastAsia="宋体" w:cs="宋体"/>
          <w:color w:val="auto"/>
          <w:lang w:val="en-US" w:eastAsia="zh-CN"/>
        </w:rPr>
        <w:t>4096：</w:t>
      </w:r>
    </w:p>
    <w:p>
      <w:pPr>
        <w:jc w:val="center"/>
        <w:rPr>
          <w:rFonts w:hint="eastAsia" w:ascii="宋体" w:hAnsi="宋体" w:eastAsia="宋体" w:cs="宋体"/>
          <w:color w:val="auto"/>
        </w:rPr>
      </w:pPr>
      <w:r>
        <w:rPr>
          <w:rFonts w:hint="eastAsia" w:ascii="宋体" w:hAnsi="宋体" w:eastAsia="宋体" w:cs="宋体"/>
          <w:color w:val="auto"/>
        </w:rPr>
        <w:drawing>
          <wp:inline distT="0" distB="0" distL="114300" distR="114300">
            <wp:extent cx="5021580" cy="283464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021580" cy="2834640"/>
                    </a:xfrm>
                    <a:prstGeom prst="rect">
                      <a:avLst/>
                    </a:prstGeom>
                    <a:noFill/>
                    <a:ln>
                      <a:noFill/>
                    </a:ln>
                  </pic:spPr>
                </pic:pic>
              </a:graphicData>
            </a:graphic>
          </wp:inline>
        </w:drawing>
      </w:r>
    </w:p>
    <w:p>
      <w:pPr>
        <w:jc w:val="center"/>
        <w:rPr>
          <w:rFonts w:hint="eastAsia" w:ascii="宋体" w:hAnsi="宋体" w:eastAsia="宋体" w:cs="宋体"/>
          <w:color w:val="auto"/>
        </w:rPr>
      </w:pPr>
    </w:p>
    <w:p>
      <w:pPr>
        <w:pStyle w:val="3"/>
        <w:numPr>
          <w:ilvl w:val="0"/>
          <w:numId w:val="1"/>
        </w:numPr>
        <w:bidi w:val="0"/>
        <w:rPr>
          <w:rFonts w:hint="eastAsia" w:ascii="宋体" w:hAnsi="宋体" w:eastAsia="宋体" w:cs="宋体"/>
          <w:color w:val="auto"/>
          <w:lang w:val="en-US" w:eastAsia="zh-CN"/>
        </w:rPr>
      </w:pPr>
      <w:r>
        <w:rPr>
          <w:rFonts w:hint="eastAsia" w:ascii="宋体" w:hAnsi="宋体" w:eastAsia="宋体" w:cs="宋体"/>
          <w:color w:val="auto"/>
          <w:lang w:val="en-US" w:eastAsia="zh-CN"/>
        </w:rPr>
        <w:t>实验结果</w:t>
      </w:r>
    </w:p>
    <w:p>
      <w:pPr>
        <w:jc w:val="center"/>
        <w:rPr>
          <w:rFonts w:hint="eastAsia" w:ascii="宋体" w:hAnsi="宋体" w:eastAsia="宋体" w:cs="宋体"/>
          <w:color w:val="auto"/>
          <w:sz w:val="24"/>
          <w:szCs w:val="24"/>
        </w:rPr>
      </w:pPr>
      <w:r>
        <w:rPr>
          <w:rFonts w:hint="eastAsia" w:ascii="宋体" w:hAnsi="宋体" w:eastAsia="宋体" w:cs="宋体"/>
          <w:color w:val="auto"/>
          <w:sz w:val="24"/>
          <w:szCs w:val="24"/>
        </w:rPr>
        <w:drawing>
          <wp:inline distT="0" distB="0" distL="0" distR="0">
            <wp:extent cx="4381500" cy="2571750"/>
            <wp:effectExtent l="0" t="0" r="7620" b="3810"/>
            <wp:docPr id="10108530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53020" name="图片 1"/>
                    <pic:cNvPicPr>
                      <a:picLocks noChangeAspect="1"/>
                    </pic:cNvPicPr>
                  </pic:nvPicPr>
                  <pic:blipFill>
                    <a:blip r:embed="rId8"/>
                    <a:stretch>
                      <a:fillRect/>
                    </a:stretch>
                  </pic:blipFill>
                  <pic:spPr>
                    <a:xfrm>
                      <a:off x="0" y="0"/>
                      <a:ext cx="4381725" cy="2571882"/>
                    </a:xfrm>
                    <a:prstGeom prst="rect">
                      <a:avLst/>
                    </a:prstGeom>
                  </pic:spPr>
                </pic:pic>
              </a:graphicData>
            </a:graphic>
          </wp:inline>
        </w:drawing>
      </w:r>
    </w:p>
    <w:p>
      <w:pPr>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可见，优化是成功的，并且比传</w:t>
      </w:r>
      <w:bookmarkStart w:id="0" w:name="_GoBack"/>
      <w:bookmarkEnd w:id="0"/>
      <w:r>
        <w:rPr>
          <w:rFonts w:hint="eastAsia" w:ascii="宋体" w:hAnsi="宋体" w:eastAsia="宋体" w:cs="宋体"/>
          <w:color w:val="auto"/>
          <w:sz w:val="24"/>
          <w:szCs w:val="24"/>
          <w:lang w:val="en-US" w:eastAsia="zh-CN"/>
        </w:rPr>
        <w:t>统的矩阵乘法效率快很多。</w:t>
      </w:r>
    </w:p>
    <w:p>
      <w:pPr>
        <w:jc w:val="left"/>
        <w:rPr>
          <w:rFonts w:hint="eastAsia" w:ascii="宋体" w:hAnsi="宋体" w:eastAsia="宋体" w:cs="宋体"/>
          <w:color w:val="auto"/>
          <w:sz w:val="24"/>
          <w:szCs w:val="24"/>
          <w:lang w:val="en-US" w:eastAsia="zh-CN"/>
        </w:rPr>
      </w:pPr>
    </w:p>
    <w:p>
      <w:pPr>
        <w:jc w:val="left"/>
        <w:rPr>
          <w:rFonts w:hint="eastAsia" w:ascii="宋体" w:hAnsi="宋体" w:eastAsia="宋体" w:cs="宋体"/>
          <w:color w:val="auto"/>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C096DB"/>
    <w:multiLevelType w:val="singleLevel"/>
    <w:tmpl w:val="B6C096DB"/>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ExNGI0MTE3YmYxNjVlM2IzZTE1OThmYjQ1YTdmZDQifQ=="/>
  </w:docVars>
  <w:rsids>
    <w:rsidRoot w:val="00000000"/>
    <w:rsid w:val="2D420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2023-06-04T13:40:05Z</dcterms:created>
  <dc:creator>zc</dc:creator>
  <cp:lastModifiedBy>微信用户</cp:lastModifiedBy>
  <dcterms:modified xsi:type="dcterms:W3CDTF">2023-06-04T15:09:54Z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14BB149FC7FE48008B385D36E0F930AE_12</vt:lpwstr>
  </property>
</Properties>
</file>