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color w:val="auto"/>
        </w:rPr>
      </w:pPr>
    </w:p>
    <w:p>
      <w:pPr>
        <w:jc w:val="center"/>
        <w:rPr>
          <w:rFonts w:hint="eastAsia" w:ascii="宋体" w:hAnsi="宋体" w:eastAsia="宋体" w:cs="宋体"/>
          <w:color w:val="auto"/>
        </w:rPr>
      </w:pPr>
    </w:p>
    <w:p>
      <w:pPr>
        <w:jc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color w:val="auto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4"/>
          <w:szCs w:val="44"/>
        </w:rPr>
      </w:pPr>
      <w:r>
        <w:rPr>
          <w:rFonts w:hint="eastAsia" w:ascii="宋体" w:hAnsi="宋体" w:eastAsia="宋体" w:cs="宋体"/>
          <w:b/>
          <w:bCs/>
          <w:color w:val="auto"/>
          <w:sz w:val="44"/>
          <w:szCs w:val="44"/>
          <w:lang w:val="en-US" w:eastAsia="zh-CN"/>
        </w:rPr>
        <w:t>恶意代码分析与防治</w:t>
      </w:r>
      <w:r>
        <w:rPr>
          <w:rFonts w:hint="eastAsia" w:ascii="宋体" w:hAnsi="宋体" w:eastAsia="宋体" w:cs="宋体"/>
          <w:b/>
          <w:bCs/>
          <w:color w:val="auto"/>
          <w:sz w:val="44"/>
          <w:szCs w:val="44"/>
        </w:rPr>
        <w:t>课程实验报告</w:t>
      </w: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16"/>
          <w:szCs w:val="16"/>
        </w:rPr>
      </w:pPr>
    </w:p>
    <w:p>
      <w:pPr>
        <w:jc w:val="center"/>
        <w:rPr>
          <w:rFonts w:hint="default" w:ascii="宋体" w:hAnsi="宋体" w:eastAsia="宋体" w:cs="宋体"/>
          <w:b/>
          <w:bCs/>
          <w:color w:val="auto"/>
          <w:sz w:val="40"/>
          <w:szCs w:val="40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40"/>
          <w:szCs w:val="40"/>
        </w:rPr>
        <w:t>实验</w:t>
      </w:r>
      <w:r>
        <w:rPr>
          <w:rFonts w:hint="eastAsia" w:ascii="宋体" w:hAnsi="宋体" w:eastAsia="宋体" w:cs="宋体"/>
          <w:b/>
          <w:bCs/>
          <w:color w:val="auto"/>
          <w:sz w:val="40"/>
          <w:szCs w:val="40"/>
          <w:lang w:val="en-US" w:eastAsia="zh-CN"/>
        </w:rPr>
        <w:t>12</w:t>
      </w: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  <w:r>
        <w:rPr>
          <w:rFonts w:hint="eastAsia" w:ascii="宋体" w:hAnsi="宋体" w:eastAsia="宋体" w:cs="宋体"/>
          <w:b/>
          <w:bCs/>
          <w:color w:val="auto"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</w:p>
    <w:p>
      <w:pPr>
        <w:ind w:left="2100" w:firstLine="420"/>
        <w:rPr>
          <w:rFonts w:hint="eastAsia" w:ascii="宋体" w:hAnsi="宋体" w:eastAsia="宋体" w:cs="宋体"/>
          <w:color w:val="auto"/>
          <w:sz w:val="36"/>
          <w:szCs w:val="36"/>
          <w:u w:val="single"/>
        </w:rPr>
      </w:pPr>
      <w:r>
        <w:rPr>
          <w:rFonts w:hint="eastAsia" w:ascii="宋体" w:hAnsi="宋体" w:eastAsia="宋体" w:cs="宋体"/>
          <w:color w:val="auto"/>
          <w:sz w:val="36"/>
          <w:szCs w:val="36"/>
        </w:rPr>
        <w:t>专   业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  <w:lang w:val="en-US" w:eastAsia="zh-CN"/>
        </w:rPr>
        <w:t xml:space="preserve"> 信息安全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</w:t>
      </w:r>
    </w:p>
    <w:p>
      <w:pPr>
        <w:ind w:left="2100" w:firstLine="420"/>
        <w:rPr>
          <w:rFonts w:hint="eastAsia" w:ascii="宋体" w:hAnsi="宋体" w:eastAsia="宋体" w:cs="宋体"/>
          <w:color w:val="auto"/>
          <w:sz w:val="36"/>
          <w:szCs w:val="36"/>
        </w:rPr>
      </w:pPr>
      <w:r>
        <w:rPr>
          <w:rFonts w:hint="eastAsia" w:ascii="宋体" w:hAnsi="宋体" w:eastAsia="宋体" w:cs="宋体"/>
          <w:color w:val="auto"/>
          <w:sz w:val="36"/>
          <w:szCs w:val="36"/>
        </w:rPr>
        <w:t>学   号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  <w:lang w:val="en-US" w:eastAsia="zh-CN"/>
        </w:rPr>
        <w:t>2113662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 </w:t>
      </w:r>
    </w:p>
    <w:p>
      <w:pPr>
        <w:ind w:left="2100" w:firstLine="420"/>
        <w:rPr>
          <w:rFonts w:hint="eastAsia" w:ascii="宋体" w:hAnsi="宋体" w:eastAsia="宋体" w:cs="宋体"/>
          <w:color w:val="auto"/>
          <w:sz w:val="36"/>
          <w:szCs w:val="36"/>
        </w:rPr>
      </w:pPr>
      <w:r>
        <w:rPr>
          <w:rFonts w:hint="eastAsia" w:ascii="宋体" w:hAnsi="宋体" w:eastAsia="宋体" w:cs="宋体"/>
          <w:color w:val="auto"/>
          <w:sz w:val="36"/>
          <w:szCs w:val="36"/>
        </w:rPr>
        <w:t>姓   名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  <w:lang w:val="en-US" w:eastAsia="zh-CN"/>
        </w:rPr>
        <w:t>张丛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    </w:t>
      </w:r>
    </w:p>
    <w:p>
      <w:pPr>
        <w:ind w:left="2100" w:firstLine="420"/>
        <w:rPr>
          <w:rFonts w:hint="eastAsia" w:ascii="宋体" w:hAnsi="宋体" w:eastAsia="宋体" w:cs="宋体"/>
          <w:color w:val="auto"/>
          <w:sz w:val="36"/>
          <w:szCs w:val="36"/>
          <w:u w:val="single"/>
        </w:rPr>
      </w:pPr>
      <w:r>
        <w:rPr>
          <w:rFonts w:hint="eastAsia" w:ascii="宋体" w:hAnsi="宋体" w:eastAsia="宋体" w:cs="宋体"/>
          <w:color w:val="auto"/>
          <w:sz w:val="36"/>
          <w:szCs w:val="36"/>
        </w:rPr>
        <w:t xml:space="preserve">班   级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  <w:lang w:val="en-US" w:eastAsia="zh-CN"/>
        </w:rPr>
        <w:t>信安一班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</w:t>
      </w:r>
    </w:p>
    <w:p>
      <w:pPr>
        <w:pStyle w:val="15"/>
        <w:widowControl/>
        <w:numPr>
          <w:ilvl w:val="0"/>
          <w:numId w:val="1"/>
        </w:numPr>
        <w:ind w:firstLineChars="0"/>
        <w:jc w:val="left"/>
        <w:rPr>
          <w:rFonts w:hint="eastAsia" w:ascii="宋体" w:hAnsi="宋体" w:eastAsia="宋体" w:cs="宋体"/>
          <w:b/>
          <w:bCs/>
          <w:color w:val="auto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color w:val="auto"/>
          <w:sz w:val="36"/>
          <w:szCs w:val="36"/>
        </w:rPr>
        <w:t>实验目的</w:t>
      </w:r>
    </w:p>
    <w:p>
      <w:pPr>
        <w:bidi w:val="0"/>
        <w:ind w:firstLine="420" w:firstLineChars="0"/>
        <w:rPr>
          <w:rFonts w:hint="eastAsia" w:ascii="宋体" w:hAnsi="宋体" w:eastAsia="宋体" w:cs="宋体"/>
          <w:color w:val="auto"/>
          <w:lang w:eastAsia="zh-CN"/>
        </w:rPr>
      </w:pPr>
      <w:r>
        <w:rPr>
          <w:rFonts w:hint="eastAsia" w:ascii="宋体" w:hAnsi="宋体" w:eastAsia="宋体" w:cs="宋体"/>
          <w:color w:val="auto"/>
        </w:rPr>
        <w:t>完成课本Lab</w:t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12</w:t>
      </w:r>
      <w:r>
        <w:rPr>
          <w:rFonts w:hint="eastAsia" w:ascii="宋体" w:hAnsi="宋体" w:eastAsia="宋体" w:cs="宋体"/>
          <w:color w:val="auto"/>
        </w:rPr>
        <w:t>的实验内容，编写Yara规则，并尝试IDA Python的自动化分析</w:t>
      </w:r>
      <w:r>
        <w:rPr>
          <w:rFonts w:hint="eastAsia" w:ascii="宋体" w:hAnsi="宋体" w:eastAsia="宋体" w:cs="宋体"/>
          <w:color w:val="auto"/>
          <w:lang w:eastAsia="zh-CN"/>
        </w:rPr>
        <w:t>。</w:t>
      </w:r>
    </w:p>
    <w:p>
      <w:pPr>
        <w:pStyle w:val="15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</w:rPr>
      </w:pPr>
      <w:bookmarkStart w:id="0" w:name="_GoBack"/>
      <w:bookmarkEnd w:id="0"/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="宋体"/>
          <w:b/>
          <w:bCs/>
          <w:color w:val="auto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color w:val="auto"/>
          <w:sz w:val="36"/>
          <w:szCs w:val="36"/>
        </w:rPr>
        <w:t>实验过程</w:t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 12-1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导入函数：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10000" cy="1495425"/>
            <wp:effectExtent l="0" t="0" r="0" b="1333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Proexproer检查：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77895" cy="2442845"/>
            <wp:effectExtent l="0" t="0" r="12065" b="1079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没有什么有用的信息。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IDA中：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353945" cy="2472690"/>
            <wp:effectExtent l="0" t="0" r="8255" b="1143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将这几个字符串重命名，便于识别。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该程序是一个对于PID的遍历。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59430" cy="1807845"/>
            <wp:effectExtent l="0" t="0" r="3810" b="5715"/>
            <wp:docPr id="4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80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这个函数的作用是检查是否存在explorer.exe这个程序。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61690" cy="2494915"/>
            <wp:effectExtent l="0" t="0" r="6350" b="4445"/>
            <wp:docPr id="4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Buffer表示的字符串是Lab12-01.dll.</w:t>
      </w:r>
    </w:p>
    <w:p>
      <w:pPr>
        <w:ind w:firstLine="420" w:firstLineChars="0"/>
      </w:pPr>
      <w:r>
        <w:drawing>
          <wp:inline distT="0" distB="0" distL="114300" distR="114300">
            <wp:extent cx="2299970" cy="2606675"/>
            <wp:effectExtent l="0" t="0" r="1270" b="14605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这段代码所表示的就是对explorer.exe程序进行注入。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根据已知分析结果，我们取proexp中查找被注入的程序：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354580" cy="2329180"/>
            <wp:effectExtent l="0" t="0" r="7620" b="254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ind w:left="425" w:leftChars="0" w:hanging="425" w:firstLineChars="0"/>
      </w:pPr>
      <w:r>
        <w:t>在你运行恶意代码可执行文件时，会发生什么？</w:t>
      </w:r>
    </w:p>
    <w:p>
      <w:pPr>
        <w:ind w:firstLine="420" w:firstLineChars="0"/>
        <w:jc w:val="both"/>
      </w:pPr>
      <w:r>
        <w:t>运行这个恶意代码之后，每分钟在屏幕上显示一次弹出消息，会显示已经弹出的次数。</w:t>
      </w:r>
    </w:p>
    <w:p>
      <w:pPr>
        <w:ind w:firstLine="420" w:firstLineChars="0"/>
        <w:jc w:val="both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905125" cy="1524000"/>
            <wp:effectExtent l="0" t="0" r="5715" b="0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</w:p>
    <w:p>
      <w:pPr>
        <w:pStyle w:val="4"/>
        <w:numPr>
          <w:ilvl w:val="0"/>
          <w:numId w:val="2"/>
        </w:numPr>
        <w:bidi w:val="0"/>
        <w:ind w:left="425" w:leftChars="0" w:hanging="425" w:firstLineChars="0"/>
      </w:pPr>
      <w:r>
        <w:t>哪个进程会被注入？</w:t>
      </w:r>
    </w:p>
    <w:p>
      <w:pPr>
        <w:bidi w:val="0"/>
        <w:ind w:firstLine="420" w:firstLineChars="0"/>
        <w:rPr>
          <w:rFonts w:hint="eastAsia" w:eastAsiaTheme="minorEastAsia"/>
          <w:lang w:val="en-US" w:eastAsia="zh-CN"/>
        </w:rPr>
      </w:pPr>
      <w:r>
        <w:t>被注入的程序是explorer.exe</w:t>
      </w:r>
      <w:r>
        <w:rPr>
          <w:rFonts w:hint="eastAsia"/>
          <w:lang w:eastAsia="zh-CN"/>
        </w:rPr>
        <w:t>。</w:t>
      </w:r>
    </w:p>
    <w:p>
      <w:pPr>
        <w:pStyle w:val="4"/>
        <w:numPr>
          <w:ilvl w:val="0"/>
          <w:numId w:val="2"/>
        </w:numPr>
        <w:bidi w:val="0"/>
        <w:ind w:left="425" w:leftChars="0" w:hanging="425" w:firstLineChars="0"/>
      </w:pPr>
      <w:r>
        <w:t>你如何能够让恶意代码停止弹出窗口？</w:t>
      </w:r>
    </w:p>
    <w:p>
      <w:pPr>
        <w:bidi w:val="0"/>
        <w:ind w:firstLine="420" w:firstLineChars="0"/>
      </w:pPr>
      <w:r>
        <w:t>重启explorer.exe进程。</w:t>
      </w:r>
    </w:p>
    <w:p>
      <w:pPr>
        <w:pStyle w:val="4"/>
        <w:numPr>
          <w:ilvl w:val="0"/>
          <w:numId w:val="2"/>
        </w:numPr>
        <w:bidi w:val="0"/>
        <w:ind w:left="425" w:leftChars="0" w:hanging="425" w:firstLineChars="0"/>
      </w:pPr>
      <w:r>
        <w:t>这个恶意代码样本是如何工作的？</w:t>
      </w:r>
    </w:p>
    <w:p>
      <w:pPr>
        <w:ind w:firstLine="420" w:firstLineChars="0"/>
      </w:pPr>
      <w:r>
        <w:drawing>
          <wp:inline distT="0" distB="0" distL="114300" distR="114300">
            <wp:extent cx="2789555" cy="2880360"/>
            <wp:effectExtent l="0" t="0" r="14605" b="0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t>这个恶意代码执行DLL注入，在explorer.exe中启动Lab12-01.dll，一旦Lab12-01.dll被注入，它在屏幕上每分钟显示一个消息框，并通过一个计数器，来显示已经弹出了多少次。</w:t>
      </w:r>
    </w:p>
    <w:p>
      <w:pPr>
        <w:bidi w:val="0"/>
        <w:ind w:firstLine="420" w:firstLineChars="0"/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 12-2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分析：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导入函数</w:t>
      </w:r>
      <w:r>
        <w:rPr>
          <w:rFonts w:hint="eastAsia"/>
          <w:b w:val="0"/>
          <w:bCs w:val="0"/>
          <w:lang w:val="en-US" w:eastAsia="zh-CN"/>
        </w:rPr>
        <w:t>：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2671445" cy="1714500"/>
            <wp:effectExtent l="0" t="0" r="10795" b="762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CreateProcessA、GetThreadContext以及SetThreadContext暗示着这个程序创建新的进程，并修改进程中线程的上下文。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导入函数ReadProcessMemory和WriteProcessMemory告诉我们这个程序对进程内存空间进行了直接的读写。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导入函数LockResource和SizeOfResource告诉我们这个进程比较重要的数据可能保存在哪里。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分析CreateProcessA函数的目的</w:t>
      </w:r>
      <w:r>
        <w:rPr>
          <w:rFonts w:hint="eastAsia"/>
          <w:b w:val="0"/>
          <w:bCs w:val="0"/>
          <w:lang w:val="en-US" w:eastAsia="zh-CN"/>
        </w:rPr>
        <w:t>：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3256915" cy="2857500"/>
            <wp:effectExtent l="0" t="0" r="4445" b="7620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在代码①处，我们看到一个push 4指令。而它被IDA Pro标记为参数dwCreationFlags。这个进程将不会被执行，除非等到这个主进程调用API ResumeThread函数时，它才会被启动。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在如下所示的位置，我们看到这个程序正在访问一个线程上下文。GetThreadContex的hThread参数与②处传递给CreateProcessA的参数处于同一个缓冲区，他告诉我们在这个程序正在访问挂起进程的上下文。获取进程句柄非常重要，因为程序将使用这个进程句柄与怪气进程进行交互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调用GetThreadContext以后，我们看见这个进程奖杯用于ReadProcessMemory的调用。为了更好地判断这个程序用进程上下文做了什么，我们需要在IDA Pro中添加CONTEXT结构体。要添加这个标准结构题，需要单击Structures标签页，按INS键。接着单击ADD Standard Structure按钮，并放置名为CONTEXT的结构体。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21940" cy="768350"/>
            <wp:effectExtent l="0" t="0" r="12700" b="8890"/>
            <wp:docPr id="5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0x4A偏移实际上调用了这个进程的EBX寄存器。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25750" cy="1435735"/>
            <wp:effectExtent l="0" t="0" r="8890" b="12065"/>
            <wp:docPr id="5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43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这个新创建就被挂起的进程EBX寄存器总是包含一个指向进程环境块（PEB）的数据结构。如下所示，在①处，程序以8字节递增结构体，并将这个值压到栈上，作为要读取内存的起始地址。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81680" cy="2686050"/>
            <wp:effectExtent l="0" t="0" r="10160" b="11430"/>
            <wp:docPr id="5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因为PEB数据结构并不是标准IDA Pro数据结构中而定一部分，我们使用其他的工具来判断PEB数据结构的8字节偏移处是什么：一个指向ImageBaseAddress（被加载的可执行文件起始部分）的指针。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将这个地址作为读取位置，并在②处读取4个字节，我们看到IDA Pro已标记为Buffer的变量将包含被挂起进程的ImageBase。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这个程序使用在0x004011E8处的GetProcessA，手动解析导入函数UnMapViewOfSection，并且在0x004011FE处，ImageBaseAddress作为UnMapViewOfSection的一个参数传入。UnMapViewOfSection的调用从内存中溢出这个被挂起的进程，此时程序不再被执行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08935" cy="2058035"/>
            <wp:effectExtent l="0" t="0" r="1905" b="14605"/>
            <wp:docPr id="5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05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在①处，显示了这个程序在被挂起进程的地址空间分配内存。在函数的开头，程序检查在0x004010FE处的魔术值MZ和0x00401119处的魔术值PE。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83965" cy="2036445"/>
            <wp:effectExtent l="0" t="0" r="10795" b="5715"/>
            <wp:docPr id="5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在②处，这个程序要求内存被分配在PE文件ImageBase的地址，它告诉Windows加载器这个可执行文件更倾向于被加载到哪个位置。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在③处，这个程序请求由PE头ImageSize属性指定内存的大小。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最终，在④处，我们查询MSDN文档判定这部分内存是以PAGE_EXECUTE_READWRITE权限分配的。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一旦这部分内存被分配后，在0x00401251处指令会调用writeProcessMemory函数。从这个PE文件的开头写入数据到挂起进程时分配的内存中。要写入的字节数是从PE文件头的偏移0x54处取得的，也就是SizeOfHeaders。第一次WriteProcessMemory调用将PE文件头复制到被挂起的进程中，这表明了这个程序正移动一个PE文件到另一个进程的地址空间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74745" cy="3112135"/>
            <wp:effectExtent l="0" t="0" r="13335" b="12065"/>
            <wp:docPr id="56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整体有一个循环函数。这个循环函数的作用试讲PE字节复制到内存中。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38730" cy="2549525"/>
            <wp:effectExtent l="0" t="0" r="6350" b="10795"/>
            <wp:docPr id="5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54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恢复了被挂起的进程。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33700" cy="1922780"/>
            <wp:effectExtent l="0" t="0" r="7620" b="12700"/>
            <wp:docPr id="58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被替换的进程是%SystemRoot%\System32\svchost.exe。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现在我们这个这个程序启动的是svchost.exe，但我们还需要判断要替换svchost.exe的进程。我们通过跟随在0x00401539处的变量lpBuffer，来跟踪传递给sub_4010EA的PE缓冲区，就像原路返回到Dst变量一样。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17215" cy="935355"/>
            <wp:effectExtent l="0" t="0" r="6985" b="9525"/>
            <wp:docPr id="59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0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我们定位到lpBuffer，它在①处接受EAX，通过检查之前的指令，可以发现在②处的一个函数调用。记住EAX用作一个函数的返回值，我们知道这个缓冲区来自函数sub_40132C,很明显，它使用变量hModule，即一个指向程序本身——Lab12-02.exe———内存指针。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2636520" cy="2537460"/>
            <wp:effectExtent l="0" t="0" r="0" b="7620"/>
            <wp:docPr id="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使用Resourcehack查看：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3942715" cy="2181225"/>
            <wp:effectExtent l="0" t="0" r="4445" b="13335"/>
            <wp:docPr id="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使用winhex解密：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35120" cy="2861945"/>
            <wp:effectExtent l="0" t="0" r="10160" b="3175"/>
            <wp:docPr id="64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rcRect l="3309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13512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</w:pPr>
      <w:r>
        <w:t>这个程序的目的是什么</w:t>
      </w:r>
      <w:r>
        <w:rPr>
          <w:rFonts w:hint="eastAsia"/>
          <w:lang w:eastAsia="zh-CN"/>
        </w:rPr>
        <w:t>？</w:t>
      </w:r>
    </w:p>
    <w:p>
      <w:pPr>
        <w:bidi w:val="0"/>
        <w:ind w:firstLine="420" w:firstLineChars="0"/>
      </w:pPr>
      <w:r>
        <w:t>这个程序的目的是秘密地启动另一个程序。</w:t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</w:pPr>
      <w:r>
        <w:t xml:space="preserve">启动器恶意代码是如何隐蔽执行的？ </w:t>
      </w:r>
    </w:p>
    <w:p>
      <w:pPr>
        <w:bidi w:val="0"/>
        <w:ind w:firstLine="420" w:firstLineChars="0"/>
      </w:pPr>
      <w:r>
        <w:t>这个程序使用进程替换来秘密执行。</w:t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</w:pPr>
      <w:r>
        <w:t>恶意代码的负载存储在哪里？</w:t>
      </w:r>
    </w:p>
    <w:p>
      <w:pPr>
        <w:bidi w:val="0"/>
        <w:ind w:firstLine="420" w:firstLineChars="0"/>
      </w:pPr>
      <w:r>
        <w:t>这个恶意的有效载荷（payload）被保存在这个程序的资源节中。这个资源节的类型是UNICODE，且名字是LOCALIZATION。</w:t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</w:pPr>
      <w:r>
        <w:t>恶意负载是如何被保护的？</w:t>
      </w:r>
    </w:p>
    <w:p>
      <w:pPr>
        <w:bidi w:val="0"/>
        <w:ind w:firstLine="420" w:firstLineChars="0"/>
      </w:pPr>
      <w:r>
        <w:t>保存在这个程序资源节中的恶意有效载荷是经过XOR编码过的。这个解码例程可以在sub_40132C处找到，而XOR字节在0x0040141B处可以找到。</w:t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t>字符串列表是如何被保护的？</w:t>
      </w:r>
    </w:p>
    <w:p>
      <w:pPr>
        <w:bidi w:val="0"/>
        <w:ind w:firstLine="420" w:firstLineChars="0"/>
      </w:pPr>
      <w:r>
        <w:t>这些字符串是使用sub_401000处的函数，进行XOR编码的。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 12-3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分析：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导入函数</w:t>
      </w:r>
      <w:r>
        <w:rPr>
          <w:rFonts w:hint="eastAsia"/>
          <w:b w:val="0"/>
          <w:bCs w:val="0"/>
          <w:lang w:val="en-US" w:eastAsia="zh-CN"/>
        </w:rPr>
        <w:t>：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76900" cy="866775"/>
            <wp:effectExtent l="0" t="0" r="7620" b="1905"/>
            <wp:docPr id="65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SetWindowsHookExA，这是一个允许应用程序挂钩或监控微软Windows内部事件的API。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14650" cy="1209675"/>
            <wp:effectExtent l="0" t="0" r="11430" b="9525"/>
            <wp:docPr id="66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7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我们看到SetWindowsHookExA在main中被调用，第一个参数是）0Dh，对应WH_KEYBOARD_LL，它使用IDA Pro标记为fn的挂钩函数启用键盘事件监控。这个函数可能对键击消息做些手脚，而这个fn函数正在接受这击键记录。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注册接受键盘事件的钩子之后，程序在0x00401076处的循环中调用了GetMessageA。本例中，程序一定要调用GetMessageA，因为Windows不会讲消息发送到程序进程的钩子函数中，知道循环产生错误，它才会停止。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移动fn函数，我们开始查看程序对截获的击键事件做了什么处理。fn是一个通用函数，它带有三个参数，它有一个定义为HOOKPROC的原型。查询MSDN文档，我们确定WH_KEYVOARD_LL回调函数，实际上是LowLevelKeyboardProc回调函数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09365" cy="2604135"/>
            <wp:effectExtent l="0" t="0" r="635" b="1905"/>
            <wp:docPr id="67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程序利用cmp指令检查按键的类型，将虚拟按键码传递到随后的函数sub_4010C7函数中。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检查sub_4010C7函数，我们看到程序首先打开一个文件practicalmalwareanalysis.log。打开文件之后，恶意代码调用GetForegroundWindows和GetWindoTextA，如下所示。GetForegroundWindows选择按键按下时的活动窗口，然后使用GetWindoTextA获得窗口的标题。通过这些操作，帮助程序提供按键来源的上下文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39720" cy="1888490"/>
            <wp:effectExtent l="0" t="0" r="10160" b="1270"/>
            <wp:docPr id="68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9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88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一旦程序将窗口标题写入到日志文件，它就进入下一个跳转表。确定变量var_c包含传入函数sub_4010C7的虚拟按键码后，我们看到虚拟按键码作为一个查询表的索引。查询表得到的值作为跳转表off_401441的一个索引。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07865" cy="1248410"/>
            <wp:effectExtent l="0" t="0" r="3175" b="1270"/>
            <wp:docPr id="69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0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在sub eax,8处，剩下的值为0x8。在byte_40148D查找偏移量0x8。得到值3,3被存入到ecx中。然后，ecx乘以4，得到0xC，将它作为off_401441的一个偏移量，然后返回到位置loc_401249，这里我们发现字符串[SHIFT]被写入到日志文件中。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66540" cy="2048510"/>
            <wp:effectExtent l="0" t="0" r="2540" b="8890"/>
            <wp:docPr id="70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</w:pPr>
      <w:r>
        <w:t xml:space="preserve">  这个恶意负载的目的是什么？ </w:t>
      </w:r>
    </w:p>
    <w:p>
      <w:pPr>
        <w:bidi w:val="0"/>
        <w:ind w:firstLine="420" w:firstLineChars="0"/>
      </w:pPr>
      <w:r>
        <w:t>这个程序是一个击键记录器。</w:t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</w:pPr>
      <w:r>
        <w:t xml:space="preserve">  恶意负载是如何注入自身的？</w:t>
      </w:r>
    </w:p>
    <w:p>
      <w:pPr>
        <w:bidi w:val="0"/>
        <w:ind w:firstLine="420" w:firstLineChars="0"/>
      </w:pPr>
      <w:r>
        <w:t>这个程序使用挂钩注入，来偷取击键记录。</w:t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t>这个程序还注入了哪些文件？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t>这个程序创建文件practicalmalwareanalysis.log，来保存击键记录。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 12-4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分析：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查看导入表</w:t>
      </w:r>
      <w:r>
        <w:rPr>
          <w:rFonts w:hint="eastAsia"/>
          <w:b w:val="0"/>
          <w:bCs w:val="0"/>
          <w:lang w:val="en-US" w:eastAsia="zh-CN"/>
        </w:rPr>
        <w:t>：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69715" cy="1200150"/>
            <wp:effectExtent l="0" t="0" r="14605" b="3810"/>
            <wp:docPr id="71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使用resourcehack查看</w:t>
      </w:r>
      <w:r>
        <w:rPr>
          <w:rFonts w:hint="eastAsia"/>
          <w:b w:val="0"/>
          <w:bCs w:val="0"/>
          <w:lang w:val="en-US" w:eastAsia="zh-CN"/>
        </w:rPr>
        <w:t>：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3642995" cy="2588895"/>
            <wp:effectExtent l="0" t="0" r="14605" b="1905"/>
            <wp:docPr id="7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确实为一个PE文件，我们将它提取出来。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启动wireshark和promon，进行动态分析。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9870" cy="626110"/>
            <wp:effectExtent l="0" t="0" r="8890" b="13970"/>
            <wp:docPr id="73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4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62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程序添加了一个文件，使用winmd5可知这个文件和我们在上从程序中提取出来的文件是同一个文件。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70250" cy="2976880"/>
            <wp:effectExtent l="0" t="0" r="6350" b="10160"/>
            <wp:docPr id="74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5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试图从一个网址下载程序。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</w:pPr>
      <w:r>
        <w:t xml:space="preserve">位置 0x401000 的代码完成了什么功能？ </w:t>
      </w:r>
    </w:p>
    <w:p>
      <w:pPr>
        <w:bidi w:val="0"/>
      </w:pPr>
      <w:r>
        <w:drawing>
          <wp:inline distT="0" distB="0" distL="114300" distR="114300">
            <wp:extent cx="3752850" cy="2235200"/>
            <wp:effectExtent l="0" t="0" r="11430" b="5080"/>
            <wp:docPr id="75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6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</w:rPr>
      </w:pPr>
      <w:r>
        <w:t>首先是调用函数，重命名。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然后是遍历PID。</w:t>
      </w:r>
    </w:p>
    <w:p>
      <w:pPr>
        <w:bidi w:val="0"/>
      </w:pPr>
      <w:r>
        <w:drawing>
          <wp:inline distT="0" distB="0" distL="114300" distR="114300">
            <wp:extent cx="3565525" cy="2966720"/>
            <wp:effectExtent l="0" t="0" r="635" b="5080"/>
            <wp:docPr id="76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7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</w:rPr>
      </w:pPr>
      <w:r>
        <w:t>进入函数查看</w:t>
      </w:r>
      <w:r>
        <w:rPr>
          <w:rFonts w:hint="eastAsia"/>
          <w:lang w:eastAsia="zh-CN"/>
        </w:rPr>
        <w:t>。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查看str1和str2中保存了什么字符串。</w:t>
      </w:r>
    </w:p>
    <w:p>
      <w:pPr>
        <w:bidi w:val="0"/>
      </w:pPr>
      <w:r>
        <w:drawing>
          <wp:inline distT="0" distB="0" distL="114300" distR="114300">
            <wp:extent cx="3297555" cy="2547620"/>
            <wp:effectExtent l="0" t="0" r="9525" b="12700"/>
            <wp:docPr id="78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9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54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</w:rPr>
      </w:pPr>
      <w:r>
        <w:t>比对str1和str2。</w:t>
      </w:r>
    </w:p>
    <w:p>
      <w:pPr>
        <w:bidi w:val="0"/>
      </w:pPr>
      <w:r>
        <w:drawing>
          <wp:inline distT="0" distB="0" distL="114300" distR="114300">
            <wp:extent cx="4277360" cy="1214120"/>
            <wp:effectExtent l="0" t="0" r="5080" b="5080"/>
            <wp:docPr id="77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8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121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ind w:firstLine="420" w:firstLineChars="0"/>
      </w:pPr>
      <w:r>
        <w:t>这个函数的作用是对比当前进程是否是winlogon.exe。</w:t>
      </w:r>
    </w:p>
    <w:p>
      <w:pPr>
        <w:bidi w:val="0"/>
        <w:rPr>
          <w:rFonts w:hint="default"/>
        </w:rPr>
      </w:pP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</w:pPr>
      <w:r>
        <w:t>代码注入了哪个进程？</w:t>
      </w:r>
    </w:p>
    <w:p>
      <w:pPr>
        <w:bidi w:val="0"/>
      </w:pPr>
      <w:r>
        <w:drawing>
          <wp:inline distT="0" distB="0" distL="114300" distR="114300">
            <wp:extent cx="3362960" cy="3071495"/>
            <wp:effectExtent l="0" t="0" r="5080" b="6985"/>
            <wp:docPr id="7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t>被远程注入的程序就是winlogon.exe。</w:t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</w:pPr>
      <w:r>
        <w:t>使用LoadLibraryA装载了哪个DLL程序？</w:t>
      </w:r>
    </w:p>
    <w:p>
      <w:pPr>
        <w:bidi w:val="0"/>
      </w:pPr>
      <w:r>
        <w:drawing>
          <wp:inline distT="0" distB="0" distL="114300" distR="114300">
            <wp:extent cx="3486150" cy="904875"/>
            <wp:effectExtent l="0" t="0" r="3810" b="9525"/>
            <wp:docPr id="80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1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t>装载的DLL程序是sfc_os.dll，调用的函数可以禁用文件保护机制。</w:t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</w:pPr>
      <w:r>
        <w:t>传递给CreateRemoteThread调用的第4个参数是什么？</w:t>
      </w:r>
    </w:p>
    <w:p>
      <w:pPr>
        <w:bidi w:val="0"/>
        <w:ind w:firstLine="420" w:firstLineChars="0"/>
      </w:pPr>
      <w:r>
        <w:t>指向的是一个函数而定指针，就是sfc_os.dll中序号为2的函数的指针。</w:t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</w:pPr>
      <w:r>
        <w:t>二进制主程序释放出了哪个恶意代码？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从网页中下载文件，重命名到目录：\system32\wupdmgrd.exe。</w:t>
      </w:r>
    </w:p>
    <w:p>
      <w:pPr>
        <w:bidi w:val="0"/>
        <w:rPr>
          <w:rFonts w:hint="eastAsia"/>
        </w:rPr>
      </w:pPr>
      <w:r>
        <w:rPr>
          <w:rFonts w:hint="eastAsia"/>
        </w:rPr>
        <w:t>恶意文件wuodmgrd.exe比正常wuodmgr.exe多了一个字母d。</w:t>
      </w:r>
    </w:p>
    <w:p>
      <w:pPr>
        <w:bidi w:val="0"/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</w:rPr>
        <w:t>恶意代码从资源段中释放一个二进制文件，并且将这个二进制文件覆盖旧的Windows更新程序( wupdmgr.exe)。覆盖真实的wupdmgr.exe之前，恶意代码将它复制到%TEMP%目录，供以后使用</w:t>
      </w:r>
      <w:r>
        <w:rPr>
          <w:rFonts w:hint="eastAsia"/>
          <w:lang w:eastAsia="zh-CN"/>
        </w:rPr>
        <w:t>。</w:t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t>释放出恶意代码的目的是什么？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恶意代码向winlogon.exe注入一个远程线程，并且调用sfc_ os.dll 的一个导出函数(序号为2的SfcTerminateWatcherThread)，在下次启动之前禁用Windows的文件保护机制。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因为这个函数一定要运行在进程winlogon.exe 中，所以CreateRemoteThread调用十分必要。恶意代码通过用这个二进制文件来更新自己的恶意代码。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yara</w:t>
      </w:r>
    </w:p>
    <w:p>
      <w:pPr>
        <w:pStyle w:val="15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rule Lab12</w:t>
      </w:r>
    </w:p>
    <w:p>
      <w:pPr>
        <w:pStyle w:val="15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15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meta:</w:t>
      </w:r>
    </w:p>
    <w:p>
      <w:pPr>
        <w:pStyle w:val="15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description = "rules for Lab12"</w:t>
      </w:r>
    </w:p>
    <w:p>
      <w:pPr>
        <w:pStyle w:val="15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date = "2021/12/11"</w:t>
      </w:r>
    </w:p>
    <w:p>
      <w:pPr>
        <w:pStyle w:val="15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strings:</w:t>
      </w:r>
    </w:p>
    <w:p>
      <w:pPr>
        <w:pStyle w:val="15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$a0 = "LOCALIZATION"</w:t>
      </w:r>
    </w:p>
    <w:p>
      <w:pPr>
        <w:pStyle w:val="15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$a1 = "paticalmalwareanalysis.log，"</w:t>
      </w:r>
    </w:p>
    <w:p>
      <w:pPr>
        <w:pStyle w:val="15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$a2 = "wupdmgrd.exe" </w:t>
      </w:r>
    </w:p>
    <w:p>
      <w:pPr>
        <w:pStyle w:val="15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$a3 = "http://www.practicalmalwareanalysis.com/updater.exe"</w:t>
      </w:r>
    </w:p>
    <w:p>
      <w:pPr>
        <w:pStyle w:val="15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condition:</w:t>
      </w:r>
    </w:p>
    <w:p>
      <w:pPr>
        <w:pStyle w:val="15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any of them</w:t>
      </w:r>
    </w:p>
    <w:p>
      <w:pPr>
        <w:pStyle w:val="15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eastAsia" w:ascii="宋体" w:hAnsi="宋体" w:eastAsia="宋体" w:cs="宋体"/>
          <w:b/>
          <w:bCs/>
          <w:color w:val="auto"/>
          <w:sz w:val="24"/>
          <w:szCs w:val="24"/>
        </w:rPr>
      </w:pPr>
      <w:r>
        <w:rPr>
          <w:rFonts w:hint="eastAsia" w:ascii="宋体" w:hAnsi="宋体" w:eastAsia="宋体" w:cs="宋体"/>
          <w:sz w:val="22"/>
        </w:rPr>
        <w:br w:type="textWrapping"/>
      </w:r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="宋体"/>
          <w:b/>
          <w:bCs/>
          <w:color w:val="auto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color w:val="auto"/>
          <w:sz w:val="36"/>
          <w:szCs w:val="36"/>
        </w:rPr>
        <w:t>实验结论及心得体会</w:t>
      </w:r>
    </w:p>
    <w:p>
      <w:pPr>
        <w:bidi w:val="0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复习到课上的知识点，</w:t>
      </w:r>
      <w:r>
        <w:rPr>
          <w:rFonts w:hint="eastAsia"/>
        </w:rPr>
        <w:t>隐蔽的恶意代码启动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包括直接注入、挂钩等等。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熟练使用恶意代码分析工具。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68EA42"/>
    <w:multiLevelType w:val="singleLevel"/>
    <w:tmpl w:val="B568EA4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CE403733"/>
    <w:multiLevelType w:val="singleLevel"/>
    <w:tmpl w:val="CE40373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7114262"/>
    <w:multiLevelType w:val="singleLevel"/>
    <w:tmpl w:val="E711426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1A583280"/>
    <w:multiLevelType w:val="singleLevel"/>
    <w:tmpl w:val="1A58328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ExNGI0MTE3YmYxNjVlM2IzZTE1OThmYjQ1YTdmZDQifQ=="/>
  </w:docVars>
  <w:rsids>
    <w:rsidRoot w:val="00F51A3F"/>
    <w:rsid w:val="000A38B2"/>
    <w:rsid w:val="00161866"/>
    <w:rsid w:val="004F18E2"/>
    <w:rsid w:val="008028FC"/>
    <w:rsid w:val="00A07F76"/>
    <w:rsid w:val="00B556B0"/>
    <w:rsid w:val="00E12748"/>
    <w:rsid w:val="00F51A3F"/>
    <w:rsid w:val="05D16273"/>
    <w:rsid w:val="1B7012D5"/>
    <w:rsid w:val="2B0674C1"/>
    <w:rsid w:val="540E314D"/>
    <w:rsid w:val="5E8B5641"/>
    <w:rsid w:val="66031FEA"/>
    <w:rsid w:val="68BA5F7A"/>
    <w:rsid w:val="6F051154"/>
    <w:rsid w:val="79591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11">
    <w:name w:val="Hyperlink"/>
    <w:basedOn w:val="10"/>
    <w:semiHidden/>
    <w:unhideWhenUsed/>
    <w:qFormat/>
    <w:uiPriority w:val="99"/>
    <w:rPr>
      <w:color w:val="0000FF"/>
      <w:u w:val="single"/>
    </w:rPr>
  </w:style>
  <w:style w:type="character" w:styleId="12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character" w:customStyle="1" w:styleId="13">
    <w:name w:val="页眉 字符"/>
    <w:basedOn w:val="10"/>
    <w:link w:val="7"/>
    <w:qFormat/>
    <w:uiPriority w:val="99"/>
    <w:rPr>
      <w:sz w:val="18"/>
      <w:szCs w:val="18"/>
    </w:rPr>
  </w:style>
  <w:style w:type="character" w:customStyle="1" w:styleId="14">
    <w:name w:val="页脚 字符"/>
    <w:basedOn w:val="10"/>
    <w:link w:val="6"/>
    <w:qFormat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table" w:customStyle="1" w:styleId="16">
    <w:name w:val="网格型1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3</TotalTime>
  <ScaleCrop>false</ScaleCrop>
  <LinksUpToDate>false</LinksUpToDate>
  <CharactersWithSpaces>158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微信用户</cp:lastModifiedBy>
  <dcterms:modified xsi:type="dcterms:W3CDTF">2023-12-10T10:58:30Z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93BA49D0ECAE4D68AB30E824E97061EB_12</vt:lpwstr>
  </property>
</Properties>
</file>