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b w:val="true"/>
          <w:color w:val="000000"/>
          <w:sz w:val="50"/>
        </w:rPr>
        <w:t>Tech Weekly: AI Infrastructure Boom Meets Security Reality</w:t>
      </w:r>
    </w:p>
    <w:p>
      <w:pPr>
        <w:spacing w:before="120" w:after="120" w:line="288" w:lineRule="auto"/>
        <w:jc w:val="center"/>
      </w:pPr>
      <w:r>
        <w:rPr>
          <w:rFonts w:eastAsia="等线" w:ascii="Arial" w:hAnsi="等线" w:cs="等线"/>
          <w:color w:val="475569"/>
          <w:sz w:val="22"/>
        </w:rPr>
        <w:t>Record chip exports and massive model updates define the week, while a major breach exposes the fragility of government tech.</w:t>
      </w:r>
    </w:p>
    <w:p>
      <w:pPr>
        <w:spacing w:before="120" w:after="120" w:line="288" w:lineRule="auto"/>
        <w:jc w:val="center"/>
      </w:pPr>
      <w:r>
        <w:rPr>
          <w:rFonts w:eastAsia="等线" w:ascii="Arial" w:hAnsi="等线" w:cs="等线"/>
          <w:b w:val="true"/>
          <w:color w:val="94A3B8"/>
          <w:sz w:val="22"/>
        </w:rPr>
        <w:t>San Francisco, CA</w:t>
      </w:r>
      <w:r>
        <w:rPr>
          <w:rFonts w:eastAsia="等线" w:ascii="Arial" w:hAnsi="等线" w:cs="等线"/>
          <w:color w:val="94A3B8"/>
          <w:sz w:val="22"/>
        </w:rPr>
        <w:t xml:space="preserve"> — February 12, 2026</w:t>
      </w:r>
    </w:p>
    <w:p>
      <w:pPr>
        <w:spacing w:before="120" w:after="120" w:line="288" w:lineRule="auto"/>
      </w:pPr>
      <w:r>
        <w:rPr>
          <w:rFonts w:eastAsia="等线" w:ascii="Arial" w:hAnsi="等线" w:cs="等线"/>
          <w:color w:val="000000"/>
          <w:sz w:val="22"/>
        </w:rPr>
        <w:t>The past week in technology has been defined by a stark contrast: the relentless acceleration of artificial intelligence infrastructure and the persistent vulnerabilities in critical digital systems. As OpenAI and Anthropic released their most capable coding agents to date, driving a 16-year high in Taiwan’s export data, the industry simultaneously grappled with a massive data breach at government contractor Conduent. From Silicon Valley’s latest model wars to the semiconductor fabs of Taiwan, the signal is clear: the AI build-out is entering a capital-intensive deployment phase, even as basic cybersecurity hygiene remains a critical risk factor.</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At a Glance</w:t>
            </w:r>
          </w:p>
          <w:p>
            <w:pPr>
              <w:numPr>
                <w:ilvl w:val="0"/>
                <w:numId w:val="10"/>
              </w:numPr>
              <w:spacing w:before="120" w:after="120" w:line="288" w:lineRule="auto"/>
              <w:jc w:val="left"/>
            </w:pPr>
            <w:r>
              <w:rPr>
                <w:rFonts w:eastAsia="等线" w:ascii="Arial" w:hAnsi="等线" w:cs="等线"/>
                <w:b w:val="true"/>
                <w:color w:val="000000"/>
                <w:sz w:val="22"/>
              </w:rPr>
              <w:t>Cisco</w:t>
            </w:r>
            <w:r>
              <w:rPr>
                <w:rFonts w:eastAsia="等线" w:ascii="Arial" w:hAnsi="等线" w:cs="等线"/>
                <w:color w:val="000000"/>
                <w:sz w:val="22"/>
              </w:rPr>
              <w:t xml:space="preserve"> enters the AI networking ring with the G300 chip, claiming 28% faster job completion.</w:t>
            </w:r>
          </w:p>
          <w:p>
            <w:pPr>
              <w:numPr>
                <w:ilvl w:val="0"/>
                <w:numId w:val="10"/>
              </w:numPr>
              <w:spacing w:before="120" w:after="120" w:line="288" w:lineRule="auto"/>
              <w:jc w:val="left"/>
            </w:pPr>
            <w:r>
              <w:rPr>
                <w:rFonts w:eastAsia="等线" w:ascii="Arial" w:hAnsi="等线" w:cs="等线"/>
                <w:b w:val="true"/>
                <w:color w:val="000000"/>
                <w:sz w:val="22"/>
              </w:rPr>
              <w:t>ByteDance</w:t>
            </w:r>
            <w:r>
              <w:rPr>
                <w:rFonts w:eastAsia="等线" w:ascii="Arial" w:hAnsi="等线" w:cs="等线"/>
                <w:color w:val="000000"/>
                <w:sz w:val="22"/>
              </w:rPr>
              <w:t xml:space="preserve"> pivots to Samsung for its "SeedChip" manufacturing amid supply constraints.</w:t>
            </w:r>
          </w:p>
          <w:p>
            <w:pPr>
              <w:numPr>
                <w:ilvl w:val="0"/>
                <w:numId w:val="10"/>
              </w:numPr>
              <w:spacing w:before="120" w:after="120" w:line="288" w:lineRule="auto"/>
              <w:jc w:val="left"/>
            </w:pPr>
            <w:r>
              <w:rPr>
                <w:rFonts w:eastAsia="等线" w:ascii="Arial" w:hAnsi="等线" w:cs="等线"/>
                <w:b w:val="true"/>
                <w:color w:val="000000"/>
                <w:sz w:val="22"/>
              </w:rPr>
              <w:t>OpenAI</w:t>
            </w:r>
            <w:r>
              <w:rPr>
                <w:rFonts w:eastAsia="等线" w:ascii="Arial" w:hAnsi="等线" w:cs="等线"/>
                <w:color w:val="000000"/>
                <w:sz w:val="22"/>
              </w:rPr>
              <w:t xml:space="preserve"> reports 800M weekly users and &gt;10% monthly growth as it releases GPT-5.3-Codex.</w:t>
            </w:r>
          </w:p>
          <w:p>
            <w:pPr>
              <w:numPr>
                <w:ilvl w:val="0"/>
                <w:numId w:val="10"/>
              </w:numPr>
              <w:spacing w:before="120" w:after="120" w:line="288" w:lineRule="auto"/>
              <w:jc w:val="left"/>
            </w:pPr>
            <w:r>
              <w:rPr>
                <w:rFonts w:eastAsia="等线" w:ascii="Arial" w:hAnsi="等线" w:cs="等线"/>
                <w:b w:val="true"/>
                <w:color w:val="000000"/>
                <w:sz w:val="22"/>
              </w:rPr>
              <w:t>Anthropic</w:t>
            </w:r>
            <w:r>
              <w:rPr>
                <w:rFonts w:eastAsia="等线" w:ascii="Arial" w:hAnsi="等线" w:cs="等线"/>
                <w:color w:val="000000"/>
                <w:sz w:val="22"/>
              </w:rPr>
              <w:t xml:space="preserve"> launches Claude Opus 4.6 with a 1-million token context window.</w:t>
            </w:r>
          </w:p>
          <w:p>
            <w:pPr>
              <w:numPr>
                <w:ilvl w:val="0"/>
                <w:numId w:val="10"/>
              </w:numPr>
              <w:spacing w:before="120" w:after="120" w:line="288" w:lineRule="auto"/>
              <w:jc w:val="left"/>
            </w:pPr>
            <w:r>
              <w:rPr>
                <w:rFonts w:eastAsia="等线" w:ascii="Arial" w:hAnsi="等线" w:cs="等线"/>
                <w:b w:val="true"/>
                <w:color w:val="000000"/>
                <w:sz w:val="22"/>
              </w:rPr>
              <w:t>Taiwan’s exports</w:t>
            </w:r>
            <w:r>
              <w:rPr>
                <w:rFonts w:eastAsia="等线" w:ascii="Arial" w:hAnsi="等线" w:cs="等线"/>
                <w:color w:val="000000"/>
                <w:sz w:val="22"/>
              </w:rPr>
              <w:t xml:space="preserve"> surge 69.9% year-over-year, driven by a 151% jump in US demand.</w:t>
            </w:r>
          </w:p>
          <w:p>
            <w:pPr>
              <w:numPr>
                <w:ilvl w:val="0"/>
                <w:numId w:val="10"/>
              </w:numPr>
              <w:spacing w:before="120" w:after="120" w:line="288" w:lineRule="auto"/>
              <w:jc w:val="left"/>
            </w:pPr>
            <w:r>
              <w:rPr>
                <w:rFonts w:eastAsia="等线" w:ascii="Arial" w:hAnsi="等线" w:cs="等线"/>
                <w:b w:val="true"/>
                <w:color w:val="000000"/>
                <w:sz w:val="22"/>
              </w:rPr>
              <w:t>Conduent breach</w:t>
            </w:r>
            <w:r>
              <w:rPr>
                <w:rFonts w:eastAsia="等线" w:ascii="Arial" w:hAnsi="等线" w:cs="等线"/>
                <w:color w:val="000000"/>
                <w:sz w:val="22"/>
              </w:rPr>
              <w:t xml:space="preserve"> confirmed to affect 15.4M Texans and 10.5M Oregonians.</w:t>
            </w:r>
          </w:p>
        </w:tc>
      </w:tr>
    </w:tbl>
    <w:p>
      <w:pPr>
        <w:spacing w:before="320" w:after="120" w:line="288" w:lineRule="auto"/>
      </w:pPr>
      <w:r>
        <w:rPr>
          <w:rFonts w:eastAsia="等线" w:ascii="Arial" w:hAnsi="等线" w:cs="等线"/>
          <w:b w:val="true"/>
          <w:color w:val="000000"/>
          <w:sz w:val="32"/>
        </w:rPr>
        <w:t>This Week’s Top Tech Developments</w:t>
      </w:r>
    </w:p>
    <w:p>
      <w:pPr>
        <w:spacing w:before="300" w:after="120" w:line="288" w:lineRule="auto"/>
      </w:pPr>
      <w:r>
        <w:rPr>
          <w:rFonts w:eastAsia="等线" w:ascii="Arial" w:hAnsi="等线" w:cs="等线"/>
          <w:b w:val="true"/>
          <w:color w:val="000000"/>
          <w:sz w:val="30"/>
        </w:rPr>
        <w:t>Cisco Challenges Nvidia with Silicon One G300</w:t>
      </w:r>
    </w:p>
    <w:p>
      <w:pPr>
        <w:spacing w:before="120" w:after="120" w:line="288" w:lineRule="auto"/>
      </w:pPr>
      <w:r>
        <w:rPr>
          <w:rFonts w:eastAsia="等线" w:ascii="Arial" w:hAnsi="等线" w:cs="等线"/>
          <w:color w:val="000000"/>
          <w:sz w:val="22"/>
        </w:rPr>
        <w:t xml:space="preserve">On Tuesday, Cisco Systems unveiled its Silicon One G300 switch chip, a direct challenge to Broadcom and Nvidia in the $600 billion AI infrastructure market. Fabricated on TSMC’s 3-nanometer process, the G300 is designed to handle the massive data spikes inherent in AI training clusters. Cisco executive Martin Lund highlighted the chip's "shock absorber" features, which can re-route data around network congestion in microseconds. </w:t>
      </w:r>
      <w:hyperlink xmlns:relationships="http://schemas.openxmlformats.org/officeDocument/2006/relationships" relationships:id="rId9">
        <w:r>
          <w:rPr>
            <w:rStyle w:val="Hyperlink"/>
            <w:rFonts w:eastAsia="等线" w:ascii="Arial" w:hAnsi="等线" w:cs="等线"/>
            <w:color w:val="0563C1"/>
            <w:sz w:val="22"/>
            <w:u w:val="single"/>
          </w:rPr>
          <w:t>Cisco claims</w:t>
        </w:r>
      </w:hyperlink>
      <w:r>
        <w:rPr>
          <w:rFonts w:eastAsia="等线" w:ascii="Arial" w:hAnsi="等线" w:cs="等线"/>
          <w:color w:val="000000"/>
          <w:sz w:val="22"/>
        </w:rPr>
        <w:t xml:space="preserve"> this efficiency can reduce AI job completion times by up to 28%.</w:t>
      </w:r>
    </w:p>
    <w:p>
      <w:pPr>
        <w:numPr>
          <w:ilvl w:val="0"/>
          <w:numId w:val="11"/>
        </w:numPr>
        <w:spacing w:before="120" w:after="120" w:line="288" w:lineRule="auto"/>
        <w:jc w:val="left"/>
      </w:pPr>
      <w:r>
        <w:rPr>
          <w:rFonts w:eastAsia="等线" w:ascii="Arial" w:hAnsi="等线" w:cs="等线"/>
          <w:b w:val="true"/>
          <w:color w:val="000000"/>
          <w:sz w:val="22"/>
        </w:rPr>
        <w:t>Technology:</w:t>
      </w:r>
      <w:r>
        <w:rPr>
          <w:rFonts w:eastAsia="等线" w:ascii="Arial" w:hAnsi="等线" w:cs="等线"/>
          <w:color w:val="000000"/>
          <w:sz w:val="22"/>
        </w:rPr>
        <w:t xml:space="preserve"> TSMC 3nm process node.</w:t>
      </w:r>
    </w:p>
    <w:p>
      <w:pPr>
        <w:numPr>
          <w:ilvl w:val="0"/>
          <w:numId w:val="11"/>
        </w:numPr>
        <w:spacing w:before="120" w:after="120" w:line="288" w:lineRule="auto"/>
        <w:jc w:val="left"/>
      </w:pPr>
      <w:r>
        <w:rPr>
          <w:rFonts w:eastAsia="等线" w:ascii="Arial" w:hAnsi="等线" w:cs="等线"/>
          <w:b w:val="true"/>
          <w:color w:val="000000"/>
          <w:sz w:val="22"/>
        </w:rPr>
        <w:t>Performance:</w:t>
      </w:r>
      <w:r>
        <w:rPr>
          <w:rFonts w:eastAsia="等线" w:ascii="Arial" w:hAnsi="等线" w:cs="等线"/>
          <w:color w:val="000000"/>
          <w:sz w:val="22"/>
        </w:rPr>
        <w:t xml:space="preserve"> Microsecond re-routing latency; targeted 28% speedup for AI workloads.</w:t>
      </w:r>
    </w:p>
    <w:p>
      <w:pPr>
        <w:numPr>
          <w:ilvl w:val="0"/>
          <w:numId w:val="11"/>
        </w:numPr>
        <w:spacing w:before="120" w:after="120" w:line="288" w:lineRule="auto"/>
        <w:jc w:val="left"/>
      </w:pPr>
      <w:r>
        <w:rPr>
          <w:rFonts w:eastAsia="等线" w:ascii="Arial" w:hAnsi="等线" w:cs="等线"/>
          <w:b w:val="true"/>
          <w:color w:val="000000"/>
          <w:sz w:val="22"/>
        </w:rPr>
        <w:t>Availability:</w:t>
      </w:r>
      <w:r>
        <w:rPr>
          <w:rFonts w:eastAsia="等线" w:ascii="Arial" w:hAnsi="等线" w:cs="等线"/>
          <w:color w:val="000000"/>
          <w:sz w:val="22"/>
        </w:rPr>
        <w:t xml:space="preserve"> Expected to ship in the second half of 2026.</w:t>
      </w:r>
    </w:p>
    <w:p>
      <w:pPr>
        <w:spacing w:before="120" w:after="120" w:line="288" w:lineRule="auto"/>
      </w:pPr>
      <w:r>
        <w:rPr>
          <w:rFonts w:eastAsia="等线" w:ascii="Arial" w:hAnsi="等线" w:cs="等线"/>
          <w:b w:val="true"/>
          <w:color w:val="000000"/>
          <w:sz w:val="22"/>
        </w:rPr>
        <w:t>Why it matters:</w:t>
      </w:r>
      <w:r>
        <w:rPr>
          <w:rFonts w:eastAsia="等线" w:ascii="Arial" w:hAnsi="等线" w:cs="等线"/>
          <w:color w:val="000000"/>
          <w:sz w:val="22"/>
        </w:rPr>
        <w:t xml:space="preserve"> Networking has become the bottleneck for AI scaling. As GPU clusters grow to hundreds of thousands of units, the efficiency of the "interconnect"—how those chips talk to each other—determines the total system performance. Cisco’s entry offers a non-Nvidia alternative for data center operators looking to diversify their supply chain.</w:t>
      </w:r>
    </w:p>
    <w:p>
      <w:pPr>
        <w:spacing w:before="300" w:after="120" w:line="288" w:lineRule="auto"/>
      </w:pPr>
      <w:r>
        <w:rPr>
          <w:rFonts w:eastAsia="等线" w:ascii="Arial" w:hAnsi="等线" w:cs="等线"/>
          <w:b w:val="true"/>
          <w:color w:val="000000"/>
          <w:sz w:val="30"/>
        </w:rPr>
        <w:t>ByteDance Taps Samsung for Custom AI Silicon</w:t>
      </w:r>
    </w:p>
    <w:p>
      <w:pPr>
        <w:spacing w:before="120" w:after="120" w:line="288" w:lineRule="auto"/>
      </w:pPr>
      <w:r>
        <w:rPr>
          <w:rFonts w:eastAsia="等线" w:ascii="Arial" w:hAnsi="等线" w:cs="等线"/>
          <w:color w:val="000000"/>
          <w:sz w:val="22"/>
        </w:rPr>
        <w:t xml:space="preserve">Facing tight supply chains and export restrictions, TikTok parent ByteDance is reportedly in talks with Samsung Electronics to manufacture its proprietary "SeedChip" AI processor. Sources indicate ByteDance plans to produce 100,000 units this year, potentially ramping to 350,000. The deal leverages Samsung's ability to supply scarce high-bandwidth memory alongside the logic chips. ByteDance has allocated over </w:t>
      </w:r>
      <w:hyperlink xmlns:relationships="http://schemas.openxmlformats.org/officeDocument/2006/relationships" relationships:id="rId10">
        <w:r>
          <w:rPr>
            <w:rStyle w:val="Hyperlink"/>
            <w:rFonts w:eastAsia="等线" w:ascii="Arial" w:hAnsi="等线" w:cs="等线"/>
            <w:color w:val="0563C1"/>
            <w:sz w:val="22"/>
            <w:u w:val="single"/>
          </w:rPr>
          <w:t>160 billion yuan ($22 billion)</w:t>
        </w:r>
      </w:hyperlink>
      <w:r>
        <w:rPr>
          <w:rFonts w:eastAsia="等线" w:ascii="Arial" w:hAnsi="等线" w:cs="等线"/>
          <w:color w:val="000000"/>
          <w:sz w:val="22"/>
        </w:rPr>
        <w:t xml:space="preserve"> for AI procurement in 2026 alone.</w:t>
      </w:r>
    </w:p>
    <w:p>
      <w:pPr>
        <w:numPr>
          <w:ilvl w:val="0"/>
          <w:numId w:val="12"/>
        </w:numPr>
        <w:spacing w:before="120" w:after="120" w:line="288" w:lineRule="auto"/>
        <w:jc w:val="left"/>
      </w:pPr>
      <w:r>
        <w:rPr>
          <w:rFonts w:eastAsia="等线" w:ascii="Arial" w:hAnsi="等线" w:cs="等线"/>
          <w:b w:val="true"/>
          <w:color w:val="000000"/>
          <w:sz w:val="22"/>
        </w:rPr>
        <w:t>Volume:</w:t>
      </w:r>
      <w:r>
        <w:rPr>
          <w:rFonts w:eastAsia="等线" w:ascii="Arial" w:hAnsi="等线" w:cs="等线"/>
          <w:color w:val="000000"/>
          <w:sz w:val="22"/>
        </w:rPr>
        <w:t xml:space="preserve"> 100,000 units planned for 2026; sample chips expected by end of March.</w:t>
      </w:r>
    </w:p>
    <w:p>
      <w:pPr>
        <w:numPr>
          <w:ilvl w:val="0"/>
          <w:numId w:val="12"/>
        </w:numPr>
        <w:spacing w:before="120" w:after="120" w:line="288" w:lineRule="auto"/>
        <w:jc w:val="left"/>
      </w:pPr>
      <w:r>
        <w:rPr>
          <w:rFonts w:eastAsia="等线" w:ascii="Arial" w:hAnsi="等线" w:cs="等线"/>
          <w:b w:val="true"/>
          <w:color w:val="000000"/>
          <w:sz w:val="22"/>
        </w:rPr>
        <w:t>Strategy:</w:t>
      </w:r>
      <w:r>
        <w:rPr>
          <w:rFonts w:eastAsia="等线" w:ascii="Arial" w:hAnsi="等线" w:cs="等线"/>
          <w:color w:val="000000"/>
          <w:sz w:val="22"/>
        </w:rPr>
        <w:t xml:space="preserve"> Reduces reliance on Nvidia (specifically the H200) and mitigates US export control risks.</w:t>
      </w:r>
    </w:p>
    <w:p>
      <w:pPr>
        <w:numPr>
          <w:ilvl w:val="0"/>
          <w:numId w:val="12"/>
        </w:numPr>
        <w:spacing w:before="120" w:after="120" w:line="288" w:lineRule="auto"/>
        <w:jc w:val="left"/>
      </w:pPr>
      <w:r>
        <w:rPr>
          <w:rFonts w:eastAsia="等线" w:ascii="Arial" w:hAnsi="等线" w:cs="等线"/>
          <w:b w:val="true"/>
          <w:color w:val="000000"/>
          <w:sz w:val="22"/>
        </w:rPr>
        <w:t>Investment:</w:t>
      </w:r>
      <w:r>
        <w:rPr>
          <w:rFonts w:eastAsia="等线" w:ascii="Arial" w:hAnsi="等线" w:cs="等线"/>
          <w:color w:val="000000"/>
          <w:sz w:val="22"/>
        </w:rPr>
        <w:t xml:space="preserve"> Part of a massive $22B AI infrastructure spend for 2026.</w:t>
      </w:r>
    </w:p>
    <w:p>
      <w:pPr>
        <w:spacing w:before="120" w:after="120" w:line="288" w:lineRule="auto"/>
      </w:pPr>
      <w:r>
        <w:rPr>
          <w:rFonts w:eastAsia="等线" w:ascii="Arial" w:hAnsi="等线" w:cs="等线"/>
          <w:b w:val="true"/>
          <w:color w:val="000000"/>
          <w:sz w:val="22"/>
        </w:rPr>
        <w:t>Why it matters:</w:t>
      </w:r>
      <w:r>
        <w:rPr>
          <w:rFonts w:eastAsia="等线" w:ascii="Arial" w:hAnsi="等线" w:cs="等线"/>
          <w:color w:val="000000"/>
          <w:sz w:val="22"/>
        </w:rPr>
        <w:t xml:space="preserve"> This underscores the "in-house silicon" trend sweeping the industry. By designing its own inference chips, ByteDance aims to lower the marginal cost of running its Doubao and Dola models, which executive Zhao Qi acknowledged are currently chasing OpenAI’s performance lead.</w:t>
      </w:r>
    </w:p>
    <w:p>
      <w:pPr>
        <w:spacing w:before="300" w:after="120" w:line="288" w:lineRule="auto"/>
      </w:pPr>
      <w:r>
        <w:rPr>
          <w:rFonts w:eastAsia="等线" w:ascii="Arial" w:hAnsi="等线" w:cs="等线"/>
          <w:b w:val="true"/>
          <w:color w:val="000000"/>
          <w:sz w:val="30"/>
        </w:rPr>
        <w:t>OpenAI Rebounds with Massive Growth and New Model</w:t>
      </w:r>
    </w:p>
    <w:p>
      <w:pPr>
        <w:spacing w:before="120" w:after="120" w:line="288" w:lineRule="auto"/>
      </w:pPr>
      <w:r>
        <w:rPr>
          <w:rFonts w:eastAsia="等线" w:ascii="Arial" w:hAnsi="等线" w:cs="等线"/>
          <w:color w:val="000000"/>
          <w:sz w:val="22"/>
        </w:rPr>
        <w:t xml:space="preserve">OpenAI CEO Sam Altman confirmed internally that ChatGPT has returned to double-digit growth, now exceeding </w:t>
      </w:r>
      <w:hyperlink xmlns:relationships="http://schemas.openxmlformats.org/officeDocument/2006/relationships" relationships:id="rId11">
        <w:r>
          <w:rPr>
            <w:rStyle w:val="Hyperlink"/>
            <w:rFonts w:eastAsia="等线" w:ascii="Arial" w:hAnsi="等线" w:cs="等线"/>
            <w:color w:val="0563C1"/>
            <w:sz w:val="22"/>
            <w:u w:val="single"/>
          </w:rPr>
          <w:t>10% month-over-month</w:t>
        </w:r>
      </w:hyperlink>
      <w:r>
        <w:rPr>
          <w:rFonts w:eastAsia="等线" w:ascii="Arial" w:hAnsi="等线" w:cs="等线"/>
          <w:color w:val="000000"/>
          <w:sz w:val="22"/>
        </w:rPr>
        <w:t xml:space="preserve">. The platform has amassed 800 million weekly active users. This surge coincides with the release of </w:t>
      </w:r>
      <w:r>
        <w:rPr>
          <w:rFonts w:eastAsia="等线" w:ascii="Arial" w:hAnsi="等线" w:cs="等线"/>
          <w:b w:val="true"/>
          <w:color w:val="000000"/>
          <w:sz w:val="22"/>
        </w:rPr>
        <w:t>GPT-5.3-Codex</w:t>
      </w:r>
      <w:r>
        <w:rPr>
          <w:rFonts w:eastAsia="等线" w:ascii="Arial" w:hAnsi="等线" w:cs="等线"/>
          <w:color w:val="000000"/>
          <w:sz w:val="22"/>
        </w:rPr>
        <w:t>, a model optimized for agentic coding tasks. Running on NVIDIA GB200 NVL72 systems, the new model is 25% faster than its predecessor and achieved a state-of-the-art 56.8% on the SWE-Bench Pro benchmark.</w:t>
      </w:r>
    </w:p>
    <w:p>
      <w:pPr>
        <w:numPr>
          <w:ilvl w:val="0"/>
          <w:numId w:val="13"/>
        </w:numPr>
        <w:spacing w:before="120" w:after="120" w:line="288" w:lineRule="auto"/>
        <w:jc w:val="left"/>
      </w:pPr>
      <w:r>
        <w:rPr>
          <w:rFonts w:eastAsia="等线" w:ascii="Arial" w:hAnsi="等线" w:cs="等线"/>
          <w:b w:val="true"/>
          <w:color w:val="000000"/>
          <w:sz w:val="22"/>
        </w:rPr>
        <w:t>User Base:</w:t>
      </w:r>
      <w:r>
        <w:rPr>
          <w:rFonts w:eastAsia="等线" w:ascii="Arial" w:hAnsi="等线" w:cs="等线"/>
          <w:color w:val="000000"/>
          <w:sz w:val="22"/>
        </w:rPr>
        <w:t xml:space="preserve"> 800 million weekly active users.</w:t>
      </w:r>
    </w:p>
    <w:p>
      <w:pPr>
        <w:numPr>
          <w:ilvl w:val="0"/>
          <w:numId w:val="13"/>
        </w:numPr>
        <w:spacing w:before="120" w:after="120" w:line="288" w:lineRule="auto"/>
        <w:jc w:val="left"/>
      </w:pPr>
      <w:r>
        <w:rPr>
          <w:rFonts w:eastAsia="等线" w:ascii="Arial" w:hAnsi="等线" w:cs="等线"/>
          <w:b w:val="true"/>
          <w:color w:val="000000"/>
          <w:sz w:val="22"/>
        </w:rPr>
        <w:t>New Model:</w:t>
      </w:r>
      <w:r>
        <w:rPr>
          <w:rFonts w:eastAsia="等线" w:ascii="Arial" w:hAnsi="等线" w:cs="等线"/>
          <w:color w:val="000000"/>
          <w:sz w:val="22"/>
        </w:rPr>
        <w:t xml:space="preserve"> GPT-5.3-Codex, launched Feb 5, featuring </w:t>
      </w:r>
      <w:hyperlink xmlns:relationships="http://schemas.openxmlformats.org/officeDocument/2006/relationships" relationships:id="rId12">
        <w:r>
          <w:rPr>
            <w:rStyle w:val="Hyperlink"/>
            <w:rFonts w:eastAsia="等线" w:ascii="Arial" w:hAnsi="等线" w:cs="等线"/>
            <w:color w:val="0563C1"/>
            <w:sz w:val="22"/>
            <w:u w:val="single"/>
          </w:rPr>
          <w:t>25% lower latency</w:t>
        </w:r>
      </w:hyperlink>
      <w:r>
        <w:rPr>
          <w:rFonts w:eastAsia="等线" w:ascii="Arial" w:hAnsi="等线" w:cs="等线"/>
          <w:color w:val="000000"/>
          <w:sz w:val="22"/>
        </w:rPr>
        <w:t>.</w:t>
      </w:r>
    </w:p>
    <w:p>
      <w:pPr>
        <w:numPr>
          <w:ilvl w:val="0"/>
          <w:numId w:val="13"/>
        </w:numPr>
        <w:spacing w:before="120" w:after="120" w:line="288" w:lineRule="auto"/>
        <w:jc w:val="left"/>
      </w:pPr>
      <w:r>
        <w:rPr>
          <w:rFonts w:eastAsia="等线" w:ascii="Arial" w:hAnsi="等线" w:cs="等线"/>
          <w:b w:val="true"/>
          <w:color w:val="000000"/>
          <w:sz w:val="22"/>
        </w:rPr>
        <w:t>Benchmark:</w:t>
      </w:r>
      <w:r>
        <w:rPr>
          <w:rFonts w:eastAsia="等线" w:ascii="Arial" w:hAnsi="等线" w:cs="等线"/>
          <w:color w:val="000000"/>
          <w:sz w:val="22"/>
        </w:rPr>
        <w:t xml:space="preserve"> 77.3% on Terminal-Bench 2.0; capable of autonomous web development.</w:t>
      </w:r>
    </w:p>
    <w:p>
      <w:pPr>
        <w:spacing w:before="120" w:after="120" w:line="288" w:lineRule="auto"/>
      </w:pPr>
      <w:r>
        <w:rPr>
          <w:rFonts w:eastAsia="等线" w:ascii="Arial" w:hAnsi="等线" w:cs="等线"/>
          <w:b w:val="true"/>
          <w:color w:val="000000"/>
          <w:sz w:val="22"/>
        </w:rPr>
        <w:t>Why it matters:</w:t>
      </w:r>
      <w:r>
        <w:rPr>
          <w:rFonts w:eastAsia="等线" w:ascii="Arial" w:hAnsi="等线" w:cs="等线"/>
          <w:color w:val="000000"/>
          <w:sz w:val="22"/>
        </w:rPr>
        <w:t xml:space="preserve"> The "agentic" capabilities—where AI not only writes code but executes it, debugs it, and deploys it—are rapidly maturing. OpenAI’s 50% week-over-week growth in its Codex product suggests developers are moving from using AI as a chatbot to using it as a semi-autonomous coworker.</w:t>
      </w:r>
    </w:p>
    <w:p>
      <w:pPr>
        <w:spacing w:before="300" w:after="120" w:line="288" w:lineRule="auto"/>
      </w:pPr>
      <w:r>
        <w:rPr>
          <w:rFonts w:eastAsia="等线" w:ascii="Arial" w:hAnsi="等线" w:cs="等线"/>
          <w:b w:val="true"/>
          <w:color w:val="000000"/>
          <w:sz w:val="30"/>
        </w:rPr>
        <w:t>Anthropic Releases Claude Opus 4.6</w:t>
      </w:r>
    </w:p>
    <w:p>
      <w:pPr>
        <w:spacing w:before="120" w:after="120" w:line="288" w:lineRule="auto"/>
      </w:pPr>
      <w:r>
        <w:rPr>
          <w:rFonts w:eastAsia="等线" w:ascii="Arial" w:hAnsi="等线" w:cs="等线"/>
          <w:color w:val="000000"/>
          <w:sz w:val="22"/>
        </w:rPr>
        <w:t xml:space="preserve">Not to be outdone, Anthropic released </w:t>
      </w:r>
      <w:r>
        <w:rPr>
          <w:rFonts w:eastAsia="等线" w:ascii="Arial" w:hAnsi="等线" w:cs="等线"/>
          <w:b w:val="true"/>
          <w:color w:val="000000"/>
          <w:sz w:val="22"/>
        </w:rPr>
        <w:t>Claude Opus 4.6</w:t>
      </w:r>
      <w:r>
        <w:rPr>
          <w:rFonts w:eastAsia="等线" w:ascii="Arial" w:hAnsi="等线" w:cs="等线"/>
          <w:color w:val="000000"/>
          <w:sz w:val="22"/>
        </w:rPr>
        <w:t xml:space="preserve">, boasting a massive 1-million token context window in beta. The model introduces "adaptive thinking," allowing it to dynamically allocate compute time for complex reasoning. It outperformed GPT-5.2 by roughly 144 Elo points on the </w:t>
      </w:r>
      <w:hyperlink xmlns:relationships="http://schemas.openxmlformats.org/officeDocument/2006/relationships" relationships:id="rId13">
        <w:r>
          <w:rPr>
            <w:rStyle w:val="Hyperlink"/>
            <w:rFonts w:eastAsia="等线" w:ascii="Arial" w:hAnsi="等线" w:cs="等线"/>
            <w:color w:val="0563C1"/>
            <w:sz w:val="22"/>
            <w:u w:val="single"/>
          </w:rPr>
          <w:t>GDPval-AA economic work benchmark</w:t>
        </w:r>
      </w:hyperlink>
      <w:r>
        <w:rPr>
          <w:rFonts w:eastAsia="等线" w:ascii="Arial" w:hAnsi="等线" w:cs="等线"/>
          <w:color w:val="000000"/>
          <w:sz w:val="22"/>
        </w:rPr>
        <w:t xml:space="preserve"> and claimed the top spot on "Humanity’s Last Exam," a multidisciplinary reasoning test.</w:t>
      </w:r>
    </w:p>
    <w:p>
      <w:pPr>
        <w:numPr>
          <w:ilvl w:val="0"/>
          <w:numId w:val="14"/>
        </w:numPr>
        <w:spacing w:before="120" w:after="120" w:line="288" w:lineRule="auto"/>
        <w:jc w:val="left"/>
      </w:pPr>
      <w:r>
        <w:rPr>
          <w:rFonts w:eastAsia="等线" w:ascii="Arial" w:hAnsi="等线" w:cs="等线"/>
          <w:b w:val="true"/>
          <w:color w:val="000000"/>
          <w:sz w:val="22"/>
        </w:rPr>
        <w:t>Context:</w:t>
      </w:r>
      <w:r>
        <w:rPr>
          <w:rFonts w:eastAsia="等线" w:ascii="Arial" w:hAnsi="等线" w:cs="等线"/>
          <w:color w:val="000000"/>
          <w:sz w:val="22"/>
        </w:rPr>
        <w:t xml:space="preserve"> 1 million tokens (beta), significantly reducing "context rot" in long tasks.</w:t>
      </w:r>
    </w:p>
    <w:p>
      <w:pPr>
        <w:numPr>
          <w:ilvl w:val="0"/>
          <w:numId w:val="14"/>
        </w:numPr>
        <w:spacing w:before="120" w:after="120" w:line="288" w:lineRule="auto"/>
        <w:jc w:val="left"/>
      </w:pPr>
      <w:r>
        <w:rPr>
          <w:rFonts w:eastAsia="等线" w:ascii="Arial" w:hAnsi="等线" w:cs="等线"/>
          <w:b w:val="true"/>
          <w:color w:val="000000"/>
          <w:sz w:val="22"/>
        </w:rPr>
        <w:t>Features:</w:t>
      </w:r>
      <w:r>
        <w:rPr>
          <w:rFonts w:eastAsia="等线" w:ascii="Arial" w:hAnsi="等线" w:cs="等线"/>
          <w:color w:val="000000"/>
          <w:sz w:val="22"/>
        </w:rPr>
        <w:t xml:space="preserve"> "Context compaction" and "Agent teams" for parallel task execution.</w:t>
      </w:r>
    </w:p>
    <w:p>
      <w:pPr>
        <w:numPr>
          <w:ilvl w:val="0"/>
          <w:numId w:val="14"/>
        </w:numPr>
        <w:spacing w:before="120" w:after="120" w:line="288" w:lineRule="auto"/>
        <w:jc w:val="left"/>
      </w:pPr>
      <w:r>
        <w:rPr>
          <w:rFonts w:eastAsia="等线" w:ascii="Arial" w:hAnsi="等线" w:cs="等线"/>
          <w:b w:val="true"/>
          <w:color w:val="000000"/>
          <w:sz w:val="22"/>
        </w:rPr>
        <w:t>Pricing:</w:t>
      </w:r>
      <w:r>
        <w:rPr>
          <w:rFonts w:eastAsia="等线" w:ascii="Arial" w:hAnsi="等线" w:cs="等线"/>
          <w:color w:val="000000"/>
          <w:sz w:val="22"/>
        </w:rPr>
        <w:t xml:space="preserve"> Retains the $5/$25 per million token pricing structure of previous Opus models.</w:t>
      </w:r>
    </w:p>
    <w:p>
      <w:pPr>
        <w:spacing w:before="120" w:after="120" w:line="288" w:lineRule="auto"/>
      </w:pPr>
      <w:r>
        <w:rPr>
          <w:rFonts w:eastAsia="等线" w:ascii="Arial" w:hAnsi="等线" w:cs="等线"/>
          <w:b w:val="true"/>
          <w:color w:val="000000"/>
          <w:sz w:val="22"/>
        </w:rPr>
        <w:t>Why it matters:</w:t>
      </w:r>
      <w:r>
        <w:rPr>
          <w:rFonts w:eastAsia="等线" w:ascii="Arial" w:hAnsi="等线" w:cs="等线"/>
          <w:color w:val="000000"/>
          <w:sz w:val="22"/>
        </w:rPr>
        <w:t xml:space="preserve"> The 1M context window is a game-changer for enterprise use cases like legal discovery and codebase migration. Testimonials from partners like SentinelOne and GitLab indicate the model can handle multi-million-line codebase migrations with senior-engineer-level planning.</w:t>
      </w:r>
    </w:p>
    <w:p>
      <w:pPr>
        <w:spacing w:before="300" w:after="120" w:line="288" w:lineRule="auto"/>
      </w:pPr>
      <w:r>
        <w:rPr>
          <w:rFonts w:eastAsia="等线" w:ascii="Arial" w:hAnsi="等线" w:cs="等线"/>
          <w:b w:val="true"/>
          <w:color w:val="000000"/>
          <w:sz w:val="30"/>
        </w:rPr>
        <w:t>Taiwan’s Exports Hit 16-Year High</w:t>
      </w:r>
    </w:p>
    <w:p>
      <w:pPr>
        <w:spacing w:before="120" w:after="120" w:line="288" w:lineRule="auto"/>
      </w:pPr>
      <w:r>
        <w:rPr>
          <w:rFonts w:eastAsia="等线" w:ascii="Arial" w:hAnsi="等线" w:cs="等线"/>
          <w:color w:val="000000"/>
          <w:sz w:val="22"/>
        </w:rPr>
        <w:t xml:space="preserve">The physical reality of the AI boom was made visible in Taiwan’s January trade data. Exports surged </w:t>
      </w:r>
      <w:hyperlink xmlns:relationships="http://schemas.openxmlformats.org/officeDocument/2006/relationships" relationships:id="rId14">
        <w:r>
          <w:rPr>
            <w:rStyle w:val="Hyperlink"/>
            <w:rFonts w:eastAsia="等线" w:ascii="Arial" w:hAnsi="等线" w:cs="等线"/>
            <w:color w:val="0563C1"/>
            <w:sz w:val="22"/>
            <w:u w:val="single"/>
          </w:rPr>
          <w:t>69.9% year-on-year</w:t>
        </w:r>
      </w:hyperlink>
      <w:r>
        <w:rPr>
          <w:rFonts w:eastAsia="等线" w:ascii="Arial" w:hAnsi="等线" w:cs="等线"/>
          <w:color w:val="000000"/>
          <w:sz w:val="22"/>
        </w:rPr>
        <w:t xml:space="preserve"> to a record $65.77 billion, obliterating analyst forecasts. The growth was led by a staggering 151.8% increase in shipments to the United States, primarily high-end semiconductors for AI applications.</w:t>
      </w:r>
    </w:p>
    <w:p>
      <w:pPr>
        <w:numPr>
          <w:ilvl w:val="0"/>
          <w:numId w:val="15"/>
        </w:numPr>
        <w:spacing w:before="120" w:after="120" w:line="288" w:lineRule="auto"/>
        <w:jc w:val="left"/>
      </w:pPr>
      <w:r>
        <w:rPr>
          <w:rFonts w:eastAsia="等线" w:ascii="Arial" w:hAnsi="等线" w:cs="等线"/>
          <w:b w:val="true"/>
          <w:color w:val="000000"/>
          <w:sz w:val="22"/>
        </w:rPr>
        <w:t>Total Exports:</w:t>
      </w:r>
      <w:r>
        <w:rPr>
          <w:rFonts w:eastAsia="等线" w:ascii="Arial" w:hAnsi="等线" w:cs="等线"/>
          <w:color w:val="000000"/>
          <w:sz w:val="22"/>
        </w:rPr>
        <w:t xml:space="preserve"> $65.77 billion (Record High).</w:t>
      </w:r>
    </w:p>
    <w:p>
      <w:pPr>
        <w:numPr>
          <w:ilvl w:val="0"/>
          <w:numId w:val="15"/>
        </w:numPr>
        <w:spacing w:before="120" w:after="120" w:line="288" w:lineRule="auto"/>
        <w:jc w:val="left"/>
      </w:pPr>
      <w:r>
        <w:rPr>
          <w:rFonts w:eastAsia="等线" w:ascii="Arial" w:hAnsi="等线" w:cs="等线"/>
          <w:b w:val="true"/>
          <w:color w:val="000000"/>
          <w:sz w:val="22"/>
        </w:rPr>
        <w:t>US Demand:</w:t>
      </w:r>
      <w:r>
        <w:rPr>
          <w:rFonts w:eastAsia="等线" w:ascii="Arial" w:hAnsi="等线" w:cs="等线"/>
          <w:color w:val="000000"/>
          <w:sz w:val="22"/>
        </w:rPr>
        <w:t xml:space="preserve"> Exports to the US more than doubled (+151.8%).</w:t>
      </w:r>
    </w:p>
    <w:p>
      <w:pPr>
        <w:numPr>
          <w:ilvl w:val="0"/>
          <w:numId w:val="15"/>
        </w:numPr>
        <w:spacing w:before="120" w:after="120" w:line="288" w:lineRule="auto"/>
        <w:jc w:val="left"/>
      </w:pPr>
      <w:r>
        <w:rPr>
          <w:rFonts w:eastAsia="等线" w:ascii="Arial" w:hAnsi="等线" w:cs="等线"/>
          <w:b w:val="true"/>
          <w:color w:val="000000"/>
          <w:sz w:val="22"/>
        </w:rPr>
        <w:t>Outlook:</w:t>
      </w:r>
      <w:r>
        <w:rPr>
          <w:rFonts w:eastAsia="等线" w:ascii="Arial" w:hAnsi="等线" w:cs="等线"/>
          <w:color w:val="000000"/>
          <w:sz w:val="22"/>
        </w:rPr>
        <w:t xml:space="preserve"> Ministry of Finance forecasts continued 20-27% growth in February.</w:t>
      </w:r>
    </w:p>
    <w:p>
      <w:pPr>
        <w:spacing w:before="120" w:after="120" w:line="288" w:lineRule="auto"/>
      </w:pPr>
      <w:r>
        <w:rPr>
          <w:rFonts w:eastAsia="等线" w:ascii="Arial" w:hAnsi="等线" w:cs="等线"/>
          <w:b w:val="true"/>
          <w:color w:val="000000"/>
          <w:sz w:val="22"/>
        </w:rPr>
        <w:t>Why it matters:</w:t>
      </w:r>
      <w:r>
        <w:rPr>
          <w:rFonts w:eastAsia="等线" w:ascii="Arial" w:hAnsi="等线" w:cs="等线"/>
          <w:color w:val="000000"/>
          <w:sz w:val="22"/>
        </w:rPr>
        <w:t xml:space="preserve"> This data confirms that the AI spending guidance from hyperscalers (Microsoft, Meta, Google) is translating into actual hardware shipments. Taiwan’s 27-month growth streak underscores its irreplaceable role as the foundry of the AI economy.</w:t>
      </w:r>
    </w:p>
    <w:p>
      <w:pPr>
        <w:spacing w:before="300" w:after="120" w:line="288" w:lineRule="auto"/>
      </w:pPr>
      <w:r>
        <w:rPr>
          <w:rFonts w:eastAsia="等线" w:ascii="Arial" w:hAnsi="等线" w:cs="等线"/>
          <w:b w:val="true"/>
          <w:color w:val="000000"/>
          <w:sz w:val="30"/>
        </w:rPr>
        <w:t>Conduent Breach Exposes Millions</w:t>
      </w:r>
    </w:p>
    <w:p>
      <w:pPr>
        <w:spacing w:before="120" w:after="120" w:line="288" w:lineRule="auto"/>
      </w:pPr>
      <w:r>
        <w:rPr>
          <w:rFonts w:eastAsia="等线" w:ascii="Arial" w:hAnsi="等线" w:cs="等线"/>
          <w:color w:val="000000"/>
          <w:sz w:val="22"/>
        </w:rPr>
        <w:t xml:space="preserve">In a sobering counterpoint to the week’s progress, details emerged regarding a massive ransomware attack on government technology contractor Conduent. The breach, claimed by the Safeway ransomware gang, has exposed sensitive data for at least </w:t>
      </w:r>
      <w:hyperlink xmlns:relationships="http://schemas.openxmlformats.org/officeDocument/2006/relationships" relationships:id="rId15">
        <w:r>
          <w:rPr>
            <w:rStyle w:val="Hyperlink"/>
            <w:rFonts w:eastAsia="等线" w:ascii="Arial" w:hAnsi="等线" w:cs="等线"/>
            <w:color w:val="0563C1"/>
            <w:sz w:val="22"/>
            <w:u w:val="single"/>
          </w:rPr>
          <w:t>15.4 million people in Texas</w:t>
        </w:r>
      </w:hyperlink>
      <w:r>
        <w:rPr>
          <w:rFonts w:eastAsia="等线" w:ascii="Arial" w:hAnsi="等线" w:cs="等线"/>
          <w:color w:val="000000"/>
          <w:sz w:val="22"/>
        </w:rPr>
        <w:t xml:space="preserve"> and 10.5 million in Oregon. The compromised data includes Social Security numbers and medical records.</w:t>
      </w:r>
    </w:p>
    <w:p>
      <w:pPr>
        <w:numPr>
          <w:ilvl w:val="0"/>
          <w:numId w:val="16"/>
        </w:numPr>
        <w:spacing w:before="120" w:after="120" w:line="288" w:lineRule="auto"/>
        <w:jc w:val="left"/>
      </w:pPr>
      <w:r>
        <w:rPr>
          <w:rFonts w:eastAsia="等线" w:ascii="Arial" w:hAnsi="等线" w:cs="等线"/>
          <w:b w:val="true"/>
          <w:color w:val="000000"/>
          <w:sz w:val="22"/>
        </w:rPr>
        <w:t>Scale:</w:t>
      </w:r>
      <w:r>
        <w:rPr>
          <w:rFonts w:eastAsia="等线" w:ascii="Arial" w:hAnsi="等线" w:cs="等线"/>
          <w:color w:val="000000"/>
          <w:sz w:val="22"/>
        </w:rPr>
        <w:t xml:space="preserve"> &gt;25 million confirmed victims in just two states; total US impact likely higher.</w:t>
      </w:r>
    </w:p>
    <w:p>
      <w:pPr>
        <w:numPr>
          <w:ilvl w:val="0"/>
          <w:numId w:val="16"/>
        </w:numPr>
        <w:spacing w:before="120" w:after="120" w:line="288" w:lineRule="auto"/>
        <w:jc w:val="left"/>
      </w:pPr>
      <w:r>
        <w:rPr>
          <w:rFonts w:eastAsia="等线" w:ascii="Arial" w:hAnsi="等线" w:cs="等线"/>
          <w:b w:val="true"/>
          <w:color w:val="000000"/>
          <w:sz w:val="22"/>
        </w:rPr>
        <w:t>Data:</w:t>
      </w:r>
      <w:r>
        <w:rPr>
          <w:rFonts w:eastAsia="等线" w:ascii="Arial" w:hAnsi="等线" w:cs="等线"/>
          <w:color w:val="000000"/>
          <w:sz w:val="22"/>
        </w:rPr>
        <w:t xml:space="preserve"> 8 terabytes allegedly stolen, including names, SSNs, and health info.</w:t>
      </w:r>
    </w:p>
    <w:p>
      <w:pPr>
        <w:numPr>
          <w:ilvl w:val="0"/>
          <w:numId w:val="16"/>
        </w:numPr>
        <w:spacing w:before="120" w:after="120" w:line="288" w:lineRule="auto"/>
        <w:jc w:val="left"/>
      </w:pPr>
      <w:r>
        <w:rPr>
          <w:rFonts w:eastAsia="等线" w:ascii="Arial" w:hAnsi="等线" w:cs="等线"/>
          <w:b w:val="true"/>
          <w:color w:val="000000"/>
          <w:sz w:val="22"/>
        </w:rPr>
        <w:t>Timeline:</w:t>
      </w:r>
      <w:r>
        <w:rPr>
          <w:rFonts w:eastAsia="等线" w:ascii="Arial" w:hAnsi="等线" w:cs="等线"/>
          <w:color w:val="000000"/>
          <w:sz w:val="22"/>
        </w:rPr>
        <w:t xml:space="preserve"> Attack occurred in Jan 2025; notifications continuing through early 2026.</w:t>
      </w:r>
    </w:p>
    <w:p>
      <w:pPr>
        <w:spacing w:before="120" w:after="120" w:line="288" w:lineRule="auto"/>
      </w:pPr>
      <w:r>
        <w:rPr>
          <w:rFonts w:eastAsia="等线" w:ascii="Arial" w:hAnsi="等线" w:cs="等线"/>
          <w:b w:val="true"/>
          <w:color w:val="000000"/>
          <w:sz w:val="22"/>
        </w:rPr>
        <w:t>Why it matters:</w:t>
      </w:r>
      <w:r>
        <w:rPr>
          <w:rFonts w:eastAsia="等线" w:ascii="Arial" w:hAnsi="等线" w:cs="等线"/>
          <w:color w:val="000000"/>
          <w:sz w:val="22"/>
        </w:rPr>
        <w:t xml:space="preserve"> Conduent processes data for over 100 million Americans via government contracts. This breach highlights the systemic risk posed by third-party vendors in critical infrastructure, where a single point of failure can compromise the privacy of half a state’s population.</w:t>
      </w:r>
    </w:p>
    <w:p>
      <w:pPr>
        <w:spacing w:before="320" w:after="120" w:line="288" w:lineRule="auto"/>
      </w:pPr>
      <w:r>
        <w:rPr>
          <w:rFonts w:eastAsia="等线" w:ascii="Arial" w:hAnsi="等线" w:cs="等线"/>
          <w:b w:val="true"/>
          <w:color w:val="000000"/>
          <w:sz w:val="32"/>
        </w:rPr>
        <w:t>Bigger Picture: The Capital Cycle Accelerates</w:t>
      </w:r>
    </w:p>
    <w:p>
      <w:pPr>
        <w:spacing w:before="120" w:after="120" w:line="288" w:lineRule="auto"/>
      </w:pPr>
      <w:r>
        <w:rPr>
          <w:rFonts w:eastAsia="等线" w:ascii="Arial" w:hAnsi="等线" w:cs="等线"/>
          <w:color w:val="000000"/>
          <w:sz w:val="22"/>
        </w:rPr>
        <w:t>Synthesizing this week's developments reveals an industry in the midst of a violent capital expenditure cycle. The "infrastructure layer" of AI is no longer just about buying Nvidia GPUs; it has expanded to include custom silicon (ByteDance), specialized networking (Cisco), and massive memory procurement (Samsung). The 69.9% surge in Taiwan’s exports is the lagging indicator of decisions made in boardrooms six months ago to double down on AI compute.</w:t>
      </w:r>
    </w:p>
    <w:p>
      <w:pPr>
        <w:spacing w:before="120" w:after="120" w:line="288" w:lineRule="auto"/>
      </w:pPr>
      <w:r>
        <w:rPr>
          <w:rFonts w:eastAsia="等线" w:ascii="Arial" w:hAnsi="等线" w:cs="等线"/>
          <w:color w:val="000000"/>
          <w:sz w:val="22"/>
        </w:rPr>
        <w:t xml:space="preserve">Simultaneously, the software layer is evolving from "chatbots" to "agents." Both OpenAI and Anthropic are now marketing their models based on </w:t>
      </w:r>
      <w:r>
        <w:rPr>
          <w:rFonts w:eastAsia="等线" w:ascii="Arial" w:hAnsi="等线" w:cs="等线"/>
          <w:i w:val="true"/>
          <w:color w:val="000000"/>
          <w:sz w:val="22"/>
        </w:rPr>
        <w:t>autonomy</w:t>
      </w:r>
      <w:r>
        <w:rPr>
          <w:rFonts w:eastAsia="等线" w:ascii="Arial" w:hAnsi="等线" w:cs="等线"/>
          <w:color w:val="000000"/>
          <w:sz w:val="22"/>
        </w:rPr>
        <w:t>—the ability to complete long-horizon tasks like coding an entire app or migrating a database without human intervention. This shift necessitates the massive context windows (1M tokens) and lower latency seen in this week's releases.</w:t>
      </w:r>
    </w:p>
    <w:p>
      <w:pPr>
        <w:spacing w:before="120" w:after="120" w:line="288" w:lineRule="auto"/>
      </w:pPr>
      <w:r>
        <w:rPr>
          <w:rFonts w:eastAsia="等线" w:ascii="Arial" w:hAnsi="等线" w:cs="等线"/>
          <w:color w:val="000000"/>
          <w:sz w:val="22"/>
        </w:rPr>
        <w:t>However, the Conduent breach serves as a grim reality check. As we build increasingly autonomous and powerful AI systems, the legacy digital infrastructure they rest upon remains brittle. The disparity between the billions spent on AI chips and the security failures protecting basic citizen data suggests a widening "security debt" that the tech sector—and the governments that rely on it—will eventually have to pay.</w:t>
      </w:r>
    </w:p>
    <w:p>
      <w:pPr>
        <w:spacing w:before="320" w:after="120" w:line="288" w:lineRule="auto"/>
      </w:pPr>
      <w:r>
        <w:rPr>
          <w:rFonts w:eastAsia="等线" w:ascii="Arial" w:hAnsi="等线" w:cs="等线"/>
          <w:b w:val="true"/>
          <w:color w:val="000000"/>
          <w:sz w:val="32"/>
        </w:rPr>
        <w:t>Sources</w:t>
      </w:r>
    </w:p>
    <w:p>
      <w:pPr>
        <w:numPr>
          <w:ilvl w:val="0"/>
          <w:numId w:val="17"/>
        </w:numPr>
        <w:spacing w:before="120" w:after="120" w:line="288" w:lineRule="auto"/>
        <w:jc w:val="left"/>
      </w:pPr>
      <w:hyperlink xmlns:relationships="http://schemas.openxmlformats.org/officeDocument/2006/relationships" relationships:id="rId16">
        <w:r>
          <w:rPr>
            <w:rStyle w:val="Hyperlink"/>
            <w:rFonts w:eastAsia="等线" w:ascii="Arial" w:hAnsi="等线" w:cs="等线"/>
            <w:color w:val="0563C1"/>
            <w:sz w:val="22"/>
            <w:u w:val="single"/>
          </w:rPr>
          <w:t>Reuters: Cisco unveils new AI networking chip, taking on Broadcom and Nvidia</w:t>
        </w:r>
      </w:hyperlink>
    </w:p>
    <w:p>
      <w:pPr>
        <w:numPr>
          <w:ilvl w:val="0"/>
          <w:numId w:val="17"/>
        </w:numPr>
        <w:spacing w:before="120" w:after="120" w:line="288" w:lineRule="auto"/>
        <w:jc w:val="left"/>
      </w:pPr>
      <w:hyperlink xmlns:relationships="http://schemas.openxmlformats.org/officeDocument/2006/relationships" relationships:id="rId17">
        <w:r>
          <w:rPr>
            <w:rStyle w:val="Hyperlink"/>
            <w:rFonts w:eastAsia="等线" w:ascii="Arial" w:hAnsi="等线" w:cs="等线"/>
            <w:color w:val="0563C1"/>
            <w:sz w:val="22"/>
            <w:u w:val="single"/>
          </w:rPr>
          <w:t>Reuters: Exclusive: ByteDance developing AI chip, in manufacturing talks with Samsung</w:t>
        </w:r>
      </w:hyperlink>
    </w:p>
    <w:p>
      <w:pPr>
        <w:numPr>
          <w:ilvl w:val="0"/>
          <w:numId w:val="17"/>
        </w:numPr>
        <w:spacing w:before="120" w:after="120" w:line="288" w:lineRule="auto"/>
        <w:jc w:val="left"/>
      </w:pPr>
      <w:hyperlink xmlns:relationships="http://schemas.openxmlformats.org/officeDocument/2006/relationships" relationships:id="rId18">
        <w:r>
          <w:rPr>
            <w:rStyle w:val="Hyperlink"/>
            <w:rFonts w:eastAsia="等线" w:ascii="Arial" w:hAnsi="等线" w:cs="等线"/>
            <w:color w:val="0563C1"/>
            <w:sz w:val="22"/>
            <w:u w:val="single"/>
          </w:rPr>
          <w:t>Reuters: OpenAI CEO says ChatGPT back to over 10% monthly growth</w:t>
        </w:r>
      </w:hyperlink>
    </w:p>
    <w:p>
      <w:pPr>
        <w:numPr>
          <w:ilvl w:val="0"/>
          <w:numId w:val="17"/>
        </w:numPr>
        <w:spacing w:before="120" w:after="120" w:line="288" w:lineRule="auto"/>
        <w:jc w:val="left"/>
      </w:pPr>
      <w:hyperlink xmlns:relationships="http://schemas.openxmlformats.org/officeDocument/2006/relationships" relationships:id="rId19">
        <w:r>
          <w:rPr>
            <w:rStyle w:val="Hyperlink"/>
            <w:rFonts w:eastAsia="等线" w:ascii="Arial" w:hAnsi="等线" w:cs="等线"/>
            <w:color w:val="0563C1"/>
            <w:sz w:val="22"/>
            <w:u w:val="single"/>
          </w:rPr>
          <w:t>OpenAI: Introducing GPT-5.3-Codex</w:t>
        </w:r>
      </w:hyperlink>
    </w:p>
    <w:p>
      <w:pPr>
        <w:numPr>
          <w:ilvl w:val="0"/>
          <w:numId w:val="17"/>
        </w:numPr>
        <w:spacing w:before="120" w:after="120" w:line="288" w:lineRule="auto"/>
        <w:jc w:val="left"/>
      </w:pPr>
      <w:hyperlink xmlns:relationships="http://schemas.openxmlformats.org/officeDocument/2006/relationships" relationships:id="rId20">
        <w:r>
          <w:rPr>
            <w:rStyle w:val="Hyperlink"/>
            <w:rFonts w:eastAsia="等线" w:ascii="Arial" w:hAnsi="等线" w:cs="等线"/>
            <w:color w:val="0563C1"/>
            <w:sz w:val="22"/>
            <w:u w:val="single"/>
          </w:rPr>
          <w:t>Anthropic: Claude Opus 4.6</w:t>
        </w:r>
      </w:hyperlink>
    </w:p>
    <w:p>
      <w:pPr>
        <w:numPr>
          <w:ilvl w:val="0"/>
          <w:numId w:val="17"/>
        </w:numPr>
        <w:spacing w:before="120" w:after="120" w:line="288" w:lineRule="auto"/>
        <w:jc w:val="left"/>
      </w:pPr>
      <w:hyperlink xmlns:relationships="http://schemas.openxmlformats.org/officeDocument/2006/relationships" relationships:id="rId21">
        <w:r>
          <w:rPr>
            <w:rStyle w:val="Hyperlink"/>
            <w:rFonts w:eastAsia="等线" w:ascii="Arial" w:hAnsi="等线" w:cs="等线"/>
            <w:color w:val="0563C1"/>
            <w:sz w:val="22"/>
            <w:u w:val="single"/>
          </w:rPr>
          <w:t>Reuters: Taiwan January exports surge at fastest pace in 16 years on AI demand</w:t>
        </w:r>
      </w:hyperlink>
    </w:p>
    <w:p>
      <w:pPr>
        <w:numPr>
          <w:ilvl w:val="0"/>
          <w:numId w:val="17"/>
        </w:numPr>
        <w:spacing w:before="120" w:after="120" w:line="288" w:lineRule="auto"/>
        <w:jc w:val="left"/>
      </w:pPr>
      <w:hyperlink xmlns:relationships="http://schemas.openxmlformats.org/officeDocument/2006/relationships" relationships:id="rId22">
        <w:r>
          <w:rPr>
            <w:rStyle w:val="Hyperlink"/>
            <w:rFonts w:eastAsia="等线" w:ascii="Arial" w:hAnsi="等线" w:cs="等线"/>
            <w:color w:val="0563C1"/>
            <w:sz w:val="22"/>
            <w:u w:val="single"/>
          </w:rPr>
          <w:t>TechCrunch: Data breach at govtech giant Conduent balloons, affecting millions</w:t>
        </w:r>
      </w:hyperlink>
    </w:p>
    <w:sectPr>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 w:numId="13">
    <w:abstractNumId w:val="202"/>
    <w:lvlOverride w:ilvl="0">
      <w:startOverride w:val="1"/>
    </w:lvlOverride>
  </w:num>
  <w:num w:numId="14">
    <w:abstractNumId w:val="202"/>
    <w:lvlOverride w:ilvl="0">
      <w:startOverride w:val="1"/>
    </w:lvlOverride>
  </w:num>
  <w:num w:numId="15">
    <w:abstractNumId w:val="202"/>
    <w:lvlOverride w:ilvl="0">
      <w:startOverride w:val="1"/>
    </w:lvlOverride>
  </w:num>
  <w:num w:numId="16">
    <w:abstractNumId w:val="202"/>
    <w:lvlOverride w:ilvl="0">
      <w:startOverride w:val="1"/>
    </w:lvlOverride>
  </w:num>
  <w:num w:numId="17">
    <w:abstractNumId w:val="2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 Id="rId9" Type="http://schemas.openxmlformats.org/officeDocument/2006/relationships/hyperlink" Target="https://www.reuters.com/business/media-telecom/cisco-unveils-new-ai-networking-chip-taking-broadcom-and-nvidia-2026-02-10/" TargetMode="External"></Relationship><Relationship Id="rId10" Type="http://schemas.openxmlformats.org/officeDocument/2006/relationships/hyperlink" Target="https://www.reuters.com/world/asia-pacific/bytedance-developing-ai-chip-manufacturing-talks-with-samsung-sources-say-2026-02-11/" TargetMode="External"></Relationship><Relationship Id="rId11" Type="http://schemas.openxmlformats.org/officeDocument/2006/relationships/hyperlink" Target="https://www.reuters.com/business/openai-ceo-says-chatgpt-back-over-10-monthly-growth-cnbc-reports-2026-02-09/" TargetMode="External"></Relationship><Relationship Id="rId12" Type="http://schemas.openxmlformats.org/officeDocument/2006/relationships/hyperlink" Target="https://openai.com/index/introducing-gpt-5-3-codex/" TargetMode="External"></Relationship><Relationship Id="rId13" Type="http://schemas.openxmlformats.org/officeDocument/2006/relationships/hyperlink" Target="https://claude.ai/blog/claude-opus-4-6" TargetMode="External"></Relationship><Relationship Id="rId14" Type="http://schemas.openxmlformats.org/officeDocument/2006/relationships/hyperlink" Target="https://www.reuters.com/world/asia-pacific/taiwan-january-exports-surge-fastest-pace-16-years-ai-demand-2026-02-09/" TargetMode="External"></Relationship><Relationship Id="rId15" Type="http://schemas.openxmlformats.org/officeDocument/2006/relationships/hyperlink" Target="https://techcrunch.com/2026/02/05/data-breach-at-govtech-giant-conduent-balloons-affecting-millions-more-americans/" TargetMode="External"></Relationship><Relationship Id="rId16" Type="http://schemas.openxmlformats.org/officeDocument/2006/relationships/hyperlink" Target="https://www.reuters.com/business/media-telecom/cisco-unveils-new-ai-networking-chip-taking-broadcom-and-nvidia-2026-02-10/" TargetMode="External"></Relationship><Relationship Id="rId17" Type="http://schemas.openxmlformats.org/officeDocument/2006/relationships/hyperlink" Target="https://www.reuters.com/world/asia-pacific/bytedance-developing-ai-chip-manufacturing-talks-with-samsung-sources-say-2026-02-11/" TargetMode="External"></Relationship><Relationship Id="rId18" Type="http://schemas.openxmlformats.org/officeDocument/2006/relationships/hyperlink" Target="https://www.reuters.com/business/openai-ceo-says-chatgpt-back-over-10-monthly-growth-cnbc-reports-2026-02-09/" TargetMode="External"></Relationship><Relationship Id="rId19" Type="http://schemas.openxmlformats.org/officeDocument/2006/relationships/hyperlink" Target="https://openai.com/index/introducing-gpt-5-3-codex/" TargetMode="External"></Relationship><Relationship Id="rId20" Type="http://schemas.openxmlformats.org/officeDocument/2006/relationships/hyperlink" Target="https://claude.ai/blog/claude-opus-4-6" TargetMode="External"></Relationship><Relationship Id="rId21" Type="http://schemas.openxmlformats.org/officeDocument/2006/relationships/hyperlink" Target="https://www.reuters.com/world/asia-pacific/taiwan-january-exports-surge-fastest-pace-16-years-ai-demand-2026-02-09/" TargetMode="External"></Relationship><Relationship Id="rId22" Type="http://schemas.openxmlformats.org/officeDocument/2006/relationships/hyperlink" Target="https://techcrunch.com/2026/02/05/data-breach-at-govtech-giant-conduent-balloons-affecting-millions-more-americans/" TargetMode="Externa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