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Authoritative AI/LLM Model Comparison Guide</w:t>
      </w:r>
    </w:p>
    <w:p>
      <w:pPr>
        <w:spacing w:before="120" w:after="120" w:line="288" w:lineRule="auto"/>
        <w:jc w:val="center"/>
      </w:pPr>
      <w:r>
        <w:rPr>
          <w:rFonts w:eastAsia="等线" w:ascii="Arial" w:hAnsi="等线" w:cs="等线"/>
          <w:color w:val="000000"/>
          <w:sz w:val="22"/>
        </w:rPr>
        <w:t>A Curated List of Benchmarks, Leaderboards, and Evaluation Reports</w:t>
      </w:r>
    </w:p>
    <w:p>
      <w:pPr>
        <w:spacing w:before="120" w:after="120" w:line="288" w:lineRule="auto"/>
      </w:pPr>
      <w:r>
        <w:rPr>
          <w:rFonts w:eastAsia="等线" w:ascii="Arial" w:hAnsi="等线" w:cs="等线"/>
          <w:color w:val="475569"/>
          <w:sz w:val="22"/>
        </w:rPr>
        <w:t xml:space="preserve">This document serves as a specialized, </w:t>
      </w:r>
      <w:r>
        <w:rPr>
          <w:rFonts w:eastAsia="等线" w:ascii="Arial" w:hAnsi="等线" w:cs="等线"/>
          <w:b w:val="true"/>
          <w:color w:val="0F172A"/>
          <w:sz w:val="22"/>
        </w:rPr>
        <w:t>English-only curated resource</w:t>
      </w:r>
      <w:r>
        <w:rPr>
          <w:rFonts w:eastAsia="等线" w:ascii="Arial" w:hAnsi="等线" w:cs="等线"/>
          <w:color w:val="475569"/>
          <w:sz w:val="22"/>
        </w:rPr>
        <w:t xml:space="preserve"> for engineers, researchers, and product leaders who need to evaluate the rapidly evolving landscape of Large Language Models (LLMs). Rather than relying on transient social media hype or unverified claims, this guide focuses exclusively on </w:t>
      </w:r>
      <w:r>
        <w:rPr>
          <w:rFonts w:eastAsia="等线" w:ascii="Arial" w:hAnsi="等线" w:cs="等线"/>
          <w:b w:val="true"/>
          <w:color w:val="0F172A"/>
          <w:sz w:val="22"/>
        </w:rPr>
        <w:t>authoritative sources</w:t>
      </w:r>
      <w:r>
        <w:rPr>
          <w:rFonts w:eastAsia="等线" w:ascii="Arial" w:hAnsi="等线" w:cs="等线"/>
          <w:color w:val="475569"/>
          <w:sz w:val="22"/>
        </w:rPr>
        <w:t>—peer-reviewed academic papers, comprehensive industry reports from established research institutions, and rigorously maintained technical benchmarks.</w:t>
      </w:r>
    </w:p>
    <w:p>
      <w:pPr>
        <w:spacing w:before="320" w:after="120" w:line="288" w:lineRule="auto"/>
      </w:pPr>
      <w:r>
        <w:rPr>
          <w:rFonts w:eastAsia="等线" w:ascii="Arial" w:hAnsi="等线" w:cs="等线"/>
          <w:b w:val="true"/>
          <w:color w:val="000000"/>
          <w:sz w:val="32"/>
        </w:rPr>
        <w:t>Purpose and Selection Criteria</w:t>
      </w:r>
    </w:p>
    <w:p>
      <w:pPr>
        <w:spacing w:before="120" w:after="120" w:line="288" w:lineRule="auto"/>
      </w:pPr>
      <w:r>
        <w:rPr>
          <w:rFonts w:eastAsia="等线" w:ascii="Arial" w:hAnsi="等线" w:cs="等线"/>
          <w:color w:val="000000"/>
          <w:sz w:val="22"/>
        </w:rPr>
        <w:t>The primary purpose of this curated list is to cut through the noise of the "AI hype cycle" by providing direct access to the most credible data sources available in 2025. Evaluating AI models has become increasingly complex; a single metric (like accuracy on a multiple-choice test) is no longer sufficient to judge a model's utility for real-world production systems. Therefore, the sources selected for this guide have been chosen based on three strict criteria:</w:t>
      </w:r>
    </w:p>
    <w:p>
      <w:pPr>
        <w:spacing w:before="120" w:after="120" w:line="288" w:lineRule="auto"/>
      </w:pPr>
      <w:r>
        <w:rPr>
          <w:rFonts w:eastAsia="等线" w:ascii="Arial" w:hAnsi="等线" w:cs="等线"/>
          <w:b w:val="true"/>
          <w:color w:val="000000"/>
          <w:sz w:val="22"/>
        </w:rPr>
        <w:t>Authoritative Origin:</w:t>
      </w:r>
      <w:r>
        <w:rPr>
          <w:rFonts w:eastAsia="等线" w:ascii="Arial" w:hAnsi="等线" w:cs="等线"/>
          <w:color w:val="000000"/>
          <w:sz w:val="22"/>
        </w:rPr>
        <w:t xml:space="preserve"> Sources must originate from recognized research labs (e.g., Stanford HAI), industry-standard analytics firms (e.g., Artificial Analysis), or top-tier academic conferences (e.g., NDSS, arXiv).</w:t>
      </w:r>
    </w:p>
    <w:p>
      <w:pPr>
        <w:spacing w:before="120" w:after="120" w:line="288" w:lineRule="auto"/>
      </w:pPr>
      <w:r>
        <w:rPr>
          <w:rFonts w:eastAsia="等线" w:ascii="Arial" w:hAnsi="等线" w:cs="等线"/>
          <w:b w:val="true"/>
          <w:color w:val="000000"/>
          <w:sz w:val="22"/>
        </w:rPr>
        <w:t>Benchmark-Driven Methodology:</w:t>
      </w:r>
      <w:r>
        <w:rPr>
          <w:rFonts w:eastAsia="等线" w:ascii="Arial" w:hAnsi="等线" w:cs="等线"/>
          <w:color w:val="000000"/>
          <w:sz w:val="22"/>
        </w:rPr>
        <w:t xml:space="preserve"> Each document must rely on reproducible, quantitative benchmarks (such as HumanEval, SWE-bench, or vulnerability detection datasets) rather than subjective opinion.</w:t>
      </w:r>
    </w:p>
    <w:p>
      <w:pPr>
        <w:spacing w:before="120" w:after="120" w:line="288" w:lineRule="auto"/>
      </w:pPr>
      <w:r>
        <w:rPr>
          <w:rFonts w:eastAsia="等线" w:ascii="Arial" w:hAnsi="等线" w:cs="等线"/>
          <w:b w:val="true"/>
          <w:color w:val="000000"/>
          <w:sz w:val="22"/>
        </w:rPr>
        <w:t>Comparative Scope:</w:t>
      </w:r>
      <w:r>
        <w:rPr>
          <w:rFonts w:eastAsia="等线" w:ascii="Arial" w:hAnsi="等线" w:cs="等线"/>
          <w:color w:val="000000"/>
          <w:sz w:val="22"/>
        </w:rPr>
        <w:t xml:space="preserve"> The documents must directly compare multiple leading models (e.g., GPT-5, Claude, LLaMA series) side-by-side to highlight relative strengths, trade-offs, and performance deltas.</w:t>
      </w:r>
    </w:p>
    <w:p>
      <w:pPr>
        <w:spacing w:before="120" w:after="120" w:line="288" w:lineRule="auto"/>
      </w:pPr>
      <w:r>
        <w:rPr>
          <w:rFonts w:eastAsia="等线" w:ascii="Arial" w:hAnsi="等线" w:cs="等线"/>
          <w:color w:val="000000"/>
          <w:sz w:val="22"/>
        </w:rPr>
        <w:t xml:space="preserve">Readers can use this list to support critical decision-making processes, including </w:t>
      </w:r>
      <w:r>
        <w:rPr>
          <w:rFonts w:eastAsia="等线" w:ascii="Arial" w:hAnsi="等线" w:cs="等线"/>
          <w:b w:val="true"/>
          <w:color w:val="000000"/>
          <w:sz w:val="22"/>
        </w:rPr>
        <w:t>model selection</w:t>
      </w:r>
      <w:r>
        <w:rPr>
          <w:rFonts w:eastAsia="等线" w:ascii="Arial" w:hAnsi="等线" w:cs="等线"/>
          <w:color w:val="000000"/>
          <w:sz w:val="22"/>
        </w:rPr>
        <w:t xml:space="preserve"> for specific use cases (e.g., coding vs. reasoning), </w:t>
      </w:r>
      <w:r>
        <w:rPr>
          <w:rFonts w:eastAsia="等线" w:ascii="Arial" w:hAnsi="等线" w:cs="等线"/>
          <w:b w:val="true"/>
          <w:color w:val="000000"/>
          <w:sz w:val="22"/>
        </w:rPr>
        <w:t>evaluation design</w:t>
      </w:r>
      <w:r>
        <w:rPr>
          <w:rFonts w:eastAsia="等线" w:ascii="Arial" w:hAnsi="等线" w:cs="等线"/>
          <w:color w:val="000000"/>
          <w:sz w:val="22"/>
        </w:rPr>
        <w:t xml:space="preserve"> for internal testing pipelines, and analyzing </w:t>
      </w:r>
      <w:r>
        <w:rPr>
          <w:rFonts w:eastAsia="等线" w:ascii="Arial" w:hAnsi="等线" w:cs="等线"/>
          <w:b w:val="true"/>
          <w:color w:val="000000"/>
          <w:sz w:val="22"/>
        </w:rPr>
        <w:t>price-performance trade-offs</w:t>
      </w:r>
      <w:r>
        <w:rPr>
          <w:rFonts w:eastAsia="等线" w:ascii="Arial" w:hAnsi="等线" w:cs="等线"/>
          <w:color w:val="000000"/>
          <w:sz w:val="22"/>
        </w:rPr>
        <w:t>. Whether you are an infrastructure engineer optimizing for inference costs or a security researcher auditing for vulnerabilities, these documents provide the foundational data needed to make informed choices.</w:t>
      </w:r>
    </w:p>
    <w:p>
      <w:pPr>
        <w:spacing w:before="320" w:after="120" w:line="288" w:lineRule="auto"/>
      </w:pPr>
      <w:r>
        <w:rPr>
          <w:rFonts w:eastAsia="等线" w:ascii="Arial" w:hAnsi="等线" w:cs="等线"/>
          <w:b w:val="true"/>
          <w:color w:val="000000"/>
          <w:sz w:val="32"/>
        </w:rPr>
        <w:t>Recommended English AI/LLM Model Comparison Documents</w:t>
      </w:r>
    </w:p>
    <w:p>
      <w:pPr>
        <w:spacing w:before="120" w:after="120" w:line="288" w:lineRule="auto"/>
      </w:pPr>
      <w:r>
        <w:rPr>
          <w:rFonts w:eastAsia="等线" w:ascii="Arial" w:hAnsi="等线" w:cs="等线"/>
          <w:color w:val="000000"/>
          <w:sz w:val="22"/>
        </w:rPr>
        <w:t>The following table summarizes the five most critical documents for understanding the state of AI models in 2025. Each entry includes the document's specific scope, the benchmarks used for evaluation, and concrete performance metrics extracted directly from the text.</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Document Source</w:t>
            </w:r>
          </w:p>
        </w:tc>
        <w:tc>
          <w:tcPr>
            <w:tcW w:w="2078" w:type="dxa"/>
            <w:shd w:val="clear" w:color="auto" w:fill="FFFFFF"/>
          </w:tcPr>
          <w:p>
            <w:pPr>
              <w:spacing w:before="120" w:after="120" w:line="288" w:lineRule="auto"/>
            </w:pPr>
            <w:r>
              <w:rPr>
                <w:rFonts w:eastAsia="等线" w:ascii="Arial" w:hAnsi="等线" w:cs="等线"/>
                <w:color w:val="000000"/>
                <w:sz w:val="22"/>
              </w:rPr>
              <w:t>Scope &amp; Focus</w:t>
            </w:r>
          </w:p>
        </w:tc>
        <w:tc>
          <w:tcPr>
            <w:tcW w:w="2068" w:type="dxa"/>
            <w:shd w:val="clear" w:color="auto" w:fill="FFFFFF"/>
          </w:tcPr>
          <w:p>
            <w:pPr>
              <w:spacing w:before="120" w:after="120" w:line="288" w:lineRule="auto"/>
            </w:pPr>
            <w:r>
              <w:rPr>
                <w:rFonts w:eastAsia="等线" w:ascii="Arial" w:hAnsi="等线" w:cs="等线"/>
                <w:color w:val="000000"/>
                <w:sz w:val="22"/>
              </w:rPr>
              <w:t>Key Metrics &amp; Benchmarks</w:t>
            </w:r>
          </w:p>
        </w:tc>
        <w:tc>
          <w:tcPr>
            <w:tcW w:w="2068" w:type="dxa"/>
            <w:shd w:val="clear" w:color="auto" w:fill="FFFFFF"/>
          </w:tcPr>
          <w:p>
            <w:pPr>
              <w:spacing w:before="120" w:after="120" w:line="288" w:lineRule="auto"/>
            </w:pPr>
            <w:r>
              <w:rPr>
                <w:rFonts w:eastAsia="等线" w:ascii="Arial" w:hAnsi="等线" w:cs="等线"/>
                <w:color w:val="000000"/>
                <w:sz w:val="22"/>
              </w:rPr>
              <w:t>Selected Findings &amp; Facts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Stanford HAI AI Index Report 2025</w:t>
            </w:r>
            <w:r>
              <w:rPr>
                <w:rFonts w:eastAsia="等线" w:ascii="Arial" w:hAnsi="等线" w:cs="等线"/>
                <w:color w:val="000000"/>
                <w:sz w:val="22"/>
              </w:rPr>
              <w:t xml:space="preserve">
</w:t>
            </w:r>
            <w:hyperlink xmlns:relationships="http://schemas.openxmlformats.org/officeDocument/2006/relationships" relationships:id="rId9">
              <w:r>
                <w:rPr>
                  <w:rStyle w:val="Hyperlink"/>
                  <w:rFonts w:eastAsia="等线" w:ascii="Arial" w:hAnsi="等线" w:cs="等线"/>
                  <w:color w:val="2563EB"/>
                  <w:sz w:val="22"/>
                  <w:u w:val="single"/>
                </w:rPr>
                <w:t>Direct PDF Link</w:t>
              </w:r>
            </w:hyperlink>
          </w:p>
        </w:tc>
        <w:tc>
          <w:tcPr>
            <w:tcW w:w="2078" w:type="dxa"/>
            <w:shd w:val="clear" w:color="auto" w:fill="FFFFFF"/>
          </w:tcPr>
          <w:p>
            <w:pPr>
              <w:spacing w:before="120" w:after="120" w:line="288" w:lineRule="auto"/>
            </w:pPr>
            <w:r>
              <w:rPr>
                <w:rFonts w:eastAsia="等线" w:ascii="Arial" w:hAnsi="等线" w:cs="等线"/>
                <w:color w:val="000000"/>
                <w:sz w:val="22"/>
              </w:rPr>
              <w:t>Global technical performance, economy, and responsible AI. Covers broad model progress over time.</w:t>
            </w:r>
          </w:p>
        </w:tc>
        <w:tc>
          <w:tcPr>
            <w:tcW w:w="2068" w:type="dxa"/>
            <w:shd w:val="clear" w:color="auto" w:fill="FFFFFF"/>
          </w:tcPr>
          <w:p>
            <w:pPr>
              <w:spacing w:before="120" w:after="120" w:line="288" w:lineRule="auto"/>
            </w:pPr>
            <w:r>
              <w:rPr>
                <w:rFonts w:eastAsia="等线" w:ascii="Arial" w:hAnsi="等线" w:cs="等线"/>
                <w:color w:val="000000"/>
                <w:sz w:val="22"/>
              </w:rPr>
              <w:t>MMMU, GPQA, SWE-bench, HEIM (holistic evaluation).</w:t>
            </w:r>
          </w:p>
        </w:tc>
        <w:tc>
          <w:tcPr>
            <w:tcW w:w="2068" w:type="dxa"/>
            <w:shd w:val="clear" w:color="auto" w:fill="FFFFFF"/>
          </w:tcPr>
          <w:p>
            <w:pPr>
              <w:spacing w:before="120" w:after="120" w:line="288" w:lineRule="auto"/>
            </w:pPr>
            <w:r>
              <w:rPr>
                <w:rFonts w:eastAsia="等线" w:ascii="Arial" w:hAnsi="等线" w:cs="等线"/>
                <w:color w:val="000000"/>
                <w:sz w:val="22"/>
              </w:rPr>
              <w:t xml:space="preserve">Performance scores rose sharply in one year: </w:t>
            </w:r>
            <w:r>
              <w:rPr>
                <w:rFonts w:eastAsia="等线" w:ascii="Arial" w:hAnsi="等线" w:cs="等线"/>
                <w:b w:val="true"/>
                <w:color w:val="000000"/>
                <w:sz w:val="22"/>
              </w:rPr>
              <w:t>+18.8%</w:t>
            </w:r>
            <w:r>
              <w:rPr>
                <w:rFonts w:eastAsia="等线" w:ascii="Arial" w:hAnsi="等线" w:cs="等线"/>
                <w:color w:val="000000"/>
                <w:sz w:val="22"/>
              </w:rPr>
              <w:t xml:space="preserve"> on MMMU, </w:t>
            </w:r>
            <w:r>
              <w:rPr>
                <w:rFonts w:eastAsia="等线" w:ascii="Arial" w:hAnsi="等线" w:cs="等线"/>
                <w:b w:val="true"/>
                <w:color w:val="000000"/>
                <w:sz w:val="22"/>
              </w:rPr>
              <w:t>+48.9%</w:t>
            </w:r>
            <w:r>
              <w:rPr>
                <w:rFonts w:eastAsia="等线" w:ascii="Arial" w:hAnsi="等线" w:cs="等线"/>
                <w:color w:val="000000"/>
                <w:sz w:val="22"/>
              </w:rPr>
              <w:t xml:space="preserve"> on GPQA, and </w:t>
            </w:r>
            <w:r>
              <w:rPr>
                <w:rFonts w:eastAsia="等线" w:ascii="Arial" w:hAnsi="等线" w:cs="等线"/>
                <w:b w:val="true"/>
                <w:color w:val="000000"/>
                <w:sz w:val="22"/>
              </w:rPr>
              <w:t>+67.3%</w:t>
            </w:r>
            <w:r>
              <w:rPr>
                <w:rFonts w:eastAsia="等线" w:ascii="Arial" w:hAnsi="等线" w:cs="等线"/>
                <w:color w:val="000000"/>
                <w:sz w:val="22"/>
              </w:rPr>
              <w:t xml:space="preserve"> on SWE-bench.</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Artificial Analysis State of AI Q3 2025</w:t>
            </w:r>
            <w:r>
              <w:rPr>
                <w:rFonts w:eastAsia="等线" w:ascii="Arial" w:hAnsi="等线" w:cs="等线"/>
                <w:color w:val="000000"/>
                <w:sz w:val="22"/>
              </w:rPr>
              <w:t xml:space="preserve">
</w:t>
            </w:r>
            <w:hyperlink xmlns:relationships="http://schemas.openxmlformats.org/officeDocument/2006/relationships" relationships:id="rId10">
              <w:r>
                <w:rPr>
                  <w:rStyle w:val="Hyperlink"/>
                  <w:rFonts w:eastAsia="等线" w:ascii="Arial" w:hAnsi="等线" w:cs="等线"/>
                  <w:color w:val="2563EB"/>
                  <w:sz w:val="22"/>
                  <w:u w:val="single"/>
                </w:rPr>
                <w:t>Direct PDF Link</w:t>
              </w:r>
            </w:hyperlink>
          </w:p>
        </w:tc>
        <w:tc>
          <w:tcPr>
            <w:tcW w:w="2078" w:type="dxa"/>
            <w:shd w:val="clear" w:color="auto" w:fill="FFFFFF"/>
          </w:tcPr>
          <w:p>
            <w:pPr>
              <w:spacing w:before="120" w:after="120" w:line="288" w:lineRule="auto"/>
            </w:pPr>
            <w:r>
              <w:rPr>
                <w:rFonts w:eastAsia="等线" w:ascii="Arial" w:hAnsi="等线" w:cs="等线"/>
                <w:color w:val="000000"/>
                <w:sz w:val="22"/>
              </w:rPr>
              <w:t>Industry highlights, model intelligence vs. pricing, speed, and efficiency trade-offs.</w:t>
            </w:r>
          </w:p>
        </w:tc>
        <w:tc>
          <w:tcPr>
            <w:tcW w:w="2068" w:type="dxa"/>
            <w:shd w:val="clear" w:color="auto" w:fill="FFFFFF"/>
          </w:tcPr>
          <w:p>
            <w:pPr>
              <w:spacing w:before="120" w:after="120" w:line="288" w:lineRule="auto"/>
            </w:pPr>
            <w:r>
              <w:rPr>
                <w:rFonts w:eastAsia="等线" w:ascii="Arial" w:hAnsi="等线" w:cs="等线"/>
                <w:color w:val="000000"/>
                <w:sz w:val="22"/>
              </w:rPr>
              <w:t>Artificial Analysis Intelligence Index v3.0 (combines MMLU-Pro, GPQA Diamond, LiveCodeBench, etc.).</w:t>
            </w:r>
          </w:p>
        </w:tc>
        <w:tc>
          <w:tcPr>
            <w:tcW w:w="2068" w:type="dxa"/>
            <w:shd w:val="clear" w:color="auto" w:fill="FFFFFF"/>
          </w:tcPr>
          <w:p>
            <w:pPr>
              <w:spacing w:before="120" w:after="120" w:line="288" w:lineRule="auto"/>
            </w:pPr>
            <w:r>
              <w:rPr>
                <w:rFonts w:eastAsia="等线" w:ascii="Arial" w:hAnsi="等线" w:cs="等线"/>
                <w:color w:val="000000"/>
                <w:sz w:val="22"/>
              </w:rPr>
              <w:t xml:space="preserve">Top Intelligence Scores: </w:t>
            </w:r>
            <w:r>
              <w:rPr>
                <w:rFonts w:eastAsia="等线" w:ascii="Arial" w:hAnsi="等线" w:cs="等线"/>
                <w:b w:val="true"/>
                <w:color w:val="000000"/>
                <w:sz w:val="22"/>
              </w:rPr>
              <w:t>GPT-5 (high) at 68</w:t>
            </w:r>
            <w:r>
              <w:rPr>
                <w:rFonts w:eastAsia="等线" w:ascii="Arial" w:hAnsi="等线" w:cs="等线"/>
                <w:color w:val="000000"/>
                <w:sz w:val="22"/>
              </w:rPr>
              <w:t xml:space="preserve">, Grok 4 at 65, and Claude 4.5 Sonnet at 63. Inference prices dropped </w:t>
            </w:r>
            <w:r>
              <w:rPr>
                <w:rFonts w:eastAsia="等线" w:ascii="Arial" w:hAnsi="等线" w:cs="等线"/>
                <w:b w:val="true"/>
                <w:color w:val="000000"/>
                <w:sz w:val="22"/>
              </w:rPr>
              <w:t>~50%</w:t>
            </w:r>
            <w:r>
              <w:rPr>
                <w:rFonts w:eastAsia="等线" w:ascii="Arial" w:hAnsi="等线" w:cs="等线"/>
                <w:color w:val="000000"/>
                <w:sz w:val="22"/>
              </w:rPr>
              <w:t xml:space="preserve"> for top-tier models.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SonarSource: The Coding Personalities of Leading LLMs</w:t>
            </w:r>
            <w:r>
              <w:rPr>
                <w:rFonts w:eastAsia="等线" w:ascii="Arial" w:hAnsi="等线" w:cs="等线"/>
                <w:color w:val="000000"/>
                <w:sz w:val="22"/>
              </w:rPr>
              <w:t xml:space="preserve">
</w:t>
            </w:r>
            <w:hyperlink xmlns:relationships="http://schemas.openxmlformats.org/officeDocument/2006/relationships" relationships:id="rId11">
              <w:r>
                <w:rPr>
                  <w:rStyle w:val="Hyperlink"/>
                  <w:rFonts w:eastAsia="等线" w:ascii="Arial" w:hAnsi="等线" w:cs="等线"/>
                  <w:color w:val="2563EB"/>
                  <w:sz w:val="22"/>
                  <w:u w:val="single"/>
                </w:rPr>
                <w:t>Direct PDF Link</w:t>
              </w:r>
            </w:hyperlink>
          </w:p>
        </w:tc>
        <w:tc>
          <w:tcPr>
            <w:tcW w:w="2078" w:type="dxa"/>
            <w:shd w:val="clear" w:color="auto" w:fill="FFFFFF"/>
          </w:tcPr>
          <w:p>
            <w:pPr>
              <w:spacing w:before="120" w:after="120" w:line="288" w:lineRule="auto"/>
            </w:pPr>
            <w:r>
              <w:rPr>
                <w:rFonts w:eastAsia="等线" w:ascii="Arial" w:hAnsi="等线" w:cs="等线"/>
                <w:color w:val="000000"/>
                <w:sz w:val="22"/>
              </w:rPr>
              <w:t>Code quality, "clean code" compliance, and reliability in software development tasks.</w:t>
            </w:r>
          </w:p>
        </w:tc>
        <w:tc>
          <w:tcPr>
            <w:tcW w:w="2068" w:type="dxa"/>
            <w:shd w:val="clear" w:color="auto" w:fill="FFFFFF"/>
          </w:tcPr>
          <w:p>
            <w:pPr>
              <w:spacing w:before="120" w:after="120" w:line="288" w:lineRule="auto"/>
            </w:pPr>
            <w:r>
              <w:rPr>
                <w:rFonts w:eastAsia="等线" w:ascii="Arial" w:hAnsi="等线" w:cs="等线"/>
                <w:color w:val="000000"/>
                <w:sz w:val="22"/>
              </w:rPr>
              <w:t>HumanEval, Sonar static analysis rules (bugs, smells, vulnerabilities). Tested on 4,442 distinct tasks.</w:t>
            </w:r>
          </w:p>
        </w:tc>
        <w:tc>
          <w:tcPr>
            <w:tcW w:w="2068" w:type="dxa"/>
            <w:shd w:val="clear" w:color="auto" w:fill="FFFFFF"/>
          </w:tcPr>
          <w:p>
            <w:pPr>
              <w:spacing w:before="120" w:after="120" w:line="288" w:lineRule="auto"/>
            </w:pPr>
            <w:r>
              <w:rPr>
                <w:rFonts w:eastAsia="等线" w:ascii="Arial" w:hAnsi="等线" w:cs="等线"/>
                <w:color w:val="000000"/>
                <w:sz w:val="22"/>
              </w:rPr>
              <w:t xml:space="preserve">Claude Sonnet 4 achieved a </w:t>
            </w:r>
            <w:r>
              <w:rPr>
                <w:rFonts w:eastAsia="等线" w:ascii="Arial" w:hAnsi="等线" w:cs="等线"/>
                <w:b w:val="true"/>
                <w:color w:val="000000"/>
                <w:sz w:val="22"/>
              </w:rPr>
              <w:t>95.57%</w:t>
            </w:r>
            <w:r>
              <w:rPr>
                <w:rFonts w:eastAsia="等线" w:ascii="Arial" w:hAnsi="等线" w:cs="等线"/>
                <w:color w:val="000000"/>
                <w:sz w:val="22"/>
              </w:rPr>
              <w:t xml:space="preserve"> success rate on HumanEval; GPT-5-minimal scored </w:t>
            </w:r>
            <w:r>
              <w:rPr>
                <w:rFonts w:eastAsia="等线" w:ascii="Arial" w:hAnsi="等线" w:cs="等线"/>
                <w:b w:val="true"/>
                <w:color w:val="000000"/>
                <w:sz w:val="22"/>
              </w:rPr>
              <w:t>~92%</w:t>
            </w:r>
            <w:r>
              <w:rPr>
                <w:rFonts w:eastAsia="等线" w:ascii="Arial" w:hAnsi="等线" w:cs="等线"/>
                <w:color w:val="000000"/>
                <w:sz w:val="22"/>
              </w:rPr>
              <w:t xml:space="preserve"> on the same benchmark.</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NDSS 2025 Paper: From Large to Mammoth</w:t>
            </w:r>
            <w:r>
              <w:rPr>
                <w:rFonts w:eastAsia="等线" w:ascii="Arial" w:hAnsi="等线" w:cs="等线"/>
                <w:color w:val="000000"/>
                <w:sz w:val="22"/>
              </w:rPr>
              <w:t xml:space="preserve">
</w:t>
            </w:r>
            <w:hyperlink xmlns:relationships="http://schemas.openxmlformats.org/officeDocument/2006/relationships" relationships:id="rId12">
              <w:r>
                <w:rPr>
                  <w:rStyle w:val="Hyperlink"/>
                  <w:rFonts w:eastAsia="等线" w:ascii="Arial" w:hAnsi="等线" w:cs="等线"/>
                  <w:color w:val="2563EB"/>
                  <w:sz w:val="22"/>
                  <w:u w:val="single"/>
                </w:rPr>
                <w:t>Direct PDF Link</w:t>
              </w:r>
            </w:hyperlink>
          </w:p>
        </w:tc>
        <w:tc>
          <w:tcPr>
            <w:tcW w:w="2078" w:type="dxa"/>
            <w:shd w:val="clear" w:color="auto" w:fill="FFFFFF"/>
          </w:tcPr>
          <w:p>
            <w:pPr>
              <w:spacing w:before="120" w:after="120" w:line="288" w:lineRule="auto"/>
            </w:pPr>
            <w:r>
              <w:rPr>
                <w:rFonts w:eastAsia="等线" w:ascii="Arial" w:hAnsi="等线" w:cs="等线"/>
                <w:color w:val="000000"/>
                <w:sz w:val="22"/>
              </w:rPr>
              <w:t>Cybersecurity focus: Vulnerability detection capabilities in Java and C/C++ codebases.</w:t>
            </w:r>
          </w:p>
        </w:tc>
        <w:tc>
          <w:tcPr>
            <w:tcW w:w="2068" w:type="dxa"/>
            <w:shd w:val="clear" w:color="auto" w:fill="FFFFFF"/>
          </w:tcPr>
          <w:p>
            <w:pPr>
              <w:spacing w:before="120" w:after="120" w:line="288" w:lineRule="auto"/>
            </w:pPr>
            <w:r>
              <w:rPr>
                <w:rFonts w:eastAsia="等线" w:ascii="Arial" w:hAnsi="等线" w:cs="等线"/>
                <w:color w:val="000000"/>
                <w:sz w:val="22"/>
              </w:rPr>
              <w:t>Vul4J dataset, Accuracy, Explicitness, Context Window impact analysis.</w:t>
            </w:r>
          </w:p>
        </w:tc>
        <w:tc>
          <w:tcPr>
            <w:tcW w:w="2068" w:type="dxa"/>
            <w:shd w:val="clear" w:color="auto" w:fill="FFFFFF"/>
          </w:tcPr>
          <w:p>
            <w:pPr>
              <w:spacing w:before="120" w:after="120" w:line="288" w:lineRule="auto"/>
            </w:pPr>
            <w:r>
              <w:rPr>
                <w:rFonts w:eastAsia="等线" w:ascii="Arial" w:hAnsi="等线" w:cs="等线"/>
                <w:color w:val="000000"/>
                <w:sz w:val="22"/>
              </w:rPr>
              <w:t xml:space="preserve">Found that </w:t>
            </w:r>
            <w:r>
              <w:rPr>
                <w:rFonts w:eastAsia="等线" w:ascii="Arial" w:hAnsi="等线" w:cs="等线"/>
                <w:b w:val="true"/>
                <w:color w:val="000000"/>
                <w:sz w:val="22"/>
              </w:rPr>
              <w:t>context window size</w:t>
            </w:r>
            <w:r>
              <w:rPr>
                <w:rFonts w:eastAsia="等线" w:ascii="Arial" w:hAnsi="等线" w:cs="等线"/>
                <w:color w:val="000000"/>
                <w:sz w:val="22"/>
              </w:rPr>
              <w:t xml:space="preserve"> consistently correlates with improved detection performance. Highlighted strong results from specific models like Gemma and LLaMA-2.</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arXiv Survey: Large Language Models</w:t>
            </w:r>
            <w:r>
              <w:rPr>
                <w:rFonts w:eastAsia="等线" w:ascii="Arial" w:hAnsi="等线" w:cs="等线"/>
                <w:color w:val="000000"/>
                <w:sz w:val="22"/>
              </w:rPr>
              <w:t xml:space="preserve">
</w:t>
            </w:r>
            <w:hyperlink xmlns:relationships="http://schemas.openxmlformats.org/officeDocument/2006/relationships" relationships:id="rId13">
              <w:r>
                <w:rPr>
                  <w:rStyle w:val="Hyperlink"/>
                  <w:rFonts w:eastAsia="等线" w:ascii="Arial" w:hAnsi="等线" w:cs="等线"/>
                  <w:color w:val="2563EB"/>
                  <w:sz w:val="22"/>
                  <w:u w:val="single"/>
                </w:rPr>
                <w:t>Direct PDF Link</w:t>
              </w:r>
            </w:hyperlink>
          </w:p>
        </w:tc>
        <w:tc>
          <w:tcPr>
            <w:tcW w:w="2078" w:type="dxa"/>
            <w:shd w:val="clear" w:color="auto" w:fill="FFFFFF"/>
          </w:tcPr>
          <w:p>
            <w:pPr>
              <w:spacing w:before="120" w:after="120" w:line="288" w:lineRule="auto"/>
            </w:pPr>
            <w:r>
              <w:rPr>
                <w:rFonts w:eastAsia="等线" w:ascii="Arial" w:hAnsi="等线" w:cs="等线"/>
                <w:color w:val="000000"/>
                <w:sz w:val="22"/>
              </w:rPr>
              <w:t>Academic literature review, taxonomy of model families (GPT, LLaMA, PaLM), and architectural evolution.</w:t>
            </w:r>
          </w:p>
        </w:tc>
        <w:tc>
          <w:tcPr>
            <w:tcW w:w="2068" w:type="dxa"/>
            <w:shd w:val="clear" w:color="auto" w:fill="FFFFFF"/>
          </w:tcPr>
          <w:p>
            <w:pPr>
              <w:spacing w:before="120" w:after="120" w:line="288" w:lineRule="auto"/>
            </w:pPr>
            <w:r>
              <w:rPr>
                <w:rFonts w:eastAsia="等线" w:ascii="Arial" w:hAnsi="等线" w:cs="等线"/>
                <w:color w:val="000000"/>
                <w:sz w:val="22"/>
              </w:rPr>
              <w:t>Comprehensive review of pre-training datasets, fine-tuning techniques, and evaluation metrics.</w:t>
            </w:r>
          </w:p>
        </w:tc>
        <w:tc>
          <w:tcPr>
            <w:tcW w:w="2068" w:type="dxa"/>
            <w:shd w:val="clear" w:color="auto" w:fill="FFFFFF"/>
          </w:tcPr>
          <w:p>
            <w:pPr>
              <w:spacing w:before="120" w:after="120" w:line="288" w:lineRule="auto"/>
            </w:pPr>
            <w:r>
              <w:rPr>
                <w:rFonts w:eastAsia="等线" w:ascii="Arial" w:hAnsi="等线" w:cs="等线"/>
                <w:color w:val="000000"/>
                <w:sz w:val="22"/>
              </w:rPr>
              <w:t>Provides a structural breakdown of "emergent abilities" (reasoning, coding) across hundreds of billions of parameters, offering a historical baseline for modern comparisons.</w:t>
            </w:r>
          </w:p>
        </w:tc>
      </w:tr>
    </w:tbl>
    <w:p>
      <w:pPr>
        <w:spacing w:before="120" w:after="120" w:line="288" w:lineRule="auto"/>
      </w:pPr>
    </w:p>
    <w:p>
      <w:pPr>
        <w:spacing w:before="120" w:after="120" w:line="288" w:lineRule="auto"/>
      </w:pPr>
      <w:r>
        <w:rPr>
          <w:rFonts w:eastAsia="等线" w:ascii="Arial" w:hAnsi="等线" w:cs="等线"/>
          <w:b w:val="true"/>
          <w:color w:val="1E293B"/>
          <w:sz w:val="22"/>
        </w:rPr>
        <w:t>In-Depth Analysis of Key Sources</w:t>
      </w:r>
    </w:p>
    <w:p>
      <w:pPr>
        <w:spacing w:before="120" w:after="120" w:line="288" w:lineRule="auto"/>
      </w:pPr>
      <w:r>
        <w:rPr>
          <w:rFonts w:eastAsia="等线" w:ascii="Arial" w:hAnsi="等线" w:cs="等线"/>
          <w:b w:val="true"/>
          <w:color w:val="000000"/>
          <w:sz w:val="22"/>
        </w:rPr>
        <w:t>1. Stanford HAI AI Index Report 2025</w:t>
      </w:r>
      <w:r>
        <w:rPr>
          <w:rFonts w:eastAsia="等线" w:ascii="Arial" w:hAnsi="等线" w:cs="等线"/>
          <w:color w:val="000000"/>
          <w:sz w:val="22"/>
        </w:rPr>
        <w:t xml:space="preserve">
This report is arguably the most comprehensive annual study on the state of AI. For 2025, it highlights a dramatic acceleration in model performance on "hard" benchmarks. The data reveals that benchmarks considered difficult just a year ago are now being saturated. Specifically, the report notes that on advanced reasoning and coding benchmarks like </w:t>
      </w:r>
      <w:r>
        <w:rPr>
          <w:rFonts w:eastAsia="等线" w:ascii="Arial" w:hAnsi="等线" w:cs="等线"/>
          <w:b w:val="true"/>
          <w:color w:val="000000"/>
          <w:sz w:val="22"/>
        </w:rPr>
        <w:t>MMMU, GPQA, and SWE-bench</w:t>
      </w:r>
      <w:r>
        <w:rPr>
          <w:rFonts w:eastAsia="等线" w:ascii="Arial" w:hAnsi="等线" w:cs="等线"/>
          <w:color w:val="000000"/>
          <w:sz w:val="22"/>
        </w:rPr>
        <w:t xml:space="preserve">, performance scores jumped by </w:t>
      </w:r>
      <w:r>
        <w:rPr>
          <w:rFonts w:eastAsia="等线" w:ascii="Arial" w:hAnsi="等线" w:cs="等线"/>
          <w:b w:val="true"/>
          <w:color w:val="000000"/>
          <w:sz w:val="22"/>
        </w:rPr>
        <w:t>18.8, 48.9, and 67.3 percentage points</w:t>
      </w:r>
      <w:r>
        <w:rPr>
          <w:rFonts w:eastAsia="等线" w:ascii="Arial" w:hAnsi="等线" w:cs="等线"/>
          <w:color w:val="000000"/>
          <w:sz w:val="22"/>
        </w:rPr>
        <w:t xml:space="preserve"> respectively in a single year. This indicates that model capabilities are improving faster than standard evaluation metrics can keep up, making this report essential for understanding the macro-trajectory of AI intelligence.</w:t>
      </w:r>
    </w:p>
    <w:p>
      <w:pPr>
        <w:spacing w:before="120" w:after="120" w:line="288" w:lineRule="auto"/>
      </w:pPr>
      <w:r>
        <w:rPr>
          <w:rFonts w:eastAsia="等线" w:ascii="Arial" w:hAnsi="等线" w:cs="等线"/>
          <w:b w:val="true"/>
          <w:color w:val="000000"/>
          <w:sz w:val="22"/>
        </w:rPr>
        <w:t>2. Artificial Analysis State of AI Q3 2025</w:t>
      </w:r>
      <w:r>
        <w:rPr>
          <w:rFonts w:eastAsia="等线" w:ascii="Arial" w:hAnsi="等线" w:cs="等线"/>
          <w:color w:val="000000"/>
          <w:sz w:val="22"/>
        </w:rPr>
        <w:t xml:space="preserve">
For industry practitioners focused on deployment, this report is invaluable. It shifts the focus from purely academic benchmarks to practical metrics like "Quality vs. Price." The </w:t>
      </w:r>
      <w:r>
        <w:rPr>
          <w:rFonts w:eastAsia="等线" w:ascii="Arial" w:hAnsi="等线" w:cs="等线"/>
          <w:b w:val="true"/>
          <w:color w:val="000000"/>
          <w:sz w:val="22"/>
        </w:rPr>
        <w:t>Artificial Analysis Intelligence Index v3.0</w:t>
      </w:r>
      <w:r>
        <w:rPr>
          <w:rFonts w:eastAsia="等线" w:ascii="Arial" w:hAnsi="等线" w:cs="等线"/>
          <w:color w:val="000000"/>
          <w:sz w:val="22"/>
        </w:rPr>
        <w:t xml:space="preserve"> is a composite score that aggregates results from difficult evaluations like LiveCodeBench and GPQA Diamond. The Q3 2025 edition explicitly ranks </w:t>
      </w:r>
      <w:r>
        <w:rPr>
          <w:rFonts w:eastAsia="等线" w:ascii="Arial" w:hAnsi="等线" w:cs="等线"/>
          <w:b w:val="true"/>
          <w:color w:val="000000"/>
          <w:sz w:val="22"/>
        </w:rPr>
        <w:t>GPT-5 (high)</w:t>
      </w:r>
      <w:r>
        <w:rPr>
          <w:rFonts w:eastAsia="等线" w:ascii="Arial" w:hAnsi="等线" w:cs="等线"/>
          <w:color w:val="000000"/>
          <w:sz w:val="22"/>
        </w:rPr>
        <w:t xml:space="preserve"> as the leader with a score of </w:t>
      </w:r>
      <w:r>
        <w:rPr>
          <w:rFonts w:eastAsia="等线" w:ascii="Arial" w:hAnsi="等线" w:cs="等线"/>
          <w:b w:val="true"/>
          <w:color w:val="000000"/>
          <w:sz w:val="22"/>
        </w:rPr>
        <w:t>68</w:t>
      </w:r>
      <w:r>
        <w:rPr>
          <w:rFonts w:eastAsia="等线" w:ascii="Arial" w:hAnsi="等线" w:cs="等线"/>
          <w:color w:val="000000"/>
          <w:sz w:val="22"/>
        </w:rPr>
        <w:t xml:space="preserve">, closely followed by </w:t>
      </w:r>
      <w:r>
        <w:rPr>
          <w:rFonts w:eastAsia="等线" w:ascii="Arial" w:hAnsi="等线" w:cs="等线"/>
          <w:b w:val="true"/>
          <w:color w:val="000000"/>
          <w:sz w:val="22"/>
        </w:rPr>
        <w:t>Grok 4 (65)</w:t>
      </w:r>
      <w:r>
        <w:rPr>
          <w:rFonts w:eastAsia="等线" w:ascii="Arial" w:hAnsi="等线" w:cs="等线"/>
          <w:color w:val="000000"/>
          <w:sz w:val="22"/>
        </w:rPr>
        <w:t xml:space="preserve"> and </w:t>
      </w:r>
      <w:r>
        <w:rPr>
          <w:rFonts w:eastAsia="等线" w:ascii="Arial" w:hAnsi="等线" w:cs="等线"/>
          <w:b w:val="true"/>
          <w:color w:val="000000"/>
          <w:sz w:val="22"/>
        </w:rPr>
        <w:t>Claude 4.5 Sonnet (63)</w:t>
      </w:r>
      <w:r>
        <w:rPr>
          <w:rFonts w:eastAsia="等线" w:ascii="Arial" w:hAnsi="等线" w:cs="等线"/>
          <w:color w:val="000000"/>
          <w:sz w:val="22"/>
        </w:rPr>
        <w:t xml:space="preserve">. Crucially, it highlights a massive deflationary trend in AI costs, noting that inference prices for models scoring above 40 on their index have dropped by roughly </w:t>
      </w:r>
      <w:r>
        <w:rPr>
          <w:rFonts w:eastAsia="等线" w:ascii="Arial" w:hAnsi="等线" w:cs="等线"/>
          <w:b w:val="true"/>
          <w:color w:val="000000"/>
          <w:sz w:val="22"/>
        </w:rPr>
        <w:t>50%</w:t>
      </w:r>
      <w:r>
        <w:rPr>
          <w:rFonts w:eastAsia="等线" w:ascii="Arial" w:hAnsi="等线" w:cs="等线"/>
          <w:color w:val="000000"/>
          <w:sz w:val="22"/>
        </w:rPr>
        <w:t>, making high-intelligence models significantly more accessible for commercial applications.</w:t>
      </w:r>
    </w:p>
    <w:p>
      <w:pPr>
        <w:spacing w:before="120" w:after="120" w:line="288" w:lineRule="auto"/>
      </w:pPr>
      <w:r>
        <w:rPr>
          <w:rFonts w:eastAsia="等线" w:ascii="Arial" w:hAnsi="等线" w:cs="等线"/>
          <w:b w:val="true"/>
          <w:color w:val="000000"/>
          <w:sz w:val="22"/>
        </w:rPr>
        <w:t>3. SonarSource: The Coding Personalities of Leading LLMs</w:t>
      </w:r>
      <w:r>
        <w:rPr>
          <w:rFonts w:eastAsia="等线" w:ascii="Arial" w:hAnsi="等线" w:cs="等线"/>
          <w:color w:val="000000"/>
          <w:sz w:val="22"/>
        </w:rPr>
        <w:t xml:space="preserve">
While other reports focus on whether code "runs," this report focuses on whether code is "clean" and maintainable. SonarSource evaluated models against their static analysis engine, using over </w:t>
      </w:r>
      <w:r>
        <w:rPr>
          <w:rFonts w:eastAsia="等线" w:ascii="Arial" w:hAnsi="等线" w:cs="等线"/>
          <w:b w:val="true"/>
          <w:color w:val="000000"/>
          <w:sz w:val="22"/>
        </w:rPr>
        <w:t>4,442 distinct Java programming assignments</w:t>
      </w:r>
      <w:r>
        <w:rPr>
          <w:rFonts w:eastAsia="等线" w:ascii="Arial" w:hAnsi="等线" w:cs="等线"/>
          <w:color w:val="000000"/>
          <w:sz w:val="22"/>
        </w:rPr>
        <w:t xml:space="preserve">. Their findings are nuanced: while models like </w:t>
      </w:r>
      <w:r>
        <w:rPr>
          <w:rFonts w:eastAsia="等线" w:ascii="Arial" w:hAnsi="等线" w:cs="等线"/>
          <w:b w:val="true"/>
          <w:color w:val="000000"/>
          <w:sz w:val="22"/>
        </w:rPr>
        <w:t>Claude Sonnet 4</w:t>
      </w:r>
      <w:r>
        <w:rPr>
          <w:rFonts w:eastAsia="等线" w:ascii="Arial" w:hAnsi="等线" w:cs="等线"/>
          <w:color w:val="000000"/>
          <w:sz w:val="22"/>
        </w:rPr>
        <w:t xml:space="preserve"> achieve an incredible </w:t>
      </w:r>
      <w:r>
        <w:rPr>
          <w:rFonts w:eastAsia="等线" w:ascii="Arial" w:hAnsi="等线" w:cs="等线"/>
          <w:b w:val="true"/>
          <w:color w:val="000000"/>
          <w:sz w:val="22"/>
        </w:rPr>
        <w:t>95.57%</w:t>
      </w:r>
      <w:r>
        <w:rPr>
          <w:rFonts w:eastAsia="等线" w:ascii="Arial" w:hAnsi="等线" w:cs="等线"/>
          <w:color w:val="000000"/>
          <w:sz w:val="22"/>
        </w:rPr>
        <w:t xml:space="preserve"> success rate on the standard HumanEval benchmark, the report delves deeper into the *quality* of the generated code (e.g., presence of code smells or security hotspots). This perspective is critical for engineering teams who use LLMs for code generation, as it differentiates between a model that merely passes a test case and one that writes production-ready software.</w:t>
      </w:r>
    </w:p>
    <w:p>
      <w:pPr>
        <w:spacing w:before="120" w:after="120" w:line="288" w:lineRule="auto"/>
      </w:pPr>
      <w:r>
        <w:rPr>
          <w:rFonts w:eastAsia="等线" w:ascii="Arial" w:hAnsi="等线" w:cs="等线"/>
          <w:b w:val="true"/>
          <w:color w:val="000000"/>
          <w:sz w:val="22"/>
        </w:rPr>
        <w:t>4. NDSS 2025 Paper: Vulnerability Detection</w:t>
      </w:r>
      <w:r>
        <w:rPr>
          <w:rFonts w:eastAsia="等线" w:ascii="Arial" w:hAnsi="等线" w:cs="等线"/>
          <w:color w:val="000000"/>
          <w:sz w:val="22"/>
        </w:rPr>
        <w:t xml:space="preserve">
Security is often a secondary concern in general leaderboards, but this paper (presented at the Network and Distributed System Security Symposium) makes it the primary focus. It evaluates a wide range of open-weights models (like </w:t>
      </w:r>
      <w:r>
        <w:rPr>
          <w:rFonts w:eastAsia="等线" w:ascii="Arial" w:hAnsi="等线" w:cs="等线"/>
          <w:b w:val="true"/>
          <w:color w:val="000000"/>
          <w:sz w:val="22"/>
        </w:rPr>
        <w:t>LLaMA-2, CodeLLaMA, Gemma</w:t>
      </w:r>
      <w:r>
        <w:rPr>
          <w:rFonts w:eastAsia="等线" w:ascii="Arial" w:hAnsi="等线" w:cs="等线"/>
          <w:color w:val="000000"/>
          <w:sz w:val="22"/>
        </w:rPr>
        <w:t xml:space="preserve">) and proprietary ones on their ability to detect security flaws in code. A key takeaway is the strong correlation between </w:t>
      </w:r>
      <w:r>
        <w:rPr>
          <w:rFonts w:eastAsia="等线" w:ascii="Arial" w:hAnsi="等线" w:cs="等线"/>
          <w:b w:val="true"/>
          <w:color w:val="000000"/>
          <w:sz w:val="22"/>
        </w:rPr>
        <w:t>context window size</w:t>
      </w:r>
      <w:r>
        <w:rPr>
          <w:rFonts w:eastAsia="等线" w:ascii="Arial" w:hAnsi="等线" w:cs="等线"/>
          <w:color w:val="000000"/>
          <w:sz w:val="22"/>
        </w:rPr>
        <w:t xml:space="preserve"> and detection performance, suggesting that models capable of ingesting larger codebases have a distinct advantage in identifying subtle vulnerabilities that span multiple functions or files.</w:t>
      </w:r>
    </w:p>
    <w:p>
      <w:pPr>
        <w:spacing w:before="320" w:after="120" w:line="288" w:lineRule="auto"/>
      </w:pPr>
      <w:r>
        <w:rPr>
          <w:rFonts w:eastAsia="等线" w:ascii="Arial" w:hAnsi="等线" w:cs="等线"/>
          <w:b w:val="true"/>
          <w:color w:val="000000"/>
          <w:sz w:val="32"/>
        </w:rPr>
        <w:t>Which Document Should You Read First?</w:t>
      </w:r>
    </w:p>
    <w:p>
      <w:pPr>
        <w:spacing w:before="120" w:after="120" w:line="288" w:lineRule="auto"/>
      </w:pPr>
      <w:r>
        <w:rPr>
          <w:rFonts w:eastAsia="等线" w:ascii="Arial" w:hAnsi="等线" w:cs="等线"/>
          <w:color w:val="000000"/>
          <w:sz w:val="22"/>
        </w:rPr>
        <w:t>Depending on your specific needs, start with the document that aligns with your use case:</w:t>
      </w:r>
    </w:p>
    <w:p>
      <w:pPr>
        <w:spacing w:before="120" w:after="120" w:line="288" w:lineRule="auto"/>
      </w:pPr>
      <w:r>
        <w:rPr>
          <w:rFonts w:eastAsia="等线" w:ascii="Arial" w:hAnsi="等线" w:cs="等线"/>
          <w:b w:val="true"/>
          <w:color w:val="000000"/>
          <w:sz w:val="22"/>
        </w:rPr>
        <w:t>For Macro Trends &amp; Strategy:</w:t>
      </w:r>
      <w:r>
        <w:rPr>
          <w:rFonts w:eastAsia="等线" w:ascii="Arial" w:hAnsi="等线" w:cs="等线"/>
          <w:color w:val="000000"/>
          <w:sz w:val="22"/>
        </w:rPr>
        <w:t xml:space="preserve"> Read the </w:t>
      </w:r>
      <w:r>
        <w:rPr>
          <w:rFonts w:eastAsia="等线" w:ascii="Arial" w:hAnsi="等线" w:cs="等线"/>
          <w:b w:val="true"/>
          <w:color w:val="000000"/>
          <w:sz w:val="22"/>
        </w:rPr>
        <w:t>Stanford HAI AI Index</w:t>
      </w:r>
      <w:r>
        <w:rPr>
          <w:rFonts w:eastAsia="等线" w:ascii="Arial" w:hAnsi="等线" w:cs="等线"/>
          <w:color w:val="000000"/>
          <w:sz w:val="22"/>
        </w:rPr>
        <w:t>. It is the best starting point for understanding the global landscape, policy implications, and long-term technical progress.</w:t>
      </w:r>
    </w:p>
    <w:p>
      <w:pPr>
        <w:spacing w:before="120" w:after="120" w:line="288" w:lineRule="auto"/>
      </w:pPr>
      <w:r>
        <w:rPr>
          <w:rFonts w:eastAsia="等线" w:ascii="Arial" w:hAnsi="等线" w:cs="等线"/>
          <w:b w:val="true"/>
          <w:color w:val="000000"/>
          <w:sz w:val="22"/>
        </w:rPr>
        <w:t>For Model Selection &amp; Budgeting:</w:t>
      </w:r>
      <w:r>
        <w:rPr>
          <w:rFonts w:eastAsia="等线" w:ascii="Arial" w:hAnsi="等线" w:cs="等线"/>
          <w:color w:val="000000"/>
          <w:sz w:val="22"/>
        </w:rPr>
        <w:t xml:space="preserve"> Read the </w:t>
      </w:r>
      <w:r>
        <w:rPr>
          <w:rFonts w:eastAsia="等线" w:ascii="Arial" w:hAnsi="等线" w:cs="等线"/>
          <w:b w:val="true"/>
          <w:color w:val="000000"/>
          <w:sz w:val="22"/>
        </w:rPr>
        <w:t>Artificial Analysis Report</w:t>
      </w:r>
      <w:r>
        <w:rPr>
          <w:rFonts w:eastAsia="等线" w:ascii="Arial" w:hAnsi="等线" w:cs="等线"/>
          <w:color w:val="000000"/>
          <w:sz w:val="22"/>
        </w:rPr>
        <w:t>. It provides the most up-to-date "leaderboard" style comparison with critical data on pricing and speed, which are essential for product implementation.</w:t>
      </w:r>
    </w:p>
    <w:p>
      <w:pPr>
        <w:spacing w:before="120" w:after="120" w:line="288" w:lineRule="auto"/>
      </w:pPr>
      <w:r>
        <w:rPr>
          <w:rFonts w:eastAsia="等线" w:ascii="Arial" w:hAnsi="等线" w:cs="等线"/>
          <w:b w:val="true"/>
          <w:color w:val="000000"/>
          <w:sz w:val="22"/>
        </w:rPr>
        <w:t>For Software Engineering Teams:</w:t>
      </w:r>
      <w:r>
        <w:rPr>
          <w:rFonts w:eastAsia="等线" w:ascii="Arial" w:hAnsi="等线" w:cs="等线"/>
          <w:color w:val="000000"/>
          <w:sz w:val="22"/>
        </w:rPr>
        <w:t xml:space="preserve"> Read the </w:t>
      </w:r>
      <w:r>
        <w:rPr>
          <w:rFonts w:eastAsia="等线" w:ascii="Arial" w:hAnsi="等线" w:cs="等线"/>
          <w:b w:val="true"/>
          <w:color w:val="000000"/>
          <w:sz w:val="22"/>
        </w:rPr>
        <w:t>SonarSource Report</w:t>
      </w:r>
      <w:r>
        <w:rPr>
          <w:rFonts w:eastAsia="等线" w:ascii="Arial" w:hAnsi="等线" w:cs="等线"/>
          <w:color w:val="000000"/>
          <w:sz w:val="22"/>
        </w:rPr>
        <w:t>. If your primary use case is coding assistance, this report offers a unique quality-focused perspective that standard benchmarks miss.</w:t>
      </w:r>
    </w:p>
    <w:p>
      <w:pPr>
        <w:spacing w:before="120" w:after="120" w:line="288" w:lineRule="auto"/>
      </w:pPr>
      <w:r>
        <w:rPr>
          <w:rFonts w:eastAsia="等线" w:ascii="Arial" w:hAnsi="等线" w:cs="等线"/>
          <w:b w:val="true"/>
          <w:color w:val="000000"/>
          <w:sz w:val="22"/>
        </w:rPr>
        <w:t>For Security Researchers:</w:t>
      </w:r>
      <w:r>
        <w:rPr>
          <w:rFonts w:eastAsia="等线" w:ascii="Arial" w:hAnsi="等线" w:cs="等线"/>
          <w:color w:val="000000"/>
          <w:sz w:val="22"/>
        </w:rPr>
        <w:t xml:space="preserve"> Read the </w:t>
      </w:r>
      <w:r>
        <w:rPr>
          <w:rFonts w:eastAsia="等线" w:ascii="Arial" w:hAnsi="等线" w:cs="等线"/>
          <w:b w:val="true"/>
          <w:color w:val="000000"/>
          <w:sz w:val="22"/>
        </w:rPr>
        <w:t>NDSS 2025 Paper</w:t>
      </w:r>
      <w:r>
        <w:rPr>
          <w:rFonts w:eastAsia="等线" w:ascii="Arial" w:hAnsi="等线" w:cs="等线"/>
          <w:color w:val="000000"/>
          <w:sz w:val="22"/>
        </w:rPr>
        <w:t>. It provides a rigorous academic evaluation of how well current models can act as automated security auditors.</w:t>
      </w:r>
    </w:p>
    <w:p>
      <w:pPr>
        <w:spacing w:before="120" w:after="120" w:line="288" w:lineRule="auto"/>
      </w:pPr>
      <w:r>
        <w:rPr>
          <w:rFonts w:eastAsia="等线" w:ascii="Arial" w:hAnsi="等线" w:cs="等线"/>
          <w:b w:val="true"/>
          <w:color w:val="000000"/>
          <w:sz w:val="22"/>
        </w:rPr>
        <w:t>For Academic Background:</w:t>
      </w:r>
      <w:r>
        <w:rPr>
          <w:rFonts w:eastAsia="等线" w:ascii="Arial" w:hAnsi="等线" w:cs="等线"/>
          <w:color w:val="000000"/>
          <w:sz w:val="22"/>
        </w:rPr>
        <w:t xml:space="preserve"> Read the </w:t>
      </w:r>
      <w:r>
        <w:rPr>
          <w:rFonts w:eastAsia="等线" w:ascii="Arial" w:hAnsi="等线" w:cs="等线"/>
          <w:b w:val="true"/>
          <w:color w:val="000000"/>
          <w:sz w:val="22"/>
        </w:rPr>
        <w:t>arXiv Survey</w:t>
      </w:r>
      <w:r>
        <w:rPr>
          <w:rFonts w:eastAsia="等线" w:ascii="Arial" w:hAnsi="等线" w:cs="等线"/>
          <w:color w:val="000000"/>
          <w:sz w:val="22"/>
        </w:rPr>
        <w:t>. It is excellent for understanding the taxonomy of model families and the theoretical underpinnings of current architectures.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Critical Cautions for Interpreting Leaderboards</w:t>
            </w:r>
          </w:p>
          <w:p>
            <w:pPr>
              <w:spacing w:before="120" w:after="120" w:line="288" w:lineRule="auto"/>
            </w:pPr>
            <w:r>
              <w:rPr>
                <w:rFonts w:eastAsia="等线" w:ascii="Arial" w:hAnsi="等线" w:cs="等线"/>
                <w:color w:val="000000"/>
                <w:sz w:val="22"/>
              </w:rPr>
              <w:t>When using these documents, readers must remain aware of several common pitfalls in AI evaluation:</w:t>
            </w:r>
          </w:p>
          <w:p>
            <w:pPr>
              <w:spacing w:before="120" w:after="120" w:line="288" w:lineRule="auto"/>
            </w:pPr>
            <w:r>
              <w:rPr>
                <w:rFonts w:eastAsia="等线" w:ascii="Arial" w:hAnsi="等线" w:cs="等线"/>
                <w:b w:val="true"/>
                <w:color w:val="000000"/>
                <w:sz w:val="22"/>
              </w:rPr>
              <w:t>Benchmark Saturation:</w:t>
            </w:r>
            <w:r>
              <w:rPr>
                <w:rFonts w:eastAsia="等线" w:ascii="Arial" w:hAnsi="等线" w:cs="等线"/>
                <w:color w:val="000000"/>
                <w:sz w:val="22"/>
              </w:rPr>
              <w:t xml:space="preserve"> As noted in the Stanford report, many older benchmarks (like original MMLU) are becoming saturated, making small score differences statistically insignificant.</w:t>
            </w:r>
          </w:p>
          <w:p>
            <w:pPr>
              <w:spacing w:before="120" w:after="120" w:line="288" w:lineRule="auto"/>
            </w:pPr>
            <w:r>
              <w:rPr>
                <w:rFonts w:eastAsia="等线" w:ascii="Arial" w:hAnsi="等线" w:cs="等线"/>
                <w:b w:val="true"/>
                <w:color w:val="000000"/>
                <w:sz w:val="22"/>
              </w:rPr>
              <w:t>Data Contamination:</w:t>
            </w:r>
            <w:r>
              <w:rPr>
                <w:rFonts w:eastAsia="等线" w:ascii="Arial" w:hAnsi="等线" w:cs="等线"/>
                <w:color w:val="000000"/>
                <w:sz w:val="22"/>
              </w:rPr>
              <w:t xml:space="preserve"> Be cautious of "eval leakage," where models may have been trained on the test questions themselves, artificially inflating scores.</w:t>
            </w:r>
          </w:p>
          <w:p>
            <w:pPr>
              <w:spacing w:before="120" w:after="120" w:line="288" w:lineRule="auto"/>
            </w:pPr>
            <w:r>
              <w:rPr>
                <w:rFonts w:eastAsia="等线" w:ascii="Arial" w:hAnsi="等线" w:cs="等线"/>
                <w:b w:val="true"/>
                <w:color w:val="000000"/>
                <w:sz w:val="22"/>
              </w:rPr>
              <w:t>Prompt Sensitivity:</w:t>
            </w:r>
            <w:r>
              <w:rPr>
                <w:rFonts w:eastAsia="等线" w:ascii="Arial" w:hAnsi="等线" w:cs="等线"/>
                <w:color w:val="000000"/>
                <w:sz w:val="22"/>
              </w:rPr>
              <w:t xml:space="preserve"> A model's performance can vary drastically based on the prompting strategy (e.g., zero-shot vs. chain-of-thought). Ensure you are comparing "apples to apples" regarding evaluation methodology.</w:t>
            </w:r>
          </w:p>
        </w:tc>
      </w:tr>
    </w:tbl>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hyperlink" Target="https://hai.stanford.edu/ai-index/2025-ai-index-report" TargetMode="External"></Relationship><Relationship Id="rId10" Type="http://schemas.openxmlformats.org/officeDocument/2006/relationships/hyperlink" Target="https://artificialanalysis.ai/downloads/state-of-ai/2025/Q3-2025-Artificial-Analysis-State-of-AI-Highlights-Report.pdf" TargetMode="External"></Relationship><Relationship Id="rId11" Type="http://schemas.openxmlformats.org/officeDocument/2006/relationships/hyperlink" Target="https://www.sonarsource.com/the-coding-personalities-of-leading-llms.pdf" TargetMode="External"></Relationship><Relationship Id="rId12" Type="http://schemas.openxmlformats.org/officeDocument/2006/relationships/hyperlink" Target="https://www.ndss-symposium.org/wp-content/uploads/2025-1491-paper.pdf" TargetMode="External"></Relationship><Relationship Id="rId13" Type="http://schemas.openxmlformats.org/officeDocument/2006/relationships/hyperlink" Target="https://arxiv.org/pdf/2402.06196"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