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color w:val="000000"/>
          <w:sz w:val="50"/>
        </w:rPr>
        <w:t>Microservices Reference Architecture</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Overview and Assumptions</w:t>
      </w:r>
    </w:p>
    <w:p>
      <w:pPr>
        <w:spacing w:before="120" w:after="120" w:line="288" w:lineRule="auto"/>
      </w:pPr>
      <w:r>
        <w:rPr>
          <w:rFonts w:eastAsia="等线" w:ascii="Arial" w:hAnsi="等线" w:cs="等线"/>
          <w:color w:val="000000"/>
          <w:sz w:val="22"/>
        </w:rPr>
        <w:t>This document serves as a comprehensive reference architecture for designing, deploying, and operating a medium-scale microservices system on Kubernetes. It is intended for engineering teams, architects, and technical leaders who are transitioning from monolithic applications or early-stage distributed systems to a mature, production-ready microservices environment. The primary objective is to establish a domain-agnostic blueprint that balances theoretical purity with practical engineering trade-offs, ensuring scalability, maintainability, and operational resilience.</w:t>
      </w:r>
    </w:p>
    <w:p>
      <w:pPr>
        <w:spacing w:before="120" w:after="120" w:line="288" w:lineRule="auto"/>
      </w:pPr>
      <w:r>
        <w:rPr>
          <w:rFonts w:eastAsia="等线" w:ascii="Arial" w:hAnsi="等线" w:cs="等线"/>
          <w:color w:val="000000"/>
          <w:sz w:val="22"/>
        </w:rPr>
        <w:t>The architecture defined herein is not a hypothetical academic exercise but a pragmatic standard optimized for real-world constraints. It adopts a "Cloud Native" approach, leveraging Kubernetes as the ubiquitous operating system for the data center, while enforcing strict boundaries between services to prevent the formation of a "distributed monolith." By standardizing communication patterns, data management strategies, and infrastructure components, this guide aims to reduce cognitive load on development teams and accelerate the delivery of business value.</w:t>
      </w:r>
    </w:p>
    <w:p>
      <w:pPr>
        <w:spacing w:before="320" w:after="120" w:line="288" w:lineRule="auto"/>
      </w:pPr>
      <w:r>
        <w:rPr>
          <w:rFonts w:eastAsia="等线" w:ascii="Arial" w:hAnsi="等线" w:cs="等线"/>
          <w:b w:val="true"/>
          <w:color w:val="000000"/>
          <w:sz w:val="32"/>
        </w:rPr>
        <w:t>Scope and Scale Assumptions</w:t>
      </w:r>
    </w:p>
    <w:p>
      <w:pPr>
        <w:spacing w:before="120" w:after="120" w:line="288" w:lineRule="auto"/>
      </w:pPr>
      <w:r>
        <w:rPr>
          <w:rFonts w:eastAsia="等线" w:ascii="Arial" w:hAnsi="等线" w:cs="等线"/>
          <w:color w:val="000000"/>
          <w:sz w:val="22"/>
        </w:rPr>
        <w:t>To ensure the recommendations provided are relevant and actionable, this reference architecture is bounded by specific constraints regarding scale and complexity. Designing for "Google-scale" often introduces unnecessary complexity for medium-sized enterprises, while designing for a startup MVP often lacks the rigor required for enterprise stability. Therefore, we assume the following parameters:</w:t>
      </w:r>
    </w:p>
    <w:p>
      <w:pPr>
        <w:numPr>
          <w:ilvl w:val="0"/>
          <w:numId w:val="10"/>
        </w:numPr>
        <w:spacing w:before="120" w:after="120" w:line="288" w:lineRule="auto"/>
        <w:jc w:val="left"/>
      </w:pPr>
      <w:r>
        <w:rPr>
          <w:rFonts w:eastAsia="等线" w:ascii="Arial" w:hAnsi="等线" w:cs="等线"/>
          <w:b w:val="true"/>
          <w:color w:val="000000"/>
          <w:sz w:val="22"/>
        </w:rPr>
        <w:t>Service Count:</w:t>
      </w:r>
      <w:r>
        <w:rPr>
          <w:rFonts w:eastAsia="等线" w:ascii="Arial" w:hAnsi="等线" w:cs="等线"/>
          <w:color w:val="000000"/>
          <w:sz w:val="22"/>
        </w:rPr>
        <w:t xml:space="preserve"> The system is composed of 10 to 50 distinct microservices. This scale is large enough to require automated orchestration and strict governance but small enough to be managed by a finite number of "two-pizza" teams.</w:t>
      </w:r>
    </w:p>
    <w:p>
      <w:pPr>
        <w:numPr>
          <w:ilvl w:val="0"/>
          <w:numId w:val="10"/>
        </w:numPr>
        <w:spacing w:before="120" w:after="120" w:line="288" w:lineRule="auto"/>
        <w:jc w:val="left"/>
      </w:pPr>
      <w:r>
        <w:rPr>
          <w:rFonts w:eastAsia="等线" w:ascii="Arial" w:hAnsi="等线" w:cs="等线"/>
          <w:b w:val="true"/>
          <w:color w:val="000000"/>
          <w:sz w:val="22"/>
        </w:rPr>
        <w:t>Throughput:</w:t>
      </w:r>
      <w:r>
        <w:rPr>
          <w:rFonts w:eastAsia="等线" w:ascii="Arial" w:hAnsi="等线" w:cs="等线"/>
          <w:color w:val="000000"/>
          <w:sz w:val="22"/>
        </w:rPr>
        <w:t xml:space="preserve"> The system supports a sustained load of 1,000 to 20,000 Requests Per Second (RPS). This volume necessitates efficient I/O handling and horizontal scaling but does not necessarily require exotic, custom-built networking protocols.</w:t>
      </w:r>
    </w:p>
    <w:p>
      <w:pPr>
        <w:numPr>
          <w:ilvl w:val="0"/>
          <w:numId w:val="10"/>
        </w:numPr>
        <w:spacing w:before="120" w:after="120" w:line="288" w:lineRule="auto"/>
        <w:jc w:val="left"/>
      </w:pPr>
      <w:r>
        <w:rPr>
          <w:rFonts w:eastAsia="等线" w:ascii="Arial" w:hAnsi="等线" w:cs="等线"/>
          <w:b w:val="true"/>
          <w:color w:val="000000"/>
          <w:sz w:val="22"/>
        </w:rPr>
        <w:t>Communication Style:</w:t>
      </w:r>
      <w:r>
        <w:rPr>
          <w:rFonts w:eastAsia="等线" w:ascii="Arial" w:hAnsi="等线" w:cs="等线"/>
          <w:color w:val="000000"/>
          <w:sz w:val="22"/>
        </w:rPr>
        <w:t xml:space="preserve"> The primary communication backbone relies on synchronous REST/JSON for external-facing APIs and command-oriented internal calls, supplemented by asynchronous Event-Driven Architecture (EDA) for decoupling domains and ensuring eventual consistency.</w:t>
      </w:r>
    </w:p>
    <w:p>
      <w:pPr>
        <w:numPr>
          <w:ilvl w:val="0"/>
          <w:numId w:val="10"/>
        </w:numPr>
        <w:spacing w:before="120" w:after="120" w:line="288" w:lineRule="auto"/>
        <w:jc w:val="left"/>
      </w:pPr>
      <w:r>
        <w:rPr>
          <w:rFonts w:eastAsia="等线" w:ascii="Arial" w:hAnsi="等线" w:cs="等线"/>
          <w:b w:val="true"/>
          <w:color w:val="000000"/>
          <w:sz w:val="22"/>
        </w:rPr>
        <w:t>Data Strategy:</w:t>
      </w:r>
      <w:r>
        <w:rPr>
          <w:rFonts w:eastAsia="等线" w:ascii="Arial" w:hAnsi="等线" w:cs="等线"/>
          <w:color w:val="000000"/>
          <w:sz w:val="22"/>
        </w:rPr>
        <w:t xml:space="preserve"> We strictly adhere to the </w:t>
      </w:r>
      <w:hyperlink xmlns:relationships="http://schemas.openxmlformats.org/officeDocument/2006/relationships" relationships:id="rId9">
        <w:r>
          <w:rPr>
            <w:rStyle w:val="Hyperlink"/>
            <w:rFonts w:eastAsia="等线" w:ascii="Arial" w:hAnsi="等线" w:cs="等线"/>
            <w:color w:val="0563C1"/>
            <w:sz w:val="22"/>
            <w:u w:val="single"/>
          </w:rPr>
          <w:t>Database-per-Service</w:t>
        </w:r>
      </w:hyperlink>
      <w:r>
        <w:rPr>
          <w:rFonts w:eastAsia="等线" w:ascii="Arial" w:hAnsi="等线" w:cs="等线"/>
          <w:color w:val="000000"/>
          <w:sz w:val="22"/>
        </w:rPr>
        <w:t xml:space="preserve"> pattern to ensure loose coupling. Shared databases are explicitly prohibited to maintain service autonomy.</w:t>
      </w:r>
    </w:p>
    <w:p>
      <w:pPr>
        <w:spacing w:before="120" w:after="120" w:line="288" w:lineRule="auto"/>
      </w:pPr>
      <w:r>
        <w:rPr>
          <w:rFonts w:eastAsia="等线" w:ascii="Arial" w:hAnsi="等线" w:cs="等线"/>
          <w:b w:val="true"/>
          <w:color w:val="000000"/>
          <w:sz w:val="22"/>
        </w:rPr>
        <w:t>Non-Goals:</w:t>
      </w:r>
      <w:r>
        <w:rPr>
          <w:rFonts w:eastAsia="等线" w:ascii="Arial" w:hAnsi="等线" w:cs="等线"/>
          <w:color w:val="000000"/>
          <w:sz w:val="22"/>
        </w:rPr>
        <w:t xml:space="preserve"> This document does not cover "Serverless" function-as-a-service (FaaS) architectures as the primary compute model, nor does it address multi-region active-active replication, which introduces significant latency and consistency challenges that are out of scope for the target availability tier (99.9% to 99.99%).</w:t>
      </w:r>
    </w:p>
    <w:p>
      <w:pPr>
        <w:spacing w:before="320" w:after="120" w:line="288" w:lineRule="auto"/>
      </w:pPr>
      <w:r>
        <w:rPr>
          <w:rFonts w:eastAsia="等线" w:ascii="Arial" w:hAnsi="等线" w:cs="等线"/>
          <w:b w:val="true"/>
          <w:color w:val="000000"/>
          <w:sz w:val="32"/>
        </w:rPr>
        <w:t>Glossary of Key Terms</w:t>
      </w:r>
    </w:p>
    <w:p>
      <w:pPr>
        <w:spacing w:before="120" w:after="120" w:line="288" w:lineRule="auto"/>
      </w:pPr>
      <w:r>
        <w:rPr>
          <w:rFonts w:eastAsia="等线" w:ascii="Arial" w:hAnsi="等线" w:cs="等线"/>
          <w:color w:val="000000"/>
          <w:sz w:val="22"/>
        </w:rPr>
        <w:t xml:space="preserve">The following terms are used throughout this document with specific technical definitions aligned with industry standards and patterns from sources like </w:t>
      </w:r>
      <w:hyperlink xmlns:relationships="http://schemas.openxmlformats.org/officeDocument/2006/relationships" relationships:id="rId10">
        <w:r>
          <w:rPr>
            <w:rStyle w:val="Hyperlink"/>
            <w:rFonts w:eastAsia="等线" w:ascii="Arial" w:hAnsi="等线" w:cs="等线"/>
            <w:color w:val="0563C1"/>
            <w:sz w:val="22"/>
            <w:u w:val="single"/>
          </w:rPr>
          <w:t>microservices.io</w:t>
        </w:r>
      </w:hyperlink>
      <w:r>
        <w:rPr>
          <w:rFonts w:eastAsia="等线" w:ascii="Arial" w:hAnsi="等线" w:cs="等线"/>
          <w:color w:val="000000"/>
          <w:sz w:val="22"/>
        </w:rPr>
        <w:t>.</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Term</w:t>
            </w:r>
          </w:p>
        </w:tc>
        <w:tc>
          <w:tcPr>
            <w:tcW w:w="4147" w:type="dxa"/>
            <w:shd w:val="clear" w:color="auto" w:fill="FFFFFF"/>
          </w:tcPr>
          <w:p>
            <w:pPr>
              <w:spacing w:before="120" w:after="120" w:line="288" w:lineRule="auto"/>
            </w:pPr>
            <w:r>
              <w:rPr>
                <w:rFonts w:eastAsia="等线" w:ascii="Arial" w:hAnsi="等线" w:cs="等线"/>
                <w:color w:val="000000"/>
                <w:sz w:val="22"/>
              </w:rPr>
              <w:t>Definition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Bounded Context</w:t>
            </w:r>
          </w:p>
        </w:tc>
        <w:tc>
          <w:tcPr>
            <w:tcW w:w="4147" w:type="dxa"/>
            <w:shd w:val="clear" w:color="auto" w:fill="FFFFFF"/>
          </w:tcPr>
          <w:p>
            <w:pPr>
              <w:spacing w:before="120" w:after="120" w:line="288" w:lineRule="auto"/>
            </w:pPr>
            <w:r>
              <w:rPr>
                <w:rFonts w:eastAsia="等线" w:ascii="Arial" w:hAnsi="等线" w:cs="等线"/>
                <w:color w:val="000000"/>
                <w:sz w:val="22"/>
              </w:rPr>
              <w:t>A central pattern in Domain-Driven Design (DDD) that delimits the applicability of a specific domain model. It defines logical boundaries where terms and models have specific meanings, ensuring that services are loosely coupled functionally.</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Saga Pattern</w:t>
            </w:r>
          </w:p>
        </w:tc>
        <w:tc>
          <w:tcPr>
            <w:tcW w:w="4147" w:type="dxa"/>
            <w:shd w:val="clear" w:color="auto" w:fill="FFFFFF"/>
          </w:tcPr>
          <w:p>
            <w:pPr>
              <w:spacing w:before="120" w:after="120" w:line="288" w:lineRule="auto"/>
            </w:pPr>
            <w:r>
              <w:rPr>
                <w:rFonts w:eastAsia="等线" w:ascii="Arial" w:hAnsi="等线" w:cs="等线"/>
                <w:color w:val="000000"/>
                <w:sz w:val="22"/>
              </w:rPr>
              <w:t>A mechanism to manage data consistency across microservices in distributed transactions. A saga is a sequence of local transactions where each transaction updates data within a single service, and the saga coordinator (or choreography) triggers the next step.</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Transactional Outbox</w:t>
            </w:r>
          </w:p>
        </w:tc>
        <w:tc>
          <w:tcPr>
            <w:tcW w:w="4147" w:type="dxa"/>
            <w:shd w:val="clear" w:color="auto" w:fill="FFFFFF"/>
          </w:tcPr>
          <w:p>
            <w:pPr>
              <w:spacing w:before="120" w:after="120" w:line="288" w:lineRule="auto"/>
            </w:pPr>
            <w:r>
              <w:rPr>
                <w:rFonts w:eastAsia="等线" w:ascii="Arial" w:hAnsi="等线" w:cs="等线"/>
                <w:color w:val="000000"/>
                <w:sz w:val="22"/>
              </w:rPr>
              <w:t>A pattern for reliable messaging where a service saves an event to a database table as part of a local transaction, ensuring that the event is published to the message broker only if the transaction commits.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Idempotency</w:t>
            </w:r>
          </w:p>
        </w:tc>
        <w:tc>
          <w:tcPr>
            <w:tcW w:w="4147" w:type="dxa"/>
            <w:shd w:val="clear" w:color="auto" w:fill="FFFFFF"/>
          </w:tcPr>
          <w:p>
            <w:pPr>
              <w:spacing w:before="120" w:after="120" w:line="288" w:lineRule="auto"/>
            </w:pPr>
            <w:r>
              <w:rPr>
                <w:rFonts w:eastAsia="等线" w:ascii="Arial" w:hAnsi="等线" w:cs="等线"/>
                <w:color w:val="000000"/>
                <w:sz w:val="22"/>
              </w:rPr>
              <w:t>A property of operations whereby they can be applied multiple times without changing the result beyond the initial application. This is critical for handling retries in distributed systems safely.</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SLO (Service Level Objective)</w:t>
            </w:r>
          </w:p>
        </w:tc>
        <w:tc>
          <w:tcPr>
            <w:tcW w:w="4147" w:type="dxa"/>
            <w:shd w:val="clear" w:color="auto" w:fill="FFFFFF"/>
          </w:tcPr>
          <w:p>
            <w:pPr>
              <w:spacing w:before="120" w:after="120" w:line="288" w:lineRule="auto"/>
            </w:pPr>
            <w:r>
              <w:rPr>
                <w:rFonts w:eastAsia="等线" w:ascii="Arial" w:hAnsi="等线" w:cs="等线"/>
                <w:color w:val="000000"/>
                <w:sz w:val="22"/>
              </w:rPr>
              <w:t>A target value or range of values for a service level that is measured by an SLI (Service Level Indicator). For example, "99.9% of requests succeed in under 200ms".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RTO / RPO</w:t>
            </w:r>
          </w:p>
        </w:tc>
        <w:tc>
          <w:tcPr>
            <w:tcW w:w="4147" w:type="dxa"/>
            <w:shd w:val="clear" w:color="auto" w:fill="FFFFFF"/>
          </w:tcPr>
          <w:p>
            <w:pPr>
              <w:spacing w:before="120" w:after="120" w:line="288" w:lineRule="auto"/>
            </w:pPr>
            <w:r>
              <w:rPr>
                <w:rFonts w:eastAsia="等线" w:ascii="Arial" w:hAnsi="等线" w:cs="等线"/>
                <w:color w:val="000000"/>
                <w:sz w:val="22"/>
              </w:rPr>
              <w:t>Recovery Time Objective (how quickly a service must be restored) and Recovery Point Objective (maximum acceptable data loss measured in time). These metrics drive backup and disaster recovery strategies.</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High-Level Architecture</w:t>
      </w:r>
    </w:p>
    <w:p>
      <w:pPr>
        <w:spacing w:before="120" w:after="120" w:line="288" w:lineRule="auto"/>
      </w:pPr>
      <w:r>
        <w:rPr>
          <w:rFonts w:eastAsia="等线" w:ascii="Arial" w:hAnsi="等线" w:cs="等线"/>
          <w:color w:val="000000"/>
          <w:sz w:val="22"/>
        </w:rPr>
        <w:t>The high-level architecture of the system is designed to provide a clear separation of concerns, ensuring that infrastructure complexity is abstracted away from business logic. The architecture follows a layered approach, where external traffic is carefully managed before it enters the secure trusted zone of the microservices mesh. The following diagram illustrates the primary components and their interactions, highlighting the flow of data from external clients through the gateway and into the core domain services and platform infrastructure.</w:t>
      </w:r>
    </w:p>
    <w:p>
      <w:pPr>
        <w:spacing w:before="120" w:after="120" w:line="288" w:lineRule="auto"/>
        <w:jc w:val="center"/>
      </w:pPr>
      <w:r>
        <w:drawing>
          <wp:inline xmlns:a="http://schemas.openxmlformats.org/drawingml/2006/main" xmlns:pic="http://schemas.openxmlformats.org/drawingml/2006/picture" distT="0" distB="0" distL="0" distR="0">
            <wp:extent cx="5266944" cy="4043032"/>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1"/>
                    <a:stretch>
                      <a:fillRect/>
                    </a:stretch>
                  </pic:blipFill>
                  <pic:spPr>
                    <a:xfrm>
                      <a:ext cx="5266944" cy="4043032"/>
                    </a:xfrm>
                    <a:prstGeom prst="rect"/>
                  </pic:spPr>
                </pic:pic>
              </a:graphicData>
            </a:graphic>
          </wp:inline>
        </w:drawing>
      </w:r>
    </w:p>
    <w:p>
      <w:pPr>
        <w:spacing w:before="120" w:after="120" w:line="288" w:lineRule="auto"/>
        <w:jc w:val="center"/>
      </w:pPr>
      <w:r>
        <w:rPr>
          <w:rFonts w:eastAsia="等线" w:ascii="Arial" w:hAnsi="等线" w:cs="等线"/>
          <w:color w:val="646A73"/>
          <w:sz w:val="18"/>
        </w:rPr>
        <w:t>Figure 1: High-Level System Context Diagram. Shows the flow from Clients -&gt; Gateway -&gt; Mesh -&gt; Backing Services.</w:t>
      </w:r>
    </w:p>
    <w:p>
      <w:pPr>
        <w:spacing w:before="320" w:after="120" w:line="288" w:lineRule="auto"/>
      </w:pPr>
      <w:r>
        <w:rPr>
          <w:rFonts w:eastAsia="等线" w:ascii="Arial" w:hAnsi="等线" w:cs="等线"/>
          <w:b w:val="true"/>
          <w:color w:val="000000"/>
          <w:sz w:val="32"/>
        </w:rPr>
        <w:t>Architectural Components</w:t>
      </w:r>
    </w:p>
    <w:p>
      <w:pPr>
        <w:spacing w:before="120" w:after="120" w:line="288" w:lineRule="auto"/>
      </w:pPr>
      <w:r>
        <w:rPr>
          <w:rFonts w:eastAsia="等线" w:ascii="Arial" w:hAnsi="等线" w:cs="等线"/>
          <w:color w:val="000000"/>
          <w:sz w:val="22"/>
        </w:rPr>
        <w:t xml:space="preserve">As depicted in </w:t>
      </w:r>
      <w:r>
        <w:rPr>
          <w:rFonts w:eastAsia="等线" w:ascii="Arial" w:hAnsi="等线" w:cs="等线"/>
          <w:b w:val="true"/>
          <w:color w:val="000000"/>
          <w:sz w:val="22"/>
        </w:rPr>
        <w:t>Figure 1</w:t>
      </w:r>
      <w:r>
        <w:rPr>
          <w:rFonts w:eastAsia="等线" w:ascii="Arial" w:hAnsi="等线" w:cs="等线"/>
          <w:color w:val="000000"/>
          <w:sz w:val="22"/>
        </w:rPr>
        <w:t xml:space="preserve">, the system is composed of several distinct zones. The </w:t>
      </w:r>
      <w:r>
        <w:rPr>
          <w:rFonts w:eastAsia="等线" w:ascii="Arial" w:hAnsi="等线" w:cs="等线"/>
          <w:b w:val="true"/>
          <w:color w:val="000000"/>
          <w:sz w:val="22"/>
        </w:rPr>
        <w:t>Platform</w:t>
      </w:r>
      <w:r>
        <w:rPr>
          <w:rFonts w:eastAsia="等线" w:ascii="Arial" w:hAnsi="等线" w:cs="等线"/>
          <w:color w:val="000000"/>
          <w:sz w:val="22"/>
        </w:rPr>
        <w:t xml:space="preserve"> zone (top right) provides the foundation, hosting the Kubernetes control plane, CI/CD pipelines, and Observability stack. The </w:t>
      </w:r>
      <w:r>
        <w:rPr>
          <w:rFonts w:eastAsia="等线" w:ascii="Arial" w:hAnsi="等线" w:cs="等线"/>
          <w:b w:val="true"/>
          <w:color w:val="000000"/>
          <w:sz w:val="22"/>
        </w:rPr>
        <w:t>Data Plane</w:t>
      </w:r>
      <w:r>
        <w:rPr>
          <w:rFonts w:eastAsia="等线" w:ascii="Arial" w:hAnsi="等线" w:cs="等线"/>
          <w:color w:val="000000"/>
          <w:sz w:val="22"/>
        </w:rPr>
        <w:t xml:space="preserve"> (bottom right) hosts the stateful components like databases and brokers. The core application logic resides in the </w:t>
      </w:r>
      <w:r>
        <w:rPr>
          <w:rFonts w:eastAsia="等线" w:ascii="Arial" w:hAnsi="等线" w:cs="等线"/>
          <w:b w:val="true"/>
          <w:color w:val="000000"/>
          <w:sz w:val="22"/>
        </w:rPr>
        <w:t>Microservices Mesh</w:t>
      </w:r>
      <w:r>
        <w:rPr>
          <w:rFonts w:eastAsia="等线" w:ascii="Arial" w:hAnsi="等线" w:cs="等线"/>
          <w:color w:val="000000"/>
          <w:sz w:val="22"/>
        </w:rPr>
        <w:t xml:space="preserve"> (center).</w:t>
      </w:r>
    </w:p>
    <w:p>
      <w:pPr>
        <w:spacing w:before="120" w:after="120" w:line="288" w:lineRule="auto"/>
      </w:pPr>
      <w:r>
        <w:rPr>
          <w:rFonts w:eastAsia="等线" w:ascii="Arial" w:hAnsi="等线" w:cs="等线"/>
          <w:color w:val="000000"/>
          <w:sz w:val="22"/>
        </w:rPr>
        <w:t>The following table details the specific responsibilities of each major component in the reference architecture.</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Component</w:t>
            </w:r>
          </w:p>
        </w:tc>
        <w:tc>
          <w:tcPr>
            <w:tcW w:w="2764" w:type="dxa"/>
            <w:shd w:val="clear" w:color="auto" w:fill="FFFFFF"/>
          </w:tcPr>
          <w:p>
            <w:pPr>
              <w:spacing w:before="120" w:after="120" w:line="288" w:lineRule="auto"/>
            </w:pPr>
            <w:r>
              <w:rPr>
                <w:rFonts w:eastAsia="等线" w:ascii="Arial" w:hAnsi="等线" w:cs="等线"/>
                <w:color w:val="000000"/>
                <w:sz w:val="22"/>
              </w:rPr>
              <w:t>Role</w:t>
            </w:r>
          </w:p>
        </w:tc>
        <w:tc>
          <w:tcPr>
            <w:tcW w:w="2764" w:type="dxa"/>
            <w:shd w:val="clear" w:color="auto" w:fill="FFFFFF"/>
          </w:tcPr>
          <w:p>
            <w:pPr>
              <w:spacing w:before="120" w:after="120" w:line="288" w:lineRule="auto"/>
            </w:pPr>
            <w:r>
              <w:rPr>
                <w:rFonts w:eastAsia="等线" w:ascii="Arial" w:hAnsi="等线" w:cs="等线"/>
                <w:color w:val="000000"/>
                <w:sz w:val="22"/>
              </w:rPr>
              <w:t>Key Responsibilities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External Clients</w:t>
            </w:r>
          </w:p>
        </w:tc>
        <w:tc>
          <w:tcPr>
            <w:tcW w:w="2764" w:type="dxa"/>
            <w:shd w:val="clear" w:color="auto" w:fill="FFFFFF"/>
          </w:tcPr>
          <w:p>
            <w:pPr>
              <w:spacing w:before="120" w:after="120" w:line="288" w:lineRule="auto"/>
            </w:pPr>
            <w:r>
              <w:rPr>
                <w:rFonts w:eastAsia="等线" w:ascii="Arial" w:hAnsi="等线" w:cs="等线"/>
                <w:color w:val="000000"/>
                <w:sz w:val="22"/>
              </w:rPr>
              <w:t>Consumer</w:t>
            </w:r>
          </w:p>
        </w:tc>
        <w:tc>
          <w:tcPr>
            <w:tcW w:w="2764" w:type="dxa"/>
            <w:shd w:val="clear" w:color="auto" w:fill="FFFFFF"/>
          </w:tcPr>
          <w:p>
            <w:pPr>
              <w:spacing w:before="120" w:after="120" w:line="288" w:lineRule="auto"/>
            </w:pPr>
            <w:r>
              <w:rPr>
                <w:rFonts w:eastAsia="等线" w:ascii="Arial" w:hAnsi="等线" w:cs="等线"/>
                <w:color w:val="000000"/>
                <w:sz w:val="22"/>
              </w:rPr>
              <w:t>Web apps (SPA), mobile apps (iOS/Android), and third-party partners initiating HTTPS requests.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API Gateway</w:t>
            </w:r>
          </w:p>
        </w:tc>
        <w:tc>
          <w:tcPr>
            <w:tcW w:w="2764" w:type="dxa"/>
            <w:shd w:val="clear" w:color="auto" w:fill="FFFFFF"/>
          </w:tcPr>
          <w:p>
            <w:pPr>
              <w:spacing w:before="120" w:after="120" w:line="288" w:lineRule="auto"/>
            </w:pPr>
            <w:r>
              <w:rPr>
                <w:rFonts w:eastAsia="等线" w:ascii="Arial" w:hAnsi="等线" w:cs="等线"/>
                <w:color w:val="000000"/>
                <w:sz w:val="22"/>
              </w:rPr>
              <w:t>Edge Entry</w:t>
            </w:r>
          </w:p>
        </w:tc>
        <w:tc>
          <w:tcPr>
            <w:tcW w:w="2764" w:type="dxa"/>
            <w:shd w:val="clear" w:color="auto" w:fill="FFFFFF"/>
          </w:tcPr>
          <w:p>
            <w:pPr>
              <w:spacing w:before="120" w:after="120" w:line="288" w:lineRule="auto"/>
            </w:pPr>
            <w:r>
              <w:rPr>
                <w:rFonts w:eastAsia="等线" w:ascii="Arial" w:hAnsi="等线" w:cs="等线"/>
                <w:color w:val="000000"/>
                <w:sz w:val="22"/>
              </w:rPr>
              <w:t>Handles TLS termination, rate limiting, authentication verification (JWT validation), request routing, and cross-cutting concerns (CORS, headers) before traffic enters the mesh.</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Microservices Mesh</w:t>
            </w:r>
          </w:p>
        </w:tc>
        <w:tc>
          <w:tcPr>
            <w:tcW w:w="2764" w:type="dxa"/>
            <w:shd w:val="clear" w:color="auto" w:fill="FFFFFF"/>
          </w:tcPr>
          <w:p>
            <w:pPr>
              <w:spacing w:before="120" w:after="120" w:line="288" w:lineRule="auto"/>
            </w:pPr>
            <w:r>
              <w:rPr>
                <w:rFonts w:eastAsia="等线" w:ascii="Arial" w:hAnsi="等线" w:cs="等线"/>
                <w:color w:val="000000"/>
                <w:sz w:val="22"/>
              </w:rPr>
              <w:t>Business Logic</w:t>
            </w:r>
          </w:p>
        </w:tc>
        <w:tc>
          <w:tcPr>
            <w:tcW w:w="2764" w:type="dxa"/>
            <w:shd w:val="clear" w:color="auto" w:fill="FFFFFF"/>
          </w:tcPr>
          <w:p>
            <w:pPr>
              <w:spacing w:before="120" w:after="120" w:line="288" w:lineRule="auto"/>
            </w:pPr>
            <w:r>
              <w:rPr>
                <w:rFonts w:eastAsia="等线" w:ascii="Arial" w:hAnsi="等线" w:cs="等线"/>
                <w:color w:val="000000"/>
                <w:sz w:val="22"/>
              </w:rPr>
              <w:t>The collection of autonomous domain services. They communicate synchronously via REST for queries/commands and asynchronously via events for side effects. They are stateless and horizontally scalable.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Message Broker</w:t>
            </w:r>
          </w:p>
        </w:tc>
        <w:tc>
          <w:tcPr>
            <w:tcW w:w="2764" w:type="dxa"/>
            <w:shd w:val="clear" w:color="auto" w:fill="FFFFFF"/>
          </w:tcPr>
          <w:p>
            <w:pPr>
              <w:spacing w:before="120" w:after="120" w:line="288" w:lineRule="auto"/>
            </w:pPr>
            <w:r>
              <w:rPr>
                <w:rFonts w:eastAsia="等线" w:ascii="Arial" w:hAnsi="等线" w:cs="等线"/>
                <w:color w:val="000000"/>
                <w:sz w:val="22"/>
              </w:rPr>
              <w:t>Async Backbone</w:t>
            </w:r>
          </w:p>
        </w:tc>
        <w:tc>
          <w:tcPr>
            <w:tcW w:w="2764" w:type="dxa"/>
            <w:shd w:val="clear" w:color="auto" w:fill="FFFFFF"/>
          </w:tcPr>
          <w:p>
            <w:pPr>
              <w:spacing w:before="120" w:after="120" w:line="288" w:lineRule="auto"/>
            </w:pPr>
            <w:r>
              <w:rPr>
                <w:rFonts w:eastAsia="等线" w:ascii="Arial" w:hAnsi="等线" w:cs="等线"/>
                <w:color w:val="000000"/>
                <w:sz w:val="22"/>
              </w:rPr>
              <w:t>A durable log-based broker (e.g., Kafka) or queue (e.g., RabbitMQ) that decouples services. It guarantees at-least-once delivery of domain events to enable eventual consistency.</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Datastores</w:t>
            </w:r>
          </w:p>
        </w:tc>
        <w:tc>
          <w:tcPr>
            <w:tcW w:w="2764" w:type="dxa"/>
            <w:shd w:val="clear" w:color="auto" w:fill="FFFFFF"/>
          </w:tcPr>
          <w:p>
            <w:pPr>
              <w:spacing w:before="120" w:after="120" w:line="288" w:lineRule="auto"/>
            </w:pPr>
            <w:r>
              <w:rPr>
                <w:rFonts w:eastAsia="等线" w:ascii="Arial" w:hAnsi="等线" w:cs="等线"/>
                <w:color w:val="000000"/>
                <w:sz w:val="22"/>
              </w:rPr>
              <w:t>Persistence</w:t>
            </w:r>
          </w:p>
        </w:tc>
        <w:tc>
          <w:tcPr>
            <w:tcW w:w="2764" w:type="dxa"/>
            <w:shd w:val="clear" w:color="auto" w:fill="FFFFFF"/>
          </w:tcPr>
          <w:p>
            <w:pPr>
              <w:spacing w:before="120" w:after="120" w:line="288" w:lineRule="auto"/>
            </w:pPr>
            <w:r>
              <w:rPr>
                <w:rFonts w:eastAsia="等线" w:ascii="Arial" w:hAnsi="等线" w:cs="等线"/>
                <w:color w:val="000000"/>
                <w:sz w:val="22"/>
              </w:rPr>
              <w:t>Polyglot persistence layer. Each service owns its schema and database instance (logical or physical). Common choices include PostgreSQL for relational data and MongoDB/DynamoDB for documents.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Platform Services</w:t>
            </w:r>
          </w:p>
        </w:tc>
        <w:tc>
          <w:tcPr>
            <w:tcW w:w="2764" w:type="dxa"/>
            <w:shd w:val="clear" w:color="auto" w:fill="FFFFFF"/>
          </w:tcPr>
          <w:p>
            <w:pPr>
              <w:spacing w:before="120" w:after="120" w:line="288" w:lineRule="auto"/>
            </w:pPr>
            <w:r>
              <w:rPr>
                <w:rFonts w:eastAsia="等线" w:ascii="Arial" w:hAnsi="等线" w:cs="等线"/>
                <w:color w:val="000000"/>
                <w:sz w:val="22"/>
              </w:rPr>
              <w:t>Infrastructure</w:t>
            </w:r>
          </w:p>
        </w:tc>
        <w:tc>
          <w:tcPr>
            <w:tcW w:w="2764" w:type="dxa"/>
            <w:shd w:val="clear" w:color="auto" w:fill="FFFFFF"/>
          </w:tcPr>
          <w:p>
            <w:pPr>
              <w:spacing w:before="120" w:after="120" w:line="288" w:lineRule="auto"/>
            </w:pPr>
            <w:r>
              <w:rPr>
                <w:rFonts w:eastAsia="等线" w:ascii="Arial" w:hAnsi="等线" w:cs="等线"/>
                <w:color w:val="000000"/>
                <w:sz w:val="22"/>
              </w:rPr>
              <w:t xml:space="preserve">Shared capabilities including </w:t>
            </w:r>
            <w:r>
              <w:rPr>
                <w:rFonts w:eastAsia="等线" w:ascii="Arial" w:hAnsi="等线" w:cs="等线"/>
                <w:b w:val="true"/>
                <w:color w:val="000000"/>
                <w:sz w:val="22"/>
              </w:rPr>
              <w:t>CI/CD</w:t>
            </w:r>
            <w:r>
              <w:rPr>
                <w:rFonts w:eastAsia="等线" w:ascii="Arial" w:hAnsi="等线" w:cs="等线"/>
                <w:color w:val="000000"/>
                <w:sz w:val="22"/>
              </w:rPr>
              <w:t xml:space="preserve"> (GitLab/GitHub Actions), </w:t>
            </w:r>
            <w:r>
              <w:rPr>
                <w:rFonts w:eastAsia="等线" w:ascii="Arial" w:hAnsi="等线" w:cs="等线"/>
                <w:b w:val="true"/>
                <w:color w:val="000000"/>
                <w:sz w:val="22"/>
              </w:rPr>
              <w:t>Observability</w:t>
            </w:r>
            <w:r>
              <w:rPr>
                <w:rFonts w:eastAsia="等线" w:ascii="Arial" w:hAnsi="等线" w:cs="等线"/>
                <w:color w:val="000000"/>
                <w:sz w:val="22"/>
              </w:rPr>
              <w:t xml:space="preserve"> (Prometheus/Grafana/ELK), and </w:t>
            </w:r>
            <w:r>
              <w:rPr>
                <w:rFonts w:eastAsia="等线" w:ascii="Arial" w:hAnsi="等线" w:cs="等线"/>
                <w:b w:val="true"/>
                <w:color w:val="000000"/>
                <w:sz w:val="22"/>
              </w:rPr>
              <w:t>Security</w:t>
            </w:r>
            <w:r>
              <w:rPr>
                <w:rFonts w:eastAsia="等线" w:ascii="Arial" w:hAnsi="等线" w:cs="等线"/>
                <w:color w:val="000000"/>
                <w:sz w:val="22"/>
              </w:rPr>
              <w:t xml:space="preserve"> (Vault/Keycloak) that enable teams to ship code safely.</w:t>
            </w:r>
          </w:p>
        </w:tc>
      </w:tr>
    </w:tbl>
    <w:p>
      <w:pPr>
        <w:spacing w:before="120" w:after="120" w:line="288" w:lineRule="auto"/>
      </w:pPr>
    </w:p>
    <w:p>
      <w:pPr>
        <w:spacing w:before="120" w:after="120" w:line="288" w:lineRule="auto"/>
      </w:pPr>
      <w:r>
        <w:rPr>
          <w:rFonts w:eastAsia="等线" w:ascii="Arial" w:hAnsi="等线" w:cs="等线"/>
          <w:color w:val="000000"/>
          <w:sz w:val="22"/>
        </w:rPr>
        <w:t xml:space="preserve">This architecture enforces a strict "Smart Endpoints and Dumb Pipes" philosophy. The </w:t>
      </w:r>
      <w:r>
        <w:rPr>
          <w:rFonts w:eastAsia="等线" w:ascii="Arial" w:hAnsi="等线" w:cs="等线"/>
          <w:b w:val="true"/>
          <w:color w:val="000000"/>
          <w:sz w:val="22"/>
        </w:rPr>
        <w:t>Message Broker</w:t>
      </w:r>
      <w:r>
        <w:rPr>
          <w:rFonts w:eastAsia="等线" w:ascii="Arial" w:hAnsi="等线" w:cs="等线"/>
          <w:color w:val="000000"/>
          <w:sz w:val="22"/>
        </w:rPr>
        <w:t xml:space="preserve"> does not contain business logic; it merely transports events. The intelligence resides entirely within the </w:t>
      </w:r>
      <w:r>
        <w:rPr>
          <w:rFonts w:eastAsia="等线" w:ascii="Arial" w:hAnsi="等线" w:cs="等线"/>
          <w:b w:val="true"/>
          <w:color w:val="000000"/>
          <w:sz w:val="22"/>
        </w:rPr>
        <w:t>Microservices</w:t>
      </w:r>
      <w:r>
        <w:rPr>
          <w:rFonts w:eastAsia="等线" w:ascii="Arial" w:hAnsi="等线" w:cs="等线"/>
          <w:color w:val="000000"/>
          <w:sz w:val="22"/>
        </w:rPr>
        <w:t xml:space="preserve"> themselves. Similarly, the </w:t>
      </w:r>
      <w:r>
        <w:rPr>
          <w:rFonts w:eastAsia="等线" w:ascii="Arial" w:hAnsi="等线" w:cs="等线"/>
          <w:b w:val="true"/>
          <w:color w:val="000000"/>
          <w:sz w:val="22"/>
        </w:rPr>
        <w:t>API Gateway</w:t>
      </w:r>
      <w:r>
        <w:rPr>
          <w:rFonts w:eastAsia="等线" w:ascii="Arial" w:hAnsi="等线" w:cs="等线"/>
          <w:color w:val="000000"/>
          <w:sz w:val="22"/>
        </w:rPr>
        <w:t xml:space="preserve"> is a thin layer for policy enforcement, not for complex orchestration or business logic aggregation. This prevents the gateway from becoming a bottleneck or a single point of failure for logic changes.</w:t>
      </w:r>
    </w:p>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Service Decomposition Blueprint</w:t>
      </w:r>
    </w:p>
    <w:p>
      <w:pPr>
        <w:spacing w:before="120" w:after="120" w:line="288" w:lineRule="auto"/>
      </w:pPr>
      <w:r>
        <w:rPr>
          <w:rFonts w:eastAsia="等线" w:ascii="Arial" w:hAnsi="等线" w:cs="等线"/>
          <w:color w:val="000000"/>
          <w:sz w:val="22"/>
        </w:rPr>
        <w:t>Decomposing a system into microservices is more art than science, but it must be guided by rigorous principles to avoid creating a "distributed ball of mud." The decomposition strategy in this reference architecture follows a layered model that segregates services based on their stability, volatility, and scope. This layering promotes loose coupling and high cohesion, ensuring that changes in one layer do not ripple uncontrollably through others.</w:t>
      </w:r>
    </w:p>
    <w:p>
      <w:pPr>
        <w:spacing w:before="320" w:after="120" w:line="288" w:lineRule="auto"/>
      </w:pPr>
      <w:r>
        <w:rPr>
          <w:rFonts w:eastAsia="等线" w:ascii="Arial" w:hAnsi="等线" w:cs="等线"/>
          <w:b w:val="true"/>
          <w:color w:val="000000"/>
          <w:sz w:val="32"/>
        </w:rPr>
        <w:t>Architectural Layers</w:t>
      </w:r>
    </w:p>
    <w:p>
      <w:pPr>
        <w:spacing w:before="120" w:after="120" w:line="288" w:lineRule="auto"/>
      </w:pPr>
      <w:r>
        <w:rPr>
          <w:rFonts w:eastAsia="等线" w:ascii="Arial" w:hAnsi="等线" w:cs="等线"/>
          <w:color w:val="000000"/>
          <w:sz w:val="22"/>
        </w:rPr>
        <w:t>We categorize services into four distinct layers, each with a specific mandate:</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1. Edge Layer (Gateway &amp; BFF)</w:t>
            </w:r>
          </w:p>
          <w:p>
            <w:pPr>
              <w:spacing w:before="120" w:after="120" w:line="288" w:lineRule="auto"/>
            </w:pPr>
            <w:r>
              <w:rPr>
                <w:rFonts w:eastAsia="等线" w:ascii="Arial" w:hAnsi="等线" w:cs="等线"/>
                <w:color w:val="000000"/>
                <w:sz w:val="22"/>
              </w:rPr>
              <w:t>The entry point for all external traffic. This layer handles protocol translation (e.g., HTTP/1.1 to gRPC or HTTP/2), session management, and payload adaptation for specific clients (Backend-for-Frontend pattern). It isolates the internal domain model from external API contracts.</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2. Domain Services Layer</w:t>
            </w:r>
          </w:p>
          <w:p>
            <w:pPr>
              <w:spacing w:before="120" w:after="120" w:line="288" w:lineRule="auto"/>
            </w:pPr>
            <w:r>
              <w:rPr>
                <w:rFonts w:eastAsia="等线" w:ascii="Arial" w:hAnsi="等线" w:cs="等线"/>
                <w:color w:val="000000"/>
                <w:sz w:val="22"/>
              </w:rPr>
              <w:t>The core business value. These services map 1:1 to Bounded Contexts (e.g., User, Order, Catalog). They encapsulate specific business rules and state. They should not depend on presentation concerns. This is where 80% of development effort is focused.</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3. Platform Services Layer</w:t>
            </w:r>
          </w:p>
          <w:p>
            <w:pPr>
              <w:spacing w:before="120" w:after="120" w:line="288" w:lineRule="auto"/>
            </w:pPr>
            <w:r>
              <w:rPr>
                <w:rFonts w:eastAsia="等线" w:ascii="Arial" w:hAnsi="等线" w:cs="等线"/>
                <w:color w:val="000000"/>
                <w:sz w:val="22"/>
              </w:rPr>
              <w:t>Technical capabilities required by domain services. Examples include Notification Service (email/SMS), File Service (S3 uploads), and Identity Service (OAuth2). These are often generic and highly reusable across different business domains.</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4. Data Layer</w:t>
            </w:r>
          </w:p>
          <w:p>
            <w:pPr>
              <w:spacing w:before="120" w:after="120" w:line="288" w:lineRule="auto"/>
            </w:pPr>
            <w:r>
              <w:rPr>
                <w:rFonts w:eastAsia="等线" w:ascii="Arial" w:hAnsi="等线" w:cs="等线"/>
                <w:color w:val="000000"/>
                <w:sz w:val="22"/>
              </w:rPr>
              <w:t xml:space="preserve">While not "services" in the compute sense, the data layer (Databases, Caches, Object Stores) is the foundation. Access to this layer is strictly controlled: </w:t>
            </w:r>
            <w:r>
              <w:rPr>
                <w:rFonts w:eastAsia="等线" w:ascii="Arial" w:hAnsi="等线" w:cs="等线"/>
                <w:b w:val="true"/>
                <w:color w:val="000000"/>
                <w:sz w:val="22"/>
              </w:rPr>
              <w:t>only the owning service may access its specific data store directly.</w:t>
            </w:r>
            <w:r>
              <w:rPr>
                <w:rFonts w:eastAsia="等线" w:ascii="Arial" w:hAnsi="等线" w:cs="等线"/>
                <w:color w:val="000000"/>
                <w:sz w:val="22"/>
              </w:rPr>
              <w:t xml:space="preserve"> All other access must go through the service's API.</w:t>
            </w:r>
          </w:p>
        </w:tc>
      </w:tr>
    </w:tbl>
    <w:p>
      <w:pPr>
        <w:spacing w:before="320" w:after="120" w:line="288" w:lineRule="auto"/>
      </w:pPr>
      <w:r>
        <w:rPr>
          <w:rFonts w:eastAsia="等线" w:ascii="Arial" w:hAnsi="等线" w:cs="等线"/>
          <w:b w:val="true"/>
          <w:color w:val="000000"/>
          <w:sz w:val="32"/>
        </w:rPr>
        <w:t>Design Principles &amp; Ownership</w:t>
      </w:r>
    </w:p>
    <w:p>
      <w:pPr>
        <w:spacing w:before="120" w:after="120" w:line="288" w:lineRule="auto"/>
      </w:pPr>
      <w:r>
        <w:rPr>
          <w:rFonts w:eastAsia="等线" w:ascii="Arial" w:hAnsi="等线" w:cs="等线"/>
          <w:color w:val="000000"/>
          <w:sz w:val="22"/>
        </w:rPr>
        <w:t xml:space="preserve">To maintain velocity at scale, technical decisions must be aligned with organizational structure, a concept known as </w:t>
      </w:r>
      <w:hyperlink xmlns:relationships="http://schemas.openxmlformats.org/officeDocument/2006/relationships" relationships:id="rId12">
        <w:r>
          <w:rPr>
            <w:rStyle w:val="Hyperlink"/>
            <w:rFonts w:eastAsia="等线" w:ascii="Arial" w:hAnsi="等线" w:cs="等线"/>
            <w:color w:val="0563C1"/>
            <w:sz w:val="22"/>
            <w:u w:val="single"/>
          </w:rPr>
          <w:t>Conway's Law</w:t>
        </w:r>
      </w:hyperlink>
      <w:r>
        <w:rPr>
          <w:rFonts w:eastAsia="等线" w:ascii="Arial" w:hAnsi="等线" w:cs="等线"/>
          <w:color w:val="000000"/>
          <w:sz w:val="22"/>
        </w:rPr>
        <w:t>. We adopt a vertical ownership model where teams own a service from "inception to deprecation." The following principles guide this ownership and the design of the services themselves.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Principle</w:t>
            </w:r>
          </w:p>
        </w:tc>
        <w:tc>
          <w:tcPr>
            <w:tcW w:w="4147" w:type="dxa"/>
            <w:shd w:val="clear" w:color="auto" w:fill="FFFFFF"/>
          </w:tcPr>
          <w:p>
            <w:pPr>
              <w:spacing w:before="120" w:after="120" w:line="288" w:lineRule="auto"/>
            </w:pPr>
            <w:r>
              <w:rPr>
                <w:rFonts w:eastAsia="等线" w:ascii="Arial" w:hAnsi="等线" w:cs="等线"/>
                <w:color w:val="000000"/>
                <w:sz w:val="22"/>
              </w:rPr>
              <w:t>Rationale &amp; Implications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Database per Service</w:t>
            </w:r>
          </w:p>
        </w:tc>
        <w:tc>
          <w:tcPr>
            <w:tcW w:w="4147" w:type="dxa"/>
            <w:shd w:val="clear" w:color="auto" w:fill="FFFFFF"/>
          </w:tcPr>
          <w:p>
            <w:pPr>
              <w:spacing w:before="120" w:after="120" w:line="288" w:lineRule="auto"/>
            </w:pPr>
            <w:r>
              <w:rPr>
                <w:rFonts w:eastAsia="等线" w:ascii="Arial" w:hAnsi="等线" w:cs="等线"/>
                <w:b w:val="true"/>
                <w:color w:val="000000"/>
                <w:sz w:val="22"/>
              </w:rPr>
              <w:t>Rationale:</w:t>
            </w:r>
            <w:r>
              <w:rPr>
                <w:rFonts w:eastAsia="等线" w:ascii="Arial" w:hAnsi="等线" w:cs="等线"/>
                <w:color w:val="000000"/>
                <w:sz w:val="22"/>
              </w:rPr>
              <w:t xml:space="preserve"> Prevents hidden coupling at the schema level. 
</w:t>
            </w:r>
            <w:r>
              <w:rPr>
                <w:rFonts w:eastAsia="等线" w:ascii="Arial" w:hAnsi="等线" w:cs="等线"/>
                <w:b w:val="true"/>
                <w:color w:val="000000"/>
                <w:sz w:val="22"/>
              </w:rPr>
              <w:t>Implication:</w:t>
            </w:r>
            <w:r>
              <w:rPr>
                <w:rFonts w:eastAsia="等线" w:ascii="Arial" w:hAnsi="等线" w:cs="等线"/>
                <w:color w:val="000000"/>
                <w:sz w:val="22"/>
              </w:rPr>
              <w:t xml:space="preserve"> No foreign keys between services. Joins must be done in the application (API composition) or via data replication (CQRS views).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You Build It, You Run It</w:t>
            </w:r>
          </w:p>
        </w:tc>
        <w:tc>
          <w:tcPr>
            <w:tcW w:w="4147" w:type="dxa"/>
            <w:shd w:val="clear" w:color="auto" w:fill="FFFFFF"/>
          </w:tcPr>
          <w:p>
            <w:pPr>
              <w:spacing w:before="120" w:after="120" w:line="288" w:lineRule="auto"/>
            </w:pPr>
            <w:r>
              <w:rPr>
                <w:rFonts w:eastAsia="等线" w:ascii="Arial" w:hAnsi="等线" w:cs="等线"/>
                <w:b w:val="true"/>
                <w:color w:val="000000"/>
                <w:sz w:val="22"/>
              </w:rPr>
              <w:t>Rationale:</w:t>
            </w:r>
            <w:r>
              <w:rPr>
                <w:rFonts w:eastAsia="等线" w:ascii="Arial" w:hAnsi="等线" w:cs="等线"/>
                <w:color w:val="000000"/>
                <w:sz w:val="22"/>
              </w:rPr>
              <w:t xml:space="preserve"> Aligns incentives. Developers who wake up for 3 AM pagers write better, more resilient code. 
</w:t>
            </w:r>
            <w:r>
              <w:rPr>
                <w:rFonts w:eastAsia="等线" w:ascii="Arial" w:hAnsi="等线" w:cs="等线"/>
                <w:b w:val="true"/>
                <w:color w:val="000000"/>
                <w:sz w:val="22"/>
              </w:rPr>
              <w:t>Implication:</w:t>
            </w:r>
            <w:r>
              <w:rPr>
                <w:rFonts w:eastAsia="等线" w:ascii="Arial" w:hAnsi="等线" w:cs="等线"/>
                <w:color w:val="000000"/>
                <w:sz w:val="22"/>
              </w:rPr>
              <w:t xml:space="preserve"> Teams need full access to CI/CD, monitoring, and logs for their specific services.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Smart Endpoints, Dumb Pipes</w:t>
            </w:r>
          </w:p>
        </w:tc>
        <w:tc>
          <w:tcPr>
            <w:tcW w:w="4147" w:type="dxa"/>
            <w:shd w:val="clear" w:color="auto" w:fill="FFFFFF"/>
          </w:tcPr>
          <w:p>
            <w:pPr>
              <w:spacing w:before="120" w:after="120" w:line="288" w:lineRule="auto"/>
            </w:pPr>
            <w:r>
              <w:rPr>
                <w:rFonts w:eastAsia="等线" w:ascii="Arial" w:hAnsi="等线" w:cs="等线"/>
                <w:b w:val="true"/>
                <w:color w:val="000000"/>
                <w:sz w:val="22"/>
              </w:rPr>
              <w:t>Rationale:</w:t>
            </w:r>
            <w:r>
              <w:rPr>
                <w:rFonts w:eastAsia="等线" w:ascii="Arial" w:hAnsi="等线" w:cs="等线"/>
                <w:color w:val="000000"/>
                <w:sz w:val="22"/>
              </w:rPr>
              <w:t xml:space="preserve"> Centralized buses (ESB) create bottlenecks. 
</w:t>
            </w:r>
            <w:r>
              <w:rPr>
                <w:rFonts w:eastAsia="等线" w:ascii="Arial" w:hAnsi="等线" w:cs="等线"/>
                <w:b w:val="true"/>
                <w:color w:val="000000"/>
                <w:sz w:val="22"/>
              </w:rPr>
              <w:t>Implication:</w:t>
            </w:r>
            <w:r>
              <w:rPr>
                <w:rFonts w:eastAsia="等线" w:ascii="Arial" w:hAnsi="等线" w:cs="等线"/>
                <w:color w:val="000000"/>
                <w:sz w:val="22"/>
              </w:rPr>
              <w:t xml:space="preserve"> Use standard protocols (REST, gRPC) and generic brokers (Kafka, RabbitMQ). Logic stays in the app code.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Strict API Contracts</w:t>
            </w:r>
          </w:p>
        </w:tc>
        <w:tc>
          <w:tcPr>
            <w:tcW w:w="4147" w:type="dxa"/>
            <w:shd w:val="clear" w:color="auto" w:fill="FFFFFF"/>
          </w:tcPr>
          <w:p>
            <w:pPr>
              <w:spacing w:before="120" w:after="120" w:line="288" w:lineRule="auto"/>
            </w:pPr>
            <w:r>
              <w:rPr>
                <w:rFonts w:eastAsia="等线" w:ascii="Arial" w:hAnsi="等线" w:cs="等线"/>
                <w:b w:val="true"/>
                <w:color w:val="000000"/>
                <w:sz w:val="22"/>
              </w:rPr>
              <w:t>Rationale:</w:t>
            </w:r>
            <w:r>
              <w:rPr>
                <w:rFonts w:eastAsia="等线" w:ascii="Arial" w:hAnsi="等线" w:cs="等线"/>
                <w:color w:val="000000"/>
                <w:sz w:val="22"/>
              </w:rPr>
              <w:t xml:space="preserve"> Services must evolve independently. 
</w:t>
            </w:r>
            <w:r>
              <w:rPr>
                <w:rFonts w:eastAsia="等线" w:ascii="Arial" w:hAnsi="等线" w:cs="等线"/>
                <w:b w:val="true"/>
                <w:color w:val="000000"/>
                <w:sz w:val="22"/>
              </w:rPr>
              <w:t>Implication:</w:t>
            </w:r>
            <w:r>
              <w:rPr>
                <w:rFonts w:eastAsia="等线" w:ascii="Arial" w:hAnsi="等线" w:cs="等线"/>
                <w:color w:val="000000"/>
                <w:sz w:val="22"/>
              </w:rPr>
              <w:t xml:space="preserve"> APIs are promises. Breaking changes require versioning (v1 -&gt; v2). Internal implementation details must never leak into the API.</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Automate Everything</w:t>
            </w:r>
          </w:p>
        </w:tc>
        <w:tc>
          <w:tcPr>
            <w:tcW w:w="4147" w:type="dxa"/>
            <w:shd w:val="clear" w:color="auto" w:fill="FFFFFF"/>
          </w:tcPr>
          <w:p>
            <w:pPr>
              <w:spacing w:before="120" w:after="120" w:line="288" w:lineRule="auto"/>
            </w:pPr>
            <w:r>
              <w:rPr>
                <w:rFonts w:eastAsia="等线" w:ascii="Arial" w:hAnsi="等线" w:cs="等线"/>
                <w:b w:val="true"/>
                <w:color w:val="000000"/>
                <w:sz w:val="22"/>
              </w:rPr>
              <w:t>Rationale:</w:t>
            </w:r>
            <w:r>
              <w:rPr>
                <w:rFonts w:eastAsia="等线" w:ascii="Arial" w:hAnsi="等线" w:cs="等线"/>
                <w:color w:val="000000"/>
                <w:sz w:val="22"/>
              </w:rPr>
              <w:t xml:space="preserve"> Manual steps (deployments, schema migrations) are error-prone and slow. 
</w:t>
            </w:r>
            <w:r>
              <w:rPr>
                <w:rFonts w:eastAsia="等线" w:ascii="Arial" w:hAnsi="等线" w:cs="等线"/>
                <w:b w:val="true"/>
                <w:color w:val="000000"/>
                <w:sz w:val="22"/>
              </w:rPr>
              <w:t>Implication:</w:t>
            </w:r>
            <w:r>
              <w:rPr>
                <w:rFonts w:eastAsia="等线" w:ascii="Arial" w:hAnsi="等线" w:cs="等线"/>
                <w:color w:val="000000"/>
                <w:sz w:val="22"/>
              </w:rPr>
              <w:t xml:space="preserve"> Infrastructure as Code (Terraform/Helm) is mandatory. No manual changes in production.</w:t>
            </w:r>
          </w:p>
        </w:tc>
      </w:tr>
    </w:tbl>
    <w:p>
      <w:pPr>
        <w:spacing w:before="120" w:after="120" w:line="288" w:lineRule="auto"/>
      </w:pPr>
    </w:p>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hyperlink" Target="https://microservices.io/patterns/data/database-per-service.html" TargetMode="External"></Relationship><Relationship Id="rId10" Type="http://schemas.openxmlformats.org/officeDocument/2006/relationships/hyperlink" Target="https://microservices.io/patterns/microservices.html" TargetMode="External"></Relationship><Relationship Id="rId11" Type="http://schemas.openxmlformats.org/officeDocument/2006/relationships/image" Target="media/image1.png"></Relationship><Relationship Id="rId12" Type="http://schemas.openxmlformats.org/officeDocument/2006/relationships/hyperlink" Target="https://en.wikipedia.org/wiki/Conway&#39;s_law"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