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160"/>
        <w:widowControl/>
        <w:pBdr>
          <w:bottom w:val="single" w:sz="8" w:space="5" w:color="2E74B5"/>
        </w:pBdr>
      </w:pPr>
      <w:r>
        <w:rPr>
          <w:rFonts w:ascii="Calibri" w:hAnsi="Calibri" w:eastAsia="Microsoft YaHei"/>
          <w:b/>
          <w:color w:val="243042"/>
          <w:sz w:val="48"/>
        </w:rPr>
        <w:t>iTentformer 新增模块与联动速记</w:t>
      </w:r>
    </w:p>
    <w:p>
      <w:pPr>
        <w:widowControl/>
        <w:spacing w:after="280"/>
      </w:pPr>
      <w:r>
        <w:rPr>
          <w:rFonts w:ascii="Calibri" w:hAnsi="Calibri" w:eastAsia="Microsoft YaHei"/>
          <w:color w:val="657184"/>
          <w:sz w:val="22"/>
        </w:rPr>
        <w:t>用途：快速回忆数据处理、模块功能、损失设计和训练/推理联动关系</w:t>
      </w:r>
    </w:p>
    <w:p>
      <w:pPr>
        <w:spacing w:before="100" w:after="140" w:line="283" w:lineRule="auto"/>
        <w:ind w:left="173" w:right="86"/>
        <w:shd w:fill="E8EEF5"/>
        <w:widowControl/>
        <w:pBdr>
          <w:left w:val="single" w:sz="12" w:space="6" w:color="2E74B5"/>
        </w:pBdr>
      </w:pPr>
      <w:r>
        <w:rPr>
          <w:rFonts w:ascii="Calibri" w:hAnsi="Calibri" w:eastAsia="Microsoft YaHei"/>
          <w:b/>
          <w:color w:val="2E74B5"/>
        </w:rPr>
        <w:t xml:space="preserve">一句话总览  </w:t>
      </w:r>
      <w:r>
        <w:rPr>
          <w:rFonts w:ascii="Calibri" w:hAnsi="Calibri" w:eastAsia="Microsoft YaHei"/>
          <w:color w:val="243042"/>
        </w:rPr>
        <w:t>当前系统仍以 iTentformer 的 TCN + Transformer 为连续轨迹主干；新增部分负责识别主/子航路意图、判断分支是否可辨、生成多条条件候选并选择最终轨迹。Qwen 只提供预测时刻之前可见的航次语义，不直接生成坐标。</w:t>
      </w:r>
    </w:p>
    <w:p>
      <w:pPr>
        <w:pStyle w:val="Heading1"/>
        <w:widowControl/>
        <w:pBdr>
          <w:bottom w:val="single" w:sz="5" w:space="3" w:color="B8C5D6"/>
        </w:pBdr>
      </w:pPr>
      <w:r>
        <w:t>1 数据怎么处理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250"/>
        <w:gridCol w:w="4860"/>
        <w:gridCol w:w="3250"/>
      </w:tblGrid>
      <w:tr>
        <w:trPr>
          <w:tblHeader w:val="true"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步骤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当前做法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目的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原始读取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直接流式读取 DMA 2023-06/07/08 ZIP 内 CSV，并用 SQLite 暂存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避免几十 GB 文件完整解压，支持断点续跑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异常清洗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区域/船型过滤；去空值、静止点、超速漂移点；按时间间隔切段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得到连续、可信的 AIS 航次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统一采样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每 15 min 插值一次，派生 vx/vy、环形 ΔCOG、位置/速度差分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统一模型时间尺度并显式提供运动趋势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方向归一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A/B/C→O 的反向航次翻转为 O→终点，重算航向与差分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把相反方向统一到同一预测方向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航路标签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主航路 OA/OB1/OB2/OC；子航路使用 Compact6，保留 OA 三条中途分叉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给层级意图学习和条件候选生成提供监督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固定划分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按 MMSI 隔离的 70/10/20；训练集拟合标准化参数和航路原型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防止同船与测试信息泄漏，便于公平消融</w:t>
            </w:r>
          </w:p>
        </w:tc>
      </w:tr>
    </w:tbl>
    <w:p>
      <w:pPr>
        <w:widowControl/>
        <w:spacing w:after="40"/>
      </w:pPr>
    </w:p>
    <w:p>
      <w:pPr>
        <w:spacing w:before="100" w:after="140" w:line="283" w:lineRule="auto"/>
        <w:ind w:left="173" w:right="86"/>
        <w:shd w:fill="E7F2ED"/>
        <w:widowControl/>
        <w:pBdr>
          <w:left w:val="single" w:sz="12" w:space="6" w:color="2A7F62"/>
        </w:pBdr>
      </w:pPr>
      <w:r>
        <w:rPr>
          <w:rFonts w:ascii="Calibri" w:hAnsi="Calibri" w:eastAsia="Microsoft YaHei"/>
          <w:b/>
          <w:color w:val="2A7F62"/>
        </w:rPr>
        <w:t xml:space="preserve">当前窗口  </w:t>
      </w:r>
      <w:r>
        <w:rPr>
          <w:rFonts w:ascii="Calibri" w:hAnsi="Calibri" w:eastAsia="Microsoft YaHei"/>
          <w:color w:val="243042"/>
        </w:rPr>
        <w:t>历史 13 点 = 3 小时；预测 12 点 = 3 小时。模型输入仍以经纬度、SOG、COG 及其运动差分为核心。</w:t>
      </w:r>
    </w:p>
    <w:p>
      <w:pPr>
        <w:widowControl/>
      </w:pPr>
      <w:r>
        <w:br w:type="page"/>
      </w:r>
    </w:p>
    <w:p>
      <w:pPr>
        <w:pStyle w:val="Heading1"/>
        <w:widowControl/>
        <w:pBdr>
          <w:bottom w:val="single" w:sz="5" w:space="3" w:color="B8C5D6"/>
        </w:pBdr>
      </w:pPr>
      <w:r>
        <w:t>2 新增了哪些模块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850"/>
        <w:gridCol w:w="3400"/>
        <w:gridCol w:w="4110"/>
      </w:tblGrid>
      <w:tr>
        <w:trPr>
          <w:tblHeader w:val="true"/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模块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主要功能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与其他模块怎么联动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主航路意图头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先判断 OA/OB1/OB2/OC 的大方向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输出主航路概率和 Embedding，约束子航路与解码器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子航路意图头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识别 Compact6，重点区分 OA 的三条中途分叉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输出子航路概率和 Embedding，条件化生成不同未来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层级约束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保证子航路与父航路尽量一致，同时避免父类错误完全屏蔽正确小类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根据主路置信度/可判别性动态调整约束强度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航路原型先验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把历史末端与训练集航路中心形态做距离和方向匹配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作为意图 logits 的几何先验，也给候选选择器提供贴合特征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可判别性模块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判断当前历史是否已经出现足够分支证据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可判别时允许硬选；不可判别时保留 Top-2/软概率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多候选条件解码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基础轨迹之外，分别按 6 个子航路 Embedding 生成候选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把单一平均轨迹扩展为 base + 6 条航路条件未来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候选选择器与校准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根据历史、概率、原型贴合和运动连续性从候选中选 1 条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验证集校准切换阈值，避免错误候选拖累基础轨迹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Qwen 离线语义教师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把船型、吃水、Destination、ETA 等可见上下文编码为 2048 维语义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经轻量编码器和门控融合到意图特征；缺失时自动退回纯运动模型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解耦尾部意图流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额外均衡采样小类，只更新意图相关模块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连续轨迹主流保持自然分布，降低小类增强导致总体 ADE/FDE 退化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Future-intent 教师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训练期用真实未来构建子航路形态原型，教历史表示理解未来分支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只作为训练监督；推理时完全移除真实未来输入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  <w:pBdr>
          <w:bottom w:val="single" w:sz="5" w:space="3" w:color="B8C5D6"/>
        </w:pBdr>
      </w:pPr>
      <w:r>
        <w:t>3 损失函数怎么分工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700"/>
        <w:gridCol w:w="3900"/>
        <w:gridCol w:w="37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损失组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包含内容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优化目标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基础回归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意图 MSE + 轨迹 MSE，使用 AutomaticWeightedLoss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保留原 iTentformer 的连续运动学习能力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地理与终点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Haversine Geo + FDE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直接降低 ADE，并加强 3 小时终点位置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运动连续性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Smooth + Circular COG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减少锯齿/折返，正确处理 0°/360° 航向跳变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层级意图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Route CE + Subroute Focal + sibling soft target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识别主/子航路，照顾难例和小类，缓解不可辨样本的矛盾硬标签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不确定性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Route/Subroute decidability BCE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学习何时可以硬选、何时应保留多个候选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表征分离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同父路监督式对比损失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拉近同子路表示，推远几何相近但未来分支不同的难负样本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尾部增强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Future-intent 对齐与小类均衡意图损失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强化稀有子路，但不直接扰动自然分布轨迹回归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候选选择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候选成本软分布 + 主选择交叉熵/成本回归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6"/>
              </w:rPr>
              <w:t>让最终选择器学会接近 Oracle 较优候选</w:t>
            </w:r>
          </w:p>
        </w:tc>
      </w:tr>
    </w:tbl>
    <w:p>
      <w:pPr>
        <w:widowControl/>
        <w:spacing w:after="40"/>
      </w:pPr>
    </w:p>
    <w:p>
      <w:pPr>
        <w:spacing w:before="100" w:after="140" w:line="283" w:lineRule="auto"/>
        <w:ind w:left="173" w:right="86"/>
        <w:shd w:fill="E8EEF5"/>
        <w:widowControl/>
        <w:pBdr>
          <w:left w:val="single" w:sz="12" w:space="6" w:color="2E74B5"/>
        </w:pBdr>
      </w:pPr>
      <w:r>
        <w:rPr>
          <w:rFonts w:ascii="Calibri" w:hAnsi="Calibri" w:eastAsia="Microsoft YaHei"/>
          <w:b/>
          <w:color w:val="2E74B5"/>
        </w:rPr>
        <w:t xml:space="preserve">总原则  </w:t>
      </w:r>
      <w:r>
        <w:rPr>
          <w:rFonts w:ascii="Calibri" w:hAnsi="Calibri" w:eastAsia="Microsoft YaHei"/>
          <w:color w:val="243042"/>
        </w:rPr>
        <w:t>连续轨迹损失负责“怎么走”，航路意图损失负责“往哪条路走”，可判别性负责“现在能不能确定”，候选选择损失负责“多条未来中最后输出哪一条”。</w:t>
      </w:r>
    </w:p>
    <w:p>
      <w:pPr>
        <w:pStyle w:val="Heading1"/>
        <w:widowControl/>
        <w:pBdr>
          <w:bottom w:val="single" w:sz="5" w:space="3" w:color="B8C5D6"/>
        </w:pBdr>
      </w:pPr>
      <w:r>
        <w:t>4 这些模块怎么联动</w:t>
      </w:r>
    </w:p>
    <w:p>
      <w:pPr>
        <w:pStyle w:val="Heading2"/>
        <w:widowControl/>
      </w:pPr>
      <w:r>
        <w:t>4.1 训练流程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150"/>
        <w:gridCol w:w="4300"/>
        <w:gridCol w:w="3910"/>
      </w:tblGrid>
      <w:tr>
        <w:trPr>
          <w:tblHeader w:val="true"/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阶段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做什么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输出/交给谁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自然分布轨迹窗口进入 TCN + Transformer 共享编码器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得到连续运动历史表示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Qwen 语义侧车按时间对齐，经轻量编码器和置信门控融合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补充船型/吃水/目的地等弱意图证据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主航路头、子航路头、原型先验和可判别性头联合学习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得到层级航路概率和是否可硬选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航路概率映射为 Embedding，条件化轨迹解码器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生成基础轨迹与 6 条子航路候选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真实未来只在训练期计算轨迹误差、future-intent 和候选优胜标签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监督生成器、意图表征和选择器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均衡尾部流额外抽取小类窗口，但只更新意图相关参数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增强小类识别，同时保护总体轨迹质量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7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验证集校准硬选阈值、候选切换阈值和早停模型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固定可部署的推理规则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4.2 推理流程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150"/>
        <w:gridCol w:w="4300"/>
        <w:gridCol w:w="3910"/>
      </w:tblGrid>
      <w:tr>
        <w:trPr>
          <w:tblHeader w:val="true"/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阶段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做什么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输出/交给谁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输入最近 3 小时 AIS 和预测时刻之前已知的航次语义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不读取真实航路标签和未来轨迹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预测主/子航路概率与可判别性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证据足则硬路由，证据不足保留 Top-2/软概率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基础解码器和航路条件解码器生成 3 小时候选轨迹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形成 base + 6 候选池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选择器评分，校准规则决定是否从基础轨迹切换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最终只输出一条主预测，同时保留多候选评估指标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  <w:pBdr>
          <w:bottom w:val="single" w:sz="5" w:space="3" w:color="B8C5D6"/>
        </w:pBdr>
      </w:pPr>
      <w:r>
        <w:t>5 当前启用状态与记忆要点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2400"/>
        <w:gridCol w:w="1700"/>
        <w:gridCol w:w="52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当前状态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记忆方式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连续轨迹主干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启用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原始 iTentformer 核心，负责位置/速度/航向回归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层级主/子航路 + 原型 + 可判别性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启用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负责意图、分支和不确定性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全子航路候选池 + 选择器校准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启用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负责多模态候选与最终 Top-1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Qwen semantic teacher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启用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离线语义编码，不在线直接生成经纬度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Qwen 训练后 reranker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停用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之前验证增益不足，当前不参与最终结果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解耦尾部意图流 + future-intent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启用（v14）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54" w:lineRule="auto"/>
            </w:pPr>
            <w:r>
              <w:rPr>
                <w:rFonts w:ascii="Calibri" w:hAnsi="Calibri" w:eastAsia="Microsoft YaHei"/>
                <w:color w:val="243042"/>
                <w:sz w:val="17"/>
              </w:rPr>
              <w:t>小类增强与总体轨迹回归分开优化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  <w:pBdr>
          <w:bottom w:val="single" w:sz="5" w:space="3" w:color="B8C5D6"/>
        </w:pBdr>
      </w:pPr>
      <w:r>
        <w:t>6 以后写创新点时可以怎么概括</w:t>
      </w:r>
    </w:p>
    <w:p>
      <w:pPr>
        <w:spacing w:before="100" w:after="140" w:line="283" w:lineRule="auto"/>
        <w:ind w:left="173" w:right="86"/>
        <w:shd w:fill="E7F2ED"/>
        <w:widowControl/>
        <w:pBdr>
          <w:left w:val="single" w:sz="12" w:space="6" w:color="2A7F62"/>
        </w:pBdr>
      </w:pPr>
      <w:r>
        <w:rPr>
          <w:rFonts w:ascii="Calibri" w:hAnsi="Calibri" w:eastAsia="Microsoft YaHei"/>
          <w:b/>
          <w:color w:val="2A7F62"/>
        </w:rPr>
        <w:t xml:space="preserve">创新主线  </w:t>
      </w:r>
      <w:r>
        <w:rPr>
          <w:rFonts w:ascii="Calibri" w:hAnsi="Calibri" w:eastAsia="Microsoft YaHei"/>
          <w:color w:val="243042"/>
        </w:rPr>
        <w:t>在 iTentformer 连续轨迹主干上，引入层级航路意图、历史可判别性和校准多候选预测，使模型在分叉信息不足时保留不确定性，在意图证据出现后再收敛到条件轨迹；并通过解耦双流兼顾总体回归与稀有子路增强。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数据层：从 DMA 超大 ZIP 到清洗、统一采样、方向归一、主/子航路标签和无泄漏固定划分。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模型层：主/子航路意图头、航路原型、层级约束、可判别性门控、多候选条件解码和校准选择。</w:t>
      </w:r>
    </w:p>
    <w:p>
      <w:pPr>
        <w:spacing w:after="100" w:line="300" w:lineRule="auto"/>
        <w:ind w:left="230" w:right="43"/>
        <w:widowControl/>
        <w:pBdr>
          <w:left w:val="single" w:sz="5" w:space="4" w:color="B7C7D8"/>
        </w:pBdr>
      </w:pPr>
      <w:r>
        <w:rPr>
          <w:rFonts w:ascii="Calibri" w:hAnsi="Calibri" w:eastAsia="Microsoft YaHei"/>
        </w:rPr>
        <w:t>语义层：Qwen 作为标签无关、时间因果对齐的离线航次语义教师，而不是坐标生成器。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57184"/>
        <w:sz w:val="17"/>
      </w:rPr>
      <w:t xml:space="preserve">内部技术文档  ·  </w:t>
    </w:r>
    <w:r>
      <w:rPr>
        <w:rFonts w:ascii="Calibri" w:hAnsi="Calibri" w:eastAsia="Microsoft YaHei"/>
        <w:color w:val="657184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2" w:color="CAD2DD"/>
      </w:pBdr>
    </w:pPr>
    <w:r>
      <w:rPr>
        <w:rFonts w:ascii="Calibri" w:hAnsi="Calibri" w:eastAsia="Microsoft YaHei"/>
        <w:color w:val="657184"/>
        <w:sz w:val="17"/>
      </w:rPr>
      <w:t>iTentformer 改进说明  |  论文创新点素材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0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76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24304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 w:line="276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57184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color w:val="24304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ompact">
    <w:name w:val="Caption Compact"/>
    <w:pPr>
      <w:keepNext/>
      <w:spacing w:before="80" w:after="80" w:line="276" w:lineRule="auto"/>
    </w:pPr>
    <w:rPr>
      <w:rFonts w:ascii="Calibri" w:hAnsi="Calibri" w:eastAsia="Microsoft YaHei"/>
      <w:color w:val="657184"/>
      <w:sz w:val="18"/>
    </w:rPr>
  </w:style>
  <w:style w:type="paragraph" w:customStyle="1" w:styleId="CodeBlock">
    <w:name w:val="Code Block"/>
    <w:pPr>
      <w:spacing w:before="60" w:after="100" w:line="252" w:lineRule="auto"/>
      <w:ind w:left="259" w:right="259"/>
    </w:pPr>
    <w:rPr>
      <w:rFonts w:ascii="Consolas" w:hAnsi="Consolas" w:eastAsia="Microsoft YaHei"/>
      <w:color w:val="243042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iTentformer 新增模块与联动速记</dc:title>
  <dc:subject>数据处理、模块、损失与联动关系速查</dc:subject>
  <dc:creator>python-docx</dc:creator>
  <cp:keywords>iTentformer, DMA, route intent, subroute, Qwen, quick notes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