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  <w:widowControl/>
        <w:pBdr>
          <w:bottom w:val="single" w:sz="10" w:space="7" w:color="2E74B5"/>
        </w:pBdr>
      </w:pPr>
      <w:r>
        <w:rPr>
          <w:rFonts w:ascii="Calibri" w:hAnsi="Calibri" w:eastAsia="Microsoft YaHei"/>
          <w:b/>
          <w:color w:val="2E74B5"/>
          <w:sz w:val="18"/>
        </w:rPr>
        <w:t>TECHNICAL REFERENCE  ·  V14</w:t>
      </w:r>
    </w:p>
    <w:p>
      <w:pPr>
        <w:pStyle w:val="Title"/>
        <w:widowControl/>
        <w:spacing w:before="680"/>
        <w:jc w:val="center"/>
      </w:pPr>
      <w:r>
        <w:rPr>
          <w:rFonts w:ascii="Calibri" w:hAnsi="Calibri" w:eastAsia="Microsoft YaHei"/>
          <w:b/>
          <w:color w:val="243042"/>
          <w:sz w:val="56"/>
        </w:rPr>
        <w:t>iTentformer 丹麦 DMA 数据处理</w:t>
        <w:br/>
        <w:t>与模型创新改动说明</w:t>
      </w:r>
    </w:p>
    <w:p>
      <w:pPr>
        <w:pStyle w:val="Subtitle"/>
        <w:widowControl/>
        <w:jc w:val="center"/>
      </w:pPr>
      <w:r>
        <w:rPr>
          <w:rFonts w:ascii="Calibri" w:hAnsi="Calibri" w:eastAsia="Microsoft YaHei"/>
          <w:color w:val="657184"/>
          <w:sz w:val="26"/>
        </w:rPr>
        <w:t>面向论文方法、创新点、实验设计与消融分析的内部技术文档</w:t>
      </w:r>
    </w:p>
    <w:p>
      <w:pPr>
        <w:widowControl/>
        <w:spacing w:before="1080" w:after="160"/>
        <w:jc w:val="center"/>
      </w:pPr>
      <w:r>
        <w:rPr>
          <w:rFonts w:ascii="Calibri" w:hAnsi="Calibri" w:eastAsia="Microsoft YaHei"/>
          <w:b/>
          <w:color w:val="657184"/>
          <w:sz w:val="18"/>
        </w:rPr>
        <w:t>数据范围</w:t>
      </w:r>
      <w:r>
        <w:rPr>
          <w:rFonts w:ascii="Calibri" w:hAnsi="Calibri" w:eastAsia="Microsoft YaHei"/>
          <w:color w:val="243042"/>
          <w:sz w:val="21"/>
        </w:rPr>
        <w:t xml:space="preserve">  DMA 2023-06 / 07 / 08</w:t>
      </w:r>
    </w:p>
    <w:p>
      <w:pPr>
        <w:widowControl/>
        <w:jc w:val="center"/>
      </w:pPr>
      <w:r>
        <w:rPr>
          <w:rFonts w:ascii="Calibri" w:hAnsi="Calibri" w:eastAsia="Microsoft YaHei"/>
          <w:b/>
          <w:color w:val="657184"/>
          <w:sz w:val="18"/>
        </w:rPr>
        <w:t>当前实验</w:t>
      </w:r>
      <w:r>
        <w:rPr>
          <w:rFonts w:ascii="Calibri" w:hAnsi="Calibri" w:eastAsia="Microsoft YaHei"/>
          <w:color w:val="243042"/>
          <w:sz w:val="21"/>
        </w:rPr>
        <w:t xml:space="preserve">  fixed 70/10/20 · history 3 h · prediction 3 h</w:t>
      </w:r>
    </w:p>
    <w:p>
      <w:pPr>
        <w:widowControl/>
        <w:jc w:val="center"/>
      </w:pPr>
      <w:r>
        <w:rPr>
          <w:rFonts w:ascii="Calibri" w:hAnsi="Calibri" w:eastAsia="Microsoft YaHei"/>
          <w:b/>
          <w:color w:val="657184"/>
          <w:sz w:val="18"/>
        </w:rPr>
        <w:t>核对日期</w:t>
      </w:r>
      <w:r>
        <w:rPr>
          <w:rFonts w:ascii="Calibri" w:hAnsi="Calibri" w:eastAsia="Microsoft YaHei"/>
          <w:color w:val="243042"/>
          <w:sz w:val="21"/>
        </w:rPr>
        <w:t xml:space="preserve">  2026-07-17</w:t>
      </w:r>
    </w:p>
    <w:p>
      <w:pPr>
        <w:widowControl/>
        <w:spacing w:before="1100"/>
        <w:jc w:val="center"/>
      </w:pPr>
      <w:r>
        <w:rPr>
          <w:rFonts w:ascii="Calibri" w:hAnsi="Calibri" w:eastAsia="Microsoft YaHei"/>
          <w:color w:val="657184"/>
          <w:sz w:val="18"/>
        </w:rPr>
        <w:t>依据当前代码、配置、数据报告及 v13/v14 日志整理</w:t>
      </w:r>
    </w:p>
    <w:p>
      <w:pPr>
        <w:widowControl/>
        <w:jc w:val="center"/>
      </w:pPr>
      <w:r>
        <w:rPr>
          <w:rFonts w:ascii="Calibri" w:hAnsi="Calibri" w:eastAsia="Microsoft YaHei"/>
          <w:b/>
          <w:color w:val="A23E3E"/>
          <w:sz w:val="18"/>
        </w:rPr>
        <w:t>创新性结论仍需通过消融实验、多随机种子与对比模型验证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5" w:space="3" w:color="B8C5D6"/>
        </w:pBdr>
      </w:pPr>
      <w:r>
        <w:t>使用说明</w:t>
      </w:r>
    </w:p>
    <w:p>
      <w:pPr>
        <w:spacing w:before="100" w:after="140" w:line="283" w:lineRule="auto"/>
        <w:ind w:left="173" w:right="86"/>
        <w:shd w:fill="E8EEF5"/>
        <w:widowControl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文档定位  </w:t>
      </w:r>
      <w:r>
        <w:rPr>
          <w:rFonts w:ascii="Calibri" w:hAnsi="Calibri" w:eastAsia="Microsoft YaHei"/>
          <w:color w:val="243042"/>
        </w:rPr>
        <w:t>这是一份“代码事实 + 实验事实 + 论文写作素材”的合并说明。可直接作为方法章节提纲，但不能把尚未完成的消融结论写成已经证实的性能提升。</w:t>
      </w:r>
    </w:p>
    <w:p>
      <w:pPr>
        <w:widowControl/>
      </w:pPr>
      <w:r>
        <w:rPr>
          <w:rFonts w:ascii="Calibri" w:hAnsi="Calibri" w:eastAsia="Microsoft YaHei"/>
        </w:rPr>
        <w:t>本文把改动划分为四个层次：数据与标签、模型结构、损失与训练策略、推理与评估。每项都注明它解决的问题、与其他模块的依赖关系，以及当前是否启用。</w:t>
      </w:r>
    </w:p>
    <w:p>
      <w:pPr>
        <w:pStyle w:val="Heading2"/>
        <w:widowControl/>
      </w:pPr>
      <w:r>
        <w:t>内容导航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基线骨架与版本演进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DMA 原始数据处理与质量控制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主航路与子航路标签构建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当前 v14 整体架构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新增模块及其作用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损失函数与优化目标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训练与推理的联动流程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千问语义辅助的正确定位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当前实验配置与复现边界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v13/v14 结果与问题诊断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可直接改写的论文创新点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建议消融实验与论文证据链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代码文件与复现命令索引</w:t>
      </w:r>
    </w:p>
    <w:p>
      <w:pPr>
        <w:pStyle w:val="Heading2"/>
        <w:widowControl/>
      </w:pPr>
      <w:r>
        <w:t>核心结论先读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当前系统仍以原始 iTentformer 的 TCN 局部意图编码和 Transformer 轨迹解码为主干，没有把 Qwen 当作经纬度生成器。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真正启用的千问方案是离线语义教师：把预测时刻之前可见的船型、吃水、Destination、ETA 等上下文编码成 2048 维向量，再由轻量门控模块融合。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航路标签只作为训练监督，不会在推理时把真实类别直接喂给模型；训练期真实未来只用于 future-intent 教师和候选优胜监督。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v14 相比 v13 的主要新增是解耦双流的小类训练与未来意图原型；固定划分下 ADE 改善 54.91 m，但 FDE 改善仅 9.94 m，属于小幅而非突破性提升。</w:t>
      </w:r>
    </w:p>
    <w:p>
      <w:pPr>
        <w:pStyle w:val="Heading1"/>
        <w:widowControl/>
        <w:pBdr>
          <w:bottom w:val="single" w:sz="5" w:space="3" w:color="B8C5D6"/>
        </w:pBdr>
      </w:pPr>
      <w:r>
        <w:t>1 基线骨架与版本演进</w:t>
      </w:r>
    </w:p>
    <w:p>
      <w:pPr>
        <w:pStyle w:val="Heading2"/>
        <w:widowControl/>
      </w:pPr>
      <w:r>
        <w:t>1.1 保留的原始核心</w:t>
      </w:r>
    </w:p>
    <w:p>
      <w:pPr>
        <w:widowControl/>
      </w:pPr>
      <w:r>
        <w:rPr>
          <w:rFonts w:ascii="Calibri" w:hAnsi="Calibri" w:eastAsia="Microsoft YaHei"/>
        </w:rPr>
        <w:t>当前代码不是推倒重写。原始 iTentformer 的核心仍被保留，并作为所有新增模块共享的预测主干：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TCN 从历史 AIS 运动特征中抽取局部意图表示；TemporalBlock 中保留残差和通道注意机制。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TransformerEncoder 对历史序列进行时序编码，FusionBlock 将时序表示与局部意图融合。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轨迹输出维度仍为 [COG, Lon, Lat, SOG]，当前采用 residual_linear，让网络学习相对线性外推基线的残差。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AutomaticWeightedLoss 继续联合基础意图回归 MSE 与轨迹回归 MSE，其余地理、分类、平滑与候选损失在此基础上叠加。</w:t>
      </w:r>
    </w:p>
    <w:p>
      <w:pPr>
        <w:pStyle w:val="Heading2"/>
        <w:widowControl/>
      </w:pPr>
      <w:r>
        <w:t>1.2 版本演进主线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  主要改动的演进关系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2550"/>
        <w:gridCol w:w="3710"/>
        <w:gridCol w:w="200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主要变化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要解决的问题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基础复现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动态预测长度、日志、ADE/FDE、轨迹图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先保证可训练、可检查、可解释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航路感知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主航路/子航路头、Embedding、层级约束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多条航路混合导致平均化预测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启用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不确定性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可判别性监督、Top-2、温度校准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分叉前历史不可区分却被强制硬选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启用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多候选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全子航路候选池、候选生成、选择器、验证校准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Top-1 选错后无法恢复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启用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语义辅助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Qwen 离线语义教师 + 门控融合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纯运动历史缺少目的与船舶属性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启用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尾部增强 v14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解耦双流 + future-intent 原型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小类增强与总体轨迹误差互相冲突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启用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旧 Qwen 重排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训练后加载 Qwen3-1.7B 重排候选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试图在线纠正候选选择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停用；仅供消融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FFF3D6"/>
        <w:widowControl/>
        <w:pBdr>
          <w:left w:val="single" w:sz="12" w:space="6" w:color="B07A19"/>
        </w:pBdr>
      </w:pPr>
      <w:r>
        <w:rPr>
          <w:rFonts w:ascii="Calibri" w:hAnsi="Calibri" w:eastAsia="Microsoft YaHei"/>
          <w:b/>
          <w:color w:val="B07A19"/>
        </w:rPr>
        <w:t xml:space="preserve">写作边界  </w:t>
      </w:r>
      <w:r>
        <w:rPr>
          <w:rFonts w:ascii="Calibri" w:hAnsi="Calibri" w:eastAsia="Microsoft YaHei"/>
          <w:color w:val="243042"/>
        </w:rPr>
        <w:t>论文中应写“在 iTentformer 骨架上引入层级航路意图和不确定性感知的多候选预测”，不要写成“Qwen 直接生成船舶未来坐标”。</w:t>
      </w:r>
    </w:p>
    <w:p>
      <w:pPr>
        <w:pStyle w:val="Heading1"/>
        <w:widowControl/>
        <w:pBdr>
          <w:bottom w:val="single" w:sz="5" w:space="3" w:color="B8C5D6"/>
        </w:pBdr>
      </w:pPr>
      <w:r>
        <w:t>2 DMA 原始数据处理与质量控制</w:t>
      </w:r>
    </w:p>
    <w:p>
      <w:pPr>
        <w:pStyle w:val="Heading2"/>
        <w:widowControl/>
      </w:pPr>
      <w:r>
        <w:t>2.1 数据来源与大文件处理</w:t>
      </w:r>
    </w:p>
    <w:p>
      <w:pPr>
        <w:widowControl/>
      </w:pPr>
      <w:r>
        <w:rPr>
          <w:rFonts w:ascii="Calibri" w:hAnsi="Calibri" w:eastAsia="Microsoft YaHei"/>
        </w:rPr>
        <w:t>原始数据来自 DMA 2023 年 6、7、8 月 AIS ZIP。预处理脚本直接读取 ZIP 内 CSV，不需要完整解压；数据分块后写入 SQLite 中间库，再按 MMSI 和时间排序构建轨迹。这一设计适合每月几十 GB、数亿行的原始文件。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2  三个月数据规模与筛选结果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2000"/>
        <w:gridCol w:w="2250"/>
        <w:gridCol w:w="1800"/>
        <w:gridCol w:w="201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月份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原始 AIS 行数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ROI/船型等筛选后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全区域标准轨迹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最终入选四类轨迹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2023-06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463,337,577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26,106,442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4,037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1,574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2023-07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382,846,071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23,823,872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4,018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1,680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2023-08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374,301,516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22,894,894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3,977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1,600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合计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约 1.22 billion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约 72.83 million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12,032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4,854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E7F2ED"/>
        <w:widowControl/>
        <w:pBdr>
          <w:left w:val="single" w:sz="12" w:space="6" w:color="2A7F62"/>
        </w:pBdr>
      </w:pPr>
      <w:r>
        <w:rPr>
          <w:rFonts w:ascii="Calibri" w:hAnsi="Calibri" w:eastAsia="Microsoft YaHei"/>
          <w:b/>
          <w:color w:val="2A7F62"/>
        </w:rPr>
        <w:t xml:space="preserve">可复现优势  </w:t>
      </w:r>
      <w:r>
        <w:rPr>
          <w:rFonts w:ascii="Calibri" w:hAnsi="Calibri" w:eastAsia="Microsoft YaHei"/>
          <w:color w:val="243042"/>
        </w:rPr>
        <w:t>ZIP 流式扫描、SQLite 暂存和 --resume 分阶段构建，使全量扫描与路线重分类解耦。只要中间库存在，调整航路门限时无需重新读取几十 GB ZIP。</w:t>
      </w:r>
    </w:p>
    <w:p>
      <w:pPr>
        <w:pStyle w:val="Heading2"/>
        <w:widowControl/>
      </w:pPr>
      <w:r>
        <w:t>2.2 论文对齐与异常清洗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3  当前 DMA 清洗与标准化流程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3650"/>
        <w:gridCol w:w="386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步骤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当前规则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空间与船型过滤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55.5–58.0°N，10.3–13.0°E；Class A；Cargo/Tanker/Container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限定论文研究海域和相近船型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基础合法性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9 位 MMSI；时间/经纬度有效；COG∈[0,360)；SOG≥1 kn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去除空值、无效标识和静止点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轨迹切分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相邻时间间隔 TG &gt; 300 s 时切段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避免把中断后的航次错误拼接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漂移点剔除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相邻地理速度 VE &gt; 30 kn 时删除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抑制 AIS 跳点和不合理位移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最小原始长度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每段至少 100 个原始点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排除证据不足的短段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时间重采样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ΔT = 900 s（15 min）线性插值；至少 20 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统一模型时间尺度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运动派生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vx/vy、环形 ΔCOG、位置/速度一阶差分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显式提供转向与运动趋势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2.3 模型 15 列输入格式</w:t>
      </w:r>
    </w:p>
    <w:p>
      <w:pPr>
        <w:pStyle w:val="CodeBlock"/>
        <w:shd w:fill="F3F5F7"/>
        <w:widowControl/>
        <w:pBdr>
          <w:left w:val="single" w:sz="8" w:space="5" w:color="9AA8BA"/>
        </w:pBdr>
      </w:pPr>
      <w:r>
        <w:rPr>
          <w:rFonts w:ascii="Consolas" w:hAnsi="Consolas" w:eastAsia="Microsoft YaHei"/>
          <w:sz w:val="17"/>
        </w:rPr>
        <w:t>[MMSI, Length, Course, Lon, Lat, SOG, vx, vy,</w:t>
      </w:r>
      <w:r>
        <w:br/>
      </w:r>
      <w:r>
        <w:rPr>
          <w:rFonts w:ascii="Consolas" w:hAnsi="Consolas" w:eastAsia="Microsoft YaHei"/>
          <w:sz w:val="17"/>
        </w:rPr>
        <w:t xml:space="preserve"> delta_Course, delta_Lon, delta_Lat, delta_SOG,</w:t>
      </w:r>
      <w:r>
        <w:br/>
      </w:r>
      <w:r>
        <w:rPr>
          <w:rFonts w:ascii="Consolas" w:hAnsi="Consolas" w:eastAsia="Microsoft YaHei"/>
          <w:sz w:val="17"/>
        </w:rPr>
        <w:t xml:space="preserve"> delta_vx, delta_vy, UnixTime]</w:t>
      </w:r>
    </w:p>
    <w:p>
      <w:pPr>
        <w:widowControl/>
      </w:pPr>
      <w:r>
        <w:rPr>
          <w:rFonts w:ascii="Calibri" w:hAnsi="Calibri" w:eastAsia="Microsoft YaHei"/>
        </w:rPr>
        <w:t>Length 不是简单把缺失值全部固定为零：预处理时优先使用同一轨迹中有效船长的中位数，仅当该轨迹没有任何有效船长时才回退到 default_length=0。训练主干实际使用运动相关列，MMSI/时间用于分组、切分和上下文对齐。</w:t>
      </w:r>
    </w:p>
    <w:p>
      <w:pPr>
        <w:pStyle w:val="Heading2"/>
        <w:widowControl/>
      </w:pPr>
      <w:r>
        <w:t>2.4 质量检查结果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合并数据共 4,854 条轨迹、289,794 个点；轨迹长度 25/59.70/153（最小/均值/最大）。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所有点的时间步长均为 900 s；无非有限值、无非单调时间轨迹。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报告 SOG 均不超过 30 kn；地理推算速度 &gt;30 kn 仅剩 4 个片段点、涉及 1 条轨迹，属于后续仍可复核的边缘异常。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最终经纬度范围与 ROI 一致，且三个月的路线比例整体稳定。</w:t>
      </w:r>
    </w:p>
    <w:p>
      <w:pPr>
        <w:pStyle w:val="Heading1"/>
        <w:widowControl/>
        <w:pBdr>
          <w:bottom w:val="single" w:sz="5" w:space="3" w:color="B8C5D6"/>
        </w:pBdr>
      </w:pPr>
      <w:r>
        <w:t>3 主航路与子航路标签构建</w:t>
      </w:r>
    </w:p>
    <w:p>
      <w:pPr>
        <w:pStyle w:val="Heading2"/>
        <w:widowControl/>
      </w:pPr>
      <w:r>
        <w:t>3.1 主航路空间门限</w:t>
      </w:r>
    </w:p>
    <w:p>
      <w:pPr>
        <w:widowControl/>
      </w:pPr>
      <w:r>
        <w:rPr>
          <w:rFonts w:ascii="Calibri" w:hAnsi="Calibri" w:eastAsia="Microsoft YaHei"/>
        </w:rPr>
        <w:t>论文没有公开 Ti/O/A/B1/B2 的精确多边形坐标，因此当前门限是根据论文图近似数字化并保留为可配置参数。这一点必须在论文中透明说明。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4  当前主航路区域门限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1850"/>
        <w:gridCol w:w="1850"/>
        <w:gridCol w:w="456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区域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经度范围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纬度范围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路线角色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10.30–11.10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57.35–57.85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北部公共起始区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Ti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11.65–12.10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56.45–56.85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关键分岔/过渡区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12.10–12.75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55.90–56.35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东南终点区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B1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11.20–11.90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56.05–56.35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中南终点区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B2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10.95–11.65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56.30–56.65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中西终点区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C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10.35–11.20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55.65–56.15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西侧竖向典型路线终点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Calibri" w:hAnsi="Calibri" w:eastAsia="Microsoft YaHei"/>
        </w:rPr>
        <w:t>主航路判定采用 endpoint_policy=last_hit；保留 O→C 直达路线；A/B/C→O 等反向轨迹通过 reverse_mode=normalize 翻转到统一 O→终点方向，并重新计算航向和运动差分。最终类别为 OA、OB1、OB2、OC。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5  三个月合并后的主航路分布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1300"/>
        <w:gridCol w:w="1300"/>
        <w:gridCol w:w="53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主航路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轨迹数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占比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1,498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30.9%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唯一保留三条中途子分支的大类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2,188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45.1%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最大类，易形成先验偏置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643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13.2%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相对少，当前识别仍偏弱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10.8%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西侧竖向典型航路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3.2 子航路聚类与中途分叉</w:t>
      </w:r>
    </w:p>
    <w:p>
      <w:pPr>
        <w:widowControl/>
      </w:pPr>
      <w:r>
        <w:rPr>
          <w:rFonts w:ascii="Calibri" w:hAnsi="Calibri" w:eastAsia="Microsoft YaHei"/>
        </w:rPr>
        <w:t>子航路不只看起点和终点。utils/discover_subroutes.py 将整条轨迹重采样到 32 点，融合绝对形态、相对形态和运动特征，并对 OA 的中段分岔窗口加权，使“中途分开、后面再汇聚”的航线仍能被区分。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OA 强制细分为 3 类，用来保留已人工核查的三条中途分叉路线。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最小子类规模设为 40，避免产生只有几条轨迹的噪声类。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原始聚类得到 11 类，但 OB1、OB2、OC 的若干细分主要由覆盖长度和端点截断造成，不具备稳定的分支语义。</w:t>
      </w:r>
    </w:p>
    <w:p>
      <w:pPr>
        <w:pStyle w:val="Heading2"/>
        <w:widowControl/>
      </w:pPr>
      <w:r>
        <w:t>3.3 Compact6 精简标签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6  当前 Compact6 子航路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300"/>
        <w:gridCol w:w="1900"/>
        <w:gridCol w:w="1200"/>
        <w:gridCol w:w="49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父航路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最终子航路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轨迹数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处理依据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OA_S00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159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保留：已确认的中途分叉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OA_S01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713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保留：已确认的中途分叉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OA_S02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626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保留：已确认的中途分叉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OB1_S00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2,188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合并原 2 类，减少截断型伪分支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OB2_S00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643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合并原 2 类，减少极小样本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OC_S00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525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合并原 4 类，避免覆盖长度主导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FFF3D6"/>
        <w:widowControl/>
        <w:pBdr>
          <w:left w:val="single" w:sz="12" w:space="6" w:color="B07A19"/>
        </w:pBdr>
      </w:pPr>
      <w:r>
        <w:rPr>
          <w:rFonts w:ascii="Calibri" w:hAnsi="Calibri" w:eastAsia="Microsoft YaHei"/>
          <w:b/>
          <w:color w:val="B07A19"/>
        </w:rPr>
        <w:t xml:space="preserve">重要解释  </w:t>
      </w:r>
      <w:r>
        <w:rPr>
          <w:rFonts w:ascii="Calibri" w:hAnsi="Calibri" w:eastAsia="Microsoft YaHei"/>
          <w:color w:val="243042"/>
        </w:rPr>
        <w:t>Compact6 中 OB1、OB2、OC 各只有一个子类，所以“子航路准确率”对这三类本质上接近父航路识别；真正需要学习细粒度中途分岔的是 OA_S00/S01/S02。</w:t>
      </w:r>
    </w:p>
    <w:p>
      <w:pPr>
        <w:pStyle w:val="Heading2"/>
        <w:widowControl/>
      </w:pPr>
      <w:r>
        <w:t>3.4 标签不泄漏原则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完整轨迹可用于离线生成训练标签和训练集原型，但验证/测试原型不得参与训练构建。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推理输入中不包含真实 route_id 或 subroute_id；分类头只能从历史窗口和可见上下文估计概率。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训练时注入真实标签的 teacher forcing 从 0.7 逐步衰减到 0.1，减少训练与推理不一致。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不可判别样本不应被强迫成单一硬标签，而采用低硬标签权重、兄弟子路软分布或 Top-2 候选。</w:t>
      </w:r>
    </w:p>
    <w:p>
      <w:pPr>
        <w:pStyle w:val="Heading1"/>
        <w:widowControl/>
        <w:pBdr>
          <w:bottom w:val="single" w:sz="5" w:space="3" w:color="B8C5D6"/>
        </w:pBdr>
      </w:pPr>
      <w:r>
        <w:t>4 当前 v14 整体架构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3272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ompact"/>
        <w:widowControl/>
        <w:jc w:val="center"/>
      </w:pPr>
      <w:r>
        <w:rPr>
          <w:rFonts w:ascii="Calibri" w:hAnsi="Calibri" w:eastAsia="Microsoft YaHei"/>
          <w:color w:val="657184"/>
          <w:sz w:val="18"/>
        </w:rPr>
        <w:t>图 1  当前 v14 的数值轨迹、语义教师、层级意图与多候选预测联动</w:t>
      </w:r>
    </w:p>
    <w:p>
      <w:pPr>
        <w:pStyle w:val="Heading2"/>
        <w:widowControl/>
      </w:pPr>
      <w:r>
        <w:t>4.1 数值历史编码</w:t>
      </w:r>
    </w:p>
    <w:p>
      <w:pPr>
        <w:widowControl/>
      </w:pPr>
      <w:r>
        <w:rPr>
          <w:rFonts w:ascii="Calibri" w:hAnsi="Calibri" w:eastAsia="Microsoft YaHei"/>
        </w:rPr>
        <w:t>历史窗口为 13 个点。由于 DMA 每 15 分钟一个点，13 点首尾跨 12 个间隔，即 3 小时。TCN 的输入包含位置、速度、航向以及一阶变化量，意图摘要采用 mean_last_delta：历史均值、最后时刻和首尾变化三种证据拼接。</w:t>
      </w:r>
    </w:p>
    <w:p>
      <w:pPr>
        <w:pStyle w:val="Heading2"/>
        <w:widowControl/>
      </w:pPr>
      <w:r>
        <w:t>4.2 语义旁路</w:t>
      </w:r>
    </w:p>
    <w:p>
      <w:pPr>
        <w:widowControl/>
      </w:pPr>
      <w:r>
        <w:rPr>
          <w:rFonts w:ascii="Calibri" w:hAnsi="Calibri" w:eastAsia="Microsoft YaHei"/>
        </w:rPr>
        <w:t>每个窗口按结束时刻对齐已知航次上下文，取对应的 Qwen 2048 维离线向量。轻量语义编码器将其映射到主干意图维度，再通过 sigmoid 门控以 0.25 的上限权重残差融合；缺失上下文为零向量，自动回退到纯运动模型。</w:t>
      </w:r>
    </w:p>
    <w:p>
      <w:pPr>
        <w:pStyle w:val="Heading2"/>
        <w:widowControl/>
      </w:pPr>
      <w:r>
        <w:t>4.3 分层航路意图</w:t>
      </w:r>
    </w:p>
    <w:p>
      <w:pPr>
        <w:widowControl/>
      </w:pPr>
      <w:r>
        <w:rPr>
          <w:rFonts w:ascii="Calibri" w:hAnsi="Calibri" w:eastAsia="Microsoft YaHei"/>
        </w:rPr>
        <w:t>主航路头输出 4 类概率，子航路头输出 Compact6 概率。两者分别映射为 16 维 Embedding 并反馈给轨迹解码器。主航路概率通过父子掩码约束子航路，但当主航路置信度或可判别性不足时，层级约束会降到最小 0.15，避免大类错误把正确小类彻底屏蔽。</w:t>
      </w:r>
    </w:p>
    <w:p>
      <w:pPr>
        <w:pStyle w:val="Heading2"/>
        <w:widowControl/>
      </w:pPr>
      <w:r>
        <w:t>4.4 可判别性与航路原型</w:t>
      </w:r>
    </w:p>
    <w:p>
      <w:pPr>
        <w:widowControl/>
      </w:pPr>
      <w:r>
        <w:rPr>
          <w:rFonts w:ascii="Calibri" w:hAnsi="Calibri" w:eastAsia="Microsoft YaHei"/>
        </w:rPr>
        <w:t>每个主/子航路原型只由当前训练集轨迹构建，统一重采样为 32 点。模型根据历史末端到原型的距离、方向一致性和分类概率估计当前是否已经具备分支判断依据。可判别时允许硬选择；不可判别时保留 Top-2 或平滑概率。</w:t>
      </w:r>
    </w:p>
    <w:p>
      <w:pPr>
        <w:pStyle w:val="Heading2"/>
        <w:widowControl/>
      </w:pPr>
      <w:r>
        <w:t>4.5 多候选生成与最终选择</w:t>
      </w:r>
    </w:p>
    <w:p>
      <w:pPr>
        <w:widowControl/>
      </w:pPr>
      <w:r>
        <w:rPr>
          <w:rFonts w:ascii="Calibri" w:hAnsi="Calibri" w:eastAsia="Microsoft YaHei"/>
        </w:rPr>
        <w:t>当前 Compact6 采用 all_subroutes 候选池：基础预测之外，为 6 个子航路分别注入父/子航路 Embedding 并生成候选，共形成 Oracle@7 的评价空间。选择器读取历史意图、候选类别 Embedding、候选概率、运动连续性和原型距离等特征，训练时用真实未来计算候选成本作为监督，推理时不读取真实未来。</w:t>
      </w:r>
    </w:p>
    <w:p>
      <w:pPr>
        <w:widowControl/>
        <w:spacing w:before="120" w:after="160"/>
        <w:jc w:val="center"/>
      </w:pPr>
      <w:r>
        <w:rPr>
          <w:rFonts w:ascii="Cambria Math" w:hAnsi="Cambria Math" w:eastAsia="Microsoft YaHei"/>
          <w:color w:val="1F4D78"/>
          <w:sz w:val="22"/>
        </w:rPr>
        <w:t>Cost(candidate k) = ADEₖ + 0.2 · FDEₖ</w:t>
      </w:r>
    </w:p>
    <w:p>
      <w:pPr>
        <w:pStyle w:val="Heading1"/>
        <w:widowControl/>
        <w:pBdr>
          <w:bottom w:val="single" w:sz="5" w:space="3" w:color="B8C5D6"/>
        </w:pBdr>
      </w:pPr>
      <w:r>
        <w:t>5 新增模块及其作用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7  模块功能、依赖与当前状态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50"/>
        <w:gridCol w:w="2570"/>
        <w:gridCol w:w="3200"/>
        <w:gridCol w:w="154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模块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解决的问题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主要输入 → 输出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当前状态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主航路意图头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先区分 OA/OB1/OB2/OC 大方向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历史意图 → 4 类 logits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启用，w=0.20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子航路意图头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区分 OA 的中途分叉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历史意图 → 6 类 logits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启用，w=0.35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层级约束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阻止子路跨父类乱跳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主路概率 × 父子掩码 → 子路修正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启用，strength=1.5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置信度门控层级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主路错时保护正确子路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置信度/可判别性 → 约束缩放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启用，min=0.15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航路原型先验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利用局部航道几何匹配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历史末端/方向 + 原型 → logits 先验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启用，route/sub=0.6/0.8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学习式可判别性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分叉前不强迫唯一选择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历史特征 → 可判别概率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启用，gate=0.65/0.60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置信度感知路由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低置信时保留多候选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概率/间隔 → hard 或 Top-2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候选条件解码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避免单轨迹平均化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航路 Embedding → 多条未来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启用，base+6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候选选择器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部署时从多候选中选 1 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历史 + 候选特征 → score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启用，warmup=10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候选阈值校准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避免选择器过度切换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验证成本 → p/margin 阈值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Qwen 语义教师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补充目的地和船舶属性先验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可见航次文本 → 2048D → 门控融合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Future-intent 教师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让历史表征学习未来分支形态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真实未来（仅训练）→ 子路原型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启用，w=0.08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解耦双流训练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照顾小类且保护 ADE/FDE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自然回归流 + 均衡意图流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启用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Qwen 训练后重排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二阶段在线重排候选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Qwen + 数值 soft token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停用；验证增益不足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5.1 三个最关键的结构改动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把单一连续轨迹回归拆成“航路意图概率 + 条件轨迹生成”，减少不同未来模式被平均。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加入“当前是否可判别”的学习目标，只有证据足够时才硬选，证据不足则保留 Top-2。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把小类增强从主回归采样中解耦，额外均衡流只优化意图相关目标，减少总体轨迹质量退化。</w:t>
      </w:r>
    </w:p>
    <w:p>
      <w:pPr>
        <w:spacing w:before="100" w:after="140" w:line="283" w:lineRule="auto"/>
        <w:ind w:left="173" w:right="86"/>
        <w:shd w:fill="E8EEF5"/>
        <w:widowControl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模块依赖  </w:t>
      </w:r>
      <w:r>
        <w:rPr>
          <w:rFonts w:ascii="Calibri" w:hAnsi="Calibri" w:eastAsia="Microsoft YaHei"/>
          <w:color w:val="243042"/>
        </w:rPr>
        <w:t>候选生成依赖主/子航路 Embedding；层级约束依赖父子标签映射；可判别性依赖训练集原型；Qwen 语义教师依赖按时间对齐的航次上下文侧车。关闭上游模块时，下游效果和可解释指标都会变化。</w:t>
      </w:r>
    </w:p>
    <w:p>
      <w:pPr>
        <w:pStyle w:val="Heading1"/>
        <w:widowControl/>
        <w:pBdr>
          <w:bottom w:val="single" w:sz="5" w:space="3" w:color="B8C5D6"/>
        </w:pBdr>
      </w:pPr>
      <w:r>
        <w:t>6 损失函数与优化目标</w:t>
      </w:r>
    </w:p>
    <w:p>
      <w:pPr>
        <w:pStyle w:val="Heading2"/>
        <w:widowControl/>
      </w:pPr>
      <w:r>
        <w:t>6.1 总体目标</w:t>
      </w:r>
    </w:p>
    <w:p>
      <w:pPr>
        <w:widowControl/>
      </w:pPr>
      <w:r>
        <w:rPr>
          <w:rFonts w:ascii="Calibri" w:hAnsi="Calibri" w:eastAsia="Microsoft YaHei"/>
        </w:rPr>
        <w:t>当前总损失不是一个简单的 MSE。自然轨迹流的目标可概括为：</w:t>
      </w:r>
    </w:p>
    <w:p>
      <w:pPr>
        <w:widowControl/>
        <w:spacing w:before="120" w:after="160"/>
        <w:jc w:val="center"/>
      </w:pPr>
      <w:r>
        <w:rPr>
          <w:rFonts w:ascii="Cambria Math" w:hAnsi="Cambria Math" w:eastAsia="Microsoft YaHei"/>
          <w:color w:val="1F4D78"/>
          <w:sz w:val="22"/>
        </w:rPr>
        <w:t>L = AWL(Lintent-MSE, Ltraj-MSE) + Lgeo + Lfde + Lsmooth + Lcog + Lroute + Lsubroute + Ldec + Lcontrast + Lfuture + Lcandidate</w:t>
      </w:r>
    </w:p>
    <w:p>
      <w:pPr>
        <w:widowControl/>
      </w:pPr>
      <w:r>
        <w:rPr>
          <w:rFonts w:ascii="Calibri" w:hAnsi="Calibri" w:eastAsia="Microsoft YaHei"/>
        </w:rPr>
        <w:t>AutomaticWeightedLoss 对基础意图回归与轨迹 MSE 学习两个不确定性参数；其余项使用配置中的显式权重。辅助均衡流不计算完整轨迹解码损失，只优化意图分类、可判别性、对比表征和 future-intent。</w:t>
      </w:r>
    </w:p>
    <w:p>
      <w:pPr>
        <w:pStyle w:val="Heading2"/>
        <w:widowControl/>
      </w:pPr>
      <w:r>
        <w:t>6.2 连续轨迹损失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8  连续轨迹相关损失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50"/>
        <w:gridCol w:w="4100"/>
        <w:gridCol w:w="1450"/>
        <w:gridCol w:w="20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损失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形式/目标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当前权重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直接作用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基础轨迹 MSE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标准化 [COG,Lon,Lat,SOG] 的逐点 MSE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AWL 自适应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整体回归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局部意图 MSE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TCN 意图序列与未来运动意图目标的 MSE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AWL 自适应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局部运动表示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Haversine Geo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真实尺度经纬度的大圆距离均值 / 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0.20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ADE 方向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FDE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最后预测点经纬度的标准化 MSE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0.50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终点偏差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Smooth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预测与真实相邻位移增量的 MSE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0.20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抑制锯齿和折返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Circular COG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wrap(预测航向−真实航向)/180 的平方均值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0.20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解决 0/360° 跳变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候选轨迹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优胜候选与真实未来的回归误差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0.08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候选多样性与可用性</w:t>
            </w:r>
          </w:p>
        </w:tc>
      </w:tr>
    </w:tbl>
    <w:p>
      <w:pPr>
        <w:widowControl/>
        <w:spacing w:after="40"/>
      </w:pPr>
    </w:p>
    <w:p>
      <w:pPr>
        <w:widowControl/>
        <w:spacing w:before="120" w:after="160"/>
        <w:jc w:val="center"/>
      </w:pPr>
      <w:r>
        <w:rPr>
          <w:rFonts w:ascii="Cambria Math" w:hAnsi="Cambria Math" w:eastAsia="Microsoft YaHei"/>
          <w:color w:val="1F4D78"/>
          <w:sz w:val="22"/>
        </w:rPr>
        <w:t>dH = 2R · asin(√[sin²(Δφ/2)+cosφ₁cosφ₂sin²(Δλ/2)])</w:t>
      </w:r>
    </w:p>
    <w:p>
      <w:pPr>
        <w:pStyle w:val="Heading2"/>
        <w:widowControl/>
      </w:pPr>
      <w:r>
        <w:t>6.3 航路意图与不确定性损失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9  意图、不确定性与小类相关损失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30"/>
        <w:gridCol w:w="1790"/>
        <w:gridCol w:w="204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损失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核心机制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当前参数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为什么需要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Route CE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按可判别性降低分叉前硬标签权重；不可判别时加均匀软目标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w=0.20；min=0.05；soft=0.10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减少大类过度自信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Subroute Focal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类别权重 + focal + label smoothing；同样按可判别性加权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w=0.35；γ=1.5；smooth=0.02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照顾难例与小类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Sibling soft target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不可判别时在同一父航路的子类间分配软概率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soft=0.15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避免共享主干产生矛盾硬标签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监督式对比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同子路特征拉近，不同子路拉远；只在可判别样本启用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w=0.05；T=0.2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放大微小分岔差异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Route decidability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BCE 拟合历史-only 可判别分数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决定是否硬选主路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Subroute decidability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BCE 拟合子路可判别分数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决定是否硬选子路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Future-intent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未来位移编码分类 + 历史/未来 embedding 对齐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w=0.08；align=0.50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训练历史表征理解分支未来形态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6.4 候选选择损失</w:t>
      </w:r>
    </w:p>
    <w:p>
      <w:pPr>
        <w:widowControl/>
      </w:pPr>
      <w:r>
        <w:rPr>
          <w:rFonts w:ascii="Calibri" w:hAnsi="Calibri" w:eastAsia="Microsoft YaHei"/>
        </w:rPr>
        <w:t>候选成本用 ADE + 0.2FDE 定义。选择器通过温度 0.35 的软成本分布学习排序，并叠加成本回归项 0.10；主选择损失权重为 0.50。前 10 轮关闭选择器，让基础生成器先形成可用候选，之后再学习最终选择。</w:t>
      </w:r>
    </w:p>
    <w:p>
      <w:pPr>
        <w:spacing w:before="100" w:after="140" w:line="283" w:lineRule="auto"/>
        <w:ind w:left="173" w:right="86"/>
        <w:shd w:fill="F9E7E5"/>
        <w:widowControl/>
        <w:pBdr>
          <w:left w:val="single" w:sz="12" w:space="6" w:color="A23E3E"/>
        </w:pBdr>
      </w:pPr>
      <w:r>
        <w:rPr>
          <w:rFonts w:ascii="Calibri" w:hAnsi="Calibri" w:eastAsia="Microsoft YaHei"/>
          <w:b/>
          <w:color w:val="A23E3E"/>
        </w:rPr>
        <w:t xml:space="preserve">注意  </w:t>
      </w:r>
      <w:r>
        <w:rPr>
          <w:rFonts w:ascii="Calibri" w:hAnsi="Calibri" w:eastAsia="Microsoft YaHei"/>
          <w:color w:val="243042"/>
        </w:rPr>
        <w:t>Oracle ADE@7 只表示候选池上限，不是最终部署误差；选择器不能在推理时访问真实未来，所以必须同时报告最终 Top-1 ADE/FDE、winner accuracy、切换比例和校准指标。</w:t>
      </w:r>
    </w:p>
    <w:p>
      <w:pPr>
        <w:pStyle w:val="Heading1"/>
        <w:widowControl/>
        <w:pBdr>
          <w:bottom w:val="single" w:sz="5" w:space="3" w:color="B8C5D6"/>
        </w:pBdr>
      </w:pPr>
      <w:r>
        <w:t>7 训练与推理的联动流程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3167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inkage_v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ompact"/>
        <w:widowControl/>
        <w:jc w:val="center"/>
      </w:pPr>
      <w:r>
        <w:rPr>
          <w:rFonts w:ascii="Calibri" w:hAnsi="Calibri" w:eastAsia="Microsoft YaHei"/>
          <w:color w:val="657184"/>
          <w:sz w:val="18"/>
        </w:rPr>
        <w:t>图 2  自然轨迹流、均衡意图流与各类损失的解耦关系</w:t>
      </w:r>
    </w:p>
    <w:p>
      <w:pPr>
        <w:pStyle w:val="Heading2"/>
        <w:widowControl/>
      </w:pPr>
      <w:r>
        <w:t>7.1 训练流程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按固定清单取得训练/验证/测试轨迹；仅用 3,399 条训练轨迹计算标准化参数和航路原型。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将每条轨迹滑窗为 13 点历史 + 12 点未来；窗口步长为 1 个 15 分钟采样点。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自然轨迹流按真实分布训练完整模型，计算连续轨迹、意图分类、可判别性、future-intent 和候选损失。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均衡意图流以 0.20 比例有放回抽样小类窗口，只更新意图相关模块；权重 0.35，前 3 轮逐步升温。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主/子航路 teacher forcing 从 0.7 线性降到 0.1，降低推理时使用预测概率造成的分布差异。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第 10 轮后启用候选选择器；训练完成后用验证集校准切换置信度与 margin，最大切换比例 0.50。</w:t>
      </w:r>
    </w:p>
    <w:p>
      <w:pPr>
        <w:widowControl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早停监控 ADE + 0.2FDE，patience=10；保存最佳验证指标对应的模型。</w:t>
      </w:r>
    </w:p>
    <w:p>
      <w:pPr>
        <w:pStyle w:val="Heading2"/>
        <w:widowControl/>
      </w:pPr>
      <w:r>
        <w:t>7.2 推理流程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输入最近 3 小时 AIS 数值序列，以及该预测时刻之前已知的航次语义。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预测主航路概率、子航路概率和可判别性；主路温度 1.30 抑制过度自信，子路温度 0.90 保留分支区分度。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可判别且置信度/间隔足够时允许硬路由；否则保留 Top-2 概率，不假装知道唯一未来。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基础解码器与 6 个航路条件候选分别生成 3 小时未来轨迹。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候选选择器按历史一致性、航路概率、原型贴合和运动连续性打分；验证校准规则决定是否从基础预测切换。</w:t>
      </w:r>
    </w:p>
    <w:p>
      <w:pPr>
        <w:widowControl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最终只输出一条主预测，同时保留多候选指标用于论文评估不确定性和候选召回上限。</w:t>
      </w:r>
    </w:p>
    <w:p>
      <w:pPr>
        <w:pStyle w:val="Heading2"/>
        <w:widowControl/>
      </w:pPr>
      <w:r>
        <w:t>7.3 信息边界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10  训练、验证与推理的信息访问边界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1550"/>
        <w:gridCol w:w="1950"/>
        <w:gridCol w:w="33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信息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训练可用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验证/推理可用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历史 AIS 数值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是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核心观测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预测时刻前的船型/吃水/Destination/ETA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是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必须按时间对齐，不能使用后来更新值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真实主航路/子航路标签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监督用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不作为推理输入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真实未来轨迹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损失/teacher 用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候选成本和 future-intent 只在训练使用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验证集未来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阈值校准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测试时否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测试集不得参与校准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8 千问语义辅助的正确定位</w:t>
      </w:r>
    </w:p>
    <w:p>
      <w:pPr>
        <w:pStyle w:val="Heading2"/>
        <w:widowControl/>
      </w:pPr>
      <w:r>
        <w:t>8.1 当前真正启用的方案</w:t>
      </w:r>
    </w:p>
    <w:p>
      <w:pPr>
        <w:widowControl/>
      </w:pPr>
      <w:r>
        <w:rPr>
          <w:rFonts w:ascii="Calibri" w:hAnsi="Calibri" w:eastAsia="Microsoft YaHei"/>
        </w:rPr>
        <w:t>Qwen3-1.7B 只在一次性离线阶段读取航次上下文文本，生成 7,507 个 2048 维语义向量，侧车约 29 MB。主模型训练时不加载 1.7B 权重，只训练 2048→128→意图维度的轻量编码器和门控。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11  千问语义教师读取的信息及其作用边界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420"/>
        <w:gridCol w:w="404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语义字段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可能提供的区分证据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风险与处理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Ship type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不同船型对航道、港口和航速模式存在先验差异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关联未必强；作为软证据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Length / Width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大型船与狭窄/浅水支路的适配性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缺失或静态错误；门控融合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Draught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深水航道与吃水限制相关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AIS 填报质量不稳定；不能硬规则决定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Destination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最有可能区分未来目的方向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必须是预测时刻已填报的值；清洗拼写；做消融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ETA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航次阶段与目的地一致性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可能过期；按时间因果对齐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Navigation status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航行/锚泊/受限等行为状态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类别噪声较多；仅作辅助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8.2 为什么不是让千问直接选路线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历史轨迹完全相似且没有外部意图证据时，语言模型也无法凭空知道未来分支。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大语言模型不擅长高精度、长序列连续经纬度回归，直接生成坐标稳定性和可校准性较差。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旧候选重排器在验证集没有达到 winner gain 和 cost gain 门槛，最终经常回退到基础选择器，因此当前 use_qwen_reranker=False。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离线语义教师把 Qwen 放在更合适的位置：文本归一化和语义表示，而连续运动仍由专门轨迹模型学习。</w:t>
      </w:r>
    </w:p>
    <w:p>
      <w:pPr>
        <w:pStyle w:val="Heading2"/>
        <w:widowControl/>
      </w:pPr>
      <w:r>
        <w:t>8.3 Destination 是否“偷看答案”</w:t>
      </w:r>
    </w:p>
    <w:p>
      <w:pPr>
        <w:spacing w:before="100" w:after="140" w:line="283" w:lineRule="auto"/>
        <w:ind w:left="173" w:right="86"/>
        <w:shd w:fill="FFF3D6"/>
        <w:widowControl/>
        <w:pBdr>
          <w:left w:val="single" w:sz="12" w:space="6" w:color="B07A19"/>
        </w:pBdr>
      </w:pPr>
      <w:r>
        <w:rPr>
          <w:rFonts w:ascii="Calibri" w:hAnsi="Calibri" w:eastAsia="Microsoft YaHei"/>
          <w:b/>
          <w:color w:val="B07A19"/>
        </w:rPr>
        <w:t xml:space="preserve">判断标准  </w:t>
      </w:r>
      <w:r>
        <w:rPr>
          <w:rFonts w:ascii="Calibri" w:hAnsi="Calibri" w:eastAsia="Microsoft YaHei"/>
          <w:color w:val="243042"/>
        </w:rPr>
        <w:t>如果 Destination 是预测时刻之前 AIS 已经广播的字段，它属于可观测上下文，不是未来泄漏；如果使用了预测时刻之后才更新的 Destination、最终靠港结果或由完整未来轨迹反推的目的地，就属于泄漏。论文中应明确 time-aligned context。</w:t>
      </w:r>
    </w:p>
    <w:p>
      <w:pPr>
        <w:pStyle w:val="Heading2"/>
        <w:widowControl/>
      </w:pPr>
      <w:r>
        <w:t>8.4 推荐论文表述</w:t>
      </w:r>
    </w:p>
    <w:p>
      <w:pPr>
        <w:widowControl/>
      </w:pPr>
      <w:r>
        <w:rPr>
          <w:rFonts w:ascii="Calibri" w:hAnsi="Calibri" w:eastAsia="Microsoft YaHei"/>
        </w:rPr>
        <w:t>可将其描述为“标签无关、时间因果对齐的航次语义教师（label-free time-aligned voyage semantic teacher）”：大模型离线编码预测时刻前可见的 AIS 静态与航次文本，主网络通过置信门控学习何时采用语义先验。</w:t>
      </w:r>
    </w:p>
    <w:p>
      <w:pPr>
        <w:pStyle w:val="Heading1"/>
        <w:widowControl/>
        <w:pBdr>
          <w:bottom w:val="single" w:sz="5" w:space="3" w:color="B8C5D6"/>
        </w:pBdr>
      </w:pPr>
      <w:r>
        <w:t>9 当前实验配置与复现边界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12  当前默认配置快照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650"/>
        <w:gridCol w:w="3560"/>
        <w:gridCol w:w="415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类别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当前值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数据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DMA 2023-06/07/08；4,854 tracks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OA/OB1/OB2/OC + Compact6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划分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fixed 70/10/20；seed=42；MMSI grouped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3,399/484/971；不是 5 折均值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窗口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history=13 points；target=12 points；stride=1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3 h 历史预测 3 h 未来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模型规模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587,098 parameters + 2 AWL params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不含离线 Qwen3-1.7B 权重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主干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input_size=10；TCN channels=[32,32]；d_model=128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kernel=3；dropout=0.2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训练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batch=16；Adam；lr=2e-4；clip=0.1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最多 50 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早停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ADE+0.2FDE；patience=10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v14 最佳 epoch=41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输出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residual_linear；COG/Lon/Lat/SOG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以线性外推为基线学残差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Qwen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semantic teacher=True；reranker=False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训练期只读 29 MB 语义侧车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9.1 固定划分的正确解释</w:t>
      </w:r>
    </w:p>
    <w:p>
      <w:pPr>
        <w:widowControl/>
      </w:pPr>
      <w:r>
        <w:rPr>
          <w:rFonts w:ascii="Calibri" w:hAnsi="Calibri" w:eastAsia="Microsoft YaHei"/>
        </w:rPr>
        <w:t>日志中的 fold 1/1 只是唯一一次固定训练流程，不是交叉验证的一折。固定 70/10/20 是标准 holdout 实验，可以用于同一清单上的公平消融；正式论文若要提高统计可信度，建议补充多随机种子，或另外报告 5 折均值。</w:t>
      </w:r>
    </w:p>
    <w:p>
      <w:pPr>
        <w:pStyle w:val="Heading2"/>
        <w:widowControl/>
      </w:pPr>
      <w:r>
        <w:t>9.2 标准化与泄漏防护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标准化参数仅由训练集 3,399 条轨迹拟合。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训练、验证、测试 MMSI 交集为零，分别包含 1,714/245/490 个 MMSI。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航路原型仅由训练集构建，形状为 route 4×32×2、subroute 6×32×2。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固定划分清单持久化，保证不同模块开关使用相同数据。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5" w:space="3" w:color="B8C5D6"/>
        </w:pBdr>
      </w:pPr>
      <w:r>
        <w:t>10 v13/v14 结果与问题诊断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369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v13_v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ompact"/>
        <w:widowControl/>
        <w:jc w:val="center"/>
      </w:pPr>
      <w:r>
        <w:rPr>
          <w:rFonts w:ascii="Calibri" w:hAnsi="Calibri" w:eastAsia="Microsoft YaHei"/>
          <w:color w:val="657184"/>
          <w:sz w:val="18"/>
        </w:rPr>
        <w:t>图 3  v13 与 v14 在同一固定划分上的最终测试误差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13  v13 与 v14 的总体结果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050"/>
        <w:gridCol w:w="850"/>
        <w:gridCol w:w="2290"/>
        <w:gridCol w:w="2290"/>
        <w:gridCol w:w="1480"/>
        <w:gridCol w:w="140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版本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最佳轮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ADE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FDE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 COG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 SOG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v13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38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1.55263 nmi / 2875.46 m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2.95724 nmi / 5476.81 m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12.32832°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0.89690 kn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v14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41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1.52298 nmi / 2820.55 m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2.95187 nmi / 5466.87 m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12.08516°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0.88871 kn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变化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—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−0.02965 nmi / −54.91 m</w:t>
            </w:r>
          </w:p>
        </w:tc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−0.00537 nmi / −9.94 m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−0.24316°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−0.00819 kn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10.1 v14 子航路诊断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14  v14 最终测试的子航路表现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650"/>
        <w:gridCol w:w="1600"/>
        <w:gridCol w:w="2100"/>
        <w:gridCol w:w="401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子航路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Top-1 准确率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ADE / FDE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诊断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OA_S00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14.5%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2.069 / 4.205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最弱小类；样本仅 159 条且历史可判别性接近 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OA_S01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91.4%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1.359 / 2.407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稳定主分支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OA_S02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77.8%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2.547 / 5.311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识别尚可，但长期轨迹误差偏大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OB1_S00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86.4%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1.102 / 2.059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样本最多，总体误差最低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OB2_S00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61.6%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1.981 / 3.879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父类 OA/OB1 混淆仍明显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OC_S00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99.2%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1.389 / 2.732 nmi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几何形态独特，易识别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10.2 多候选与不确定性指标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可判别子路 Top-1：85.9%；不可判别子路 Top-2 recall：83.9%。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候选池 route/subroute recall@6 均为 100%，说明正确标签候选被覆盖；但这是 Compact6 全量候选池带来的结构性上限。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Oracle ADE@7=1.101 nmi、FDE@7=1.934 nmi，显著低于最终 Top-1，说明主要瓶颈已部分转移到候选选择。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最终 selector winner accuracy=53.2%，切换 15.2%，被切换样本 winner accuracy=42.3%；选择器仍有较大提升空间。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Qwen reranker 应用次数为 0，证实最终结果来自语义教师与轻量选择器，而不是训练后 Qwen 重排。</w:t>
      </w:r>
    </w:p>
    <w:p>
      <w:pPr>
        <w:pStyle w:val="Heading2"/>
        <w:widowControl/>
      </w:pPr>
      <w:r>
        <w:t>10.3 怎样解释 v14 的提升</w:t>
      </w:r>
    </w:p>
    <w:p>
      <w:pPr>
        <w:widowControl/>
      </w:pPr>
      <w:r>
        <w:rPr>
          <w:rFonts w:ascii="Calibri" w:hAnsi="Calibri" w:eastAsia="Microsoft YaHei"/>
        </w:rPr>
        <w:t>与 v13 相比，v14 的 OA_S00、OA_S02、OB1 子路识别率提高，ADE、COG、SOG 也同步改善；但 OB2 子路准确率下降，FDE 几乎不变。因此目前最稳妥的结论是：尾部意图训练改善了平均轨迹和部分小类表示，但尚未解决所有分支选择，也不能仅凭一次对比证明每个新增模块都有效。</w:t>
      </w:r>
    </w:p>
    <w:p>
      <w:pPr>
        <w:spacing w:before="100" w:after="140" w:line="283" w:lineRule="auto"/>
        <w:ind w:left="173" w:right="86"/>
        <w:shd w:fill="F9E7E5"/>
        <w:widowControl/>
        <w:pBdr>
          <w:left w:val="single" w:sz="12" w:space="6" w:color="A23E3E"/>
        </w:pBdr>
      </w:pPr>
      <w:r>
        <w:rPr>
          <w:rFonts w:ascii="Calibri" w:hAnsi="Calibri" w:eastAsia="Microsoft YaHei"/>
          <w:b/>
          <w:color w:val="A23E3E"/>
        </w:rPr>
        <w:t xml:space="preserve">尚未突破的瓶颈  </w:t>
      </w:r>
      <w:r>
        <w:rPr>
          <w:rFonts w:ascii="Calibri" w:hAnsi="Calibri" w:eastAsia="Microsoft YaHei"/>
          <w:color w:val="243042"/>
        </w:rPr>
        <w:t>OA_S00 的历史窗口在现有原型计算中几乎始终不可判别；候选池虽能覆盖正确分支，最终选择器只有约 53% winner accuracy。后续重点应是更强的可观测意图证据、时间分段评价和选择器校准，而不是继续无限增加子类。</w:t>
      </w:r>
    </w:p>
    <w:p>
      <w:pPr>
        <w:pStyle w:val="Heading1"/>
        <w:widowControl/>
        <w:pBdr>
          <w:bottom w:val="single" w:sz="5" w:space="3" w:color="B8C5D6"/>
        </w:pBdr>
      </w:pPr>
      <w:r>
        <w:t>11 可直接改写的论文创新点</w:t>
      </w:r>
    </w:p>
    <w:p>
      <w:pPr>
        <w:widowControl/>
      </w:pPr>
      <w:r>
        <w:rPr>
          <w:rFonts w:ascii="Calibri" w:hAnsi="Calibri" w:eastAsia="Microsoft YaHei"/>
        </w:rPr>
        <w:t>下面给出可用于摘要、引言贡献和方法章节的写作素材。正式使用时应根据消融结果保留真正成立的条目。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15  论文创新点候选及其证据要求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50"/>
        <w:gridCol w:w="4570"/>
        <w:gridCol w:w="274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候选贡献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可用表述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必须补的证据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1：层级航路意图感知预测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在 iTentformer 连续轨迹主干上构建主航路—子航路层级意图概率，并将软概率 Embedding 条件化注入解码器，使模型显式区分共享主干后的多分支未来。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与无 route/subroute head 的基线对比；报告 ADE/FDE、macro route/subroute accuracy。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2：可判别性感知的延迟决策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针对分叉前历史轨迹不可辨识问题，学习当前历史是否足以做出航路判断；证据充足时硬路由，证据不足时采用兄弟支路软监督和 Top-K 保留。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对比 always-hard；按距分叉阶段报告 Top-1、Top-2、ECE、Brier、NLL。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3：航次语义教师的轻量融合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利用本地大模型离线编码时间因果对齐的 Destination、船型、吃水、ETA 等 AIS 航次语义，并通过缺失感知门控融入数值意图编码，而非让大模型直接生成坐标。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semantic on/off；Destination-only/without-Destination；语义缺失率分组实验。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4：尾部航路解耦双流训练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保留自然分布主流优化连续轨迹，另以温和过采样构建仅优化意图目标的辅助流，缓解稀有分支增强导致总体 ADE/FDE 退化的冲突。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对比无均衡、混合替换采样、解耦双流；报告头部/尾部类和总体误差。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5：训练期未来意图原型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用真实未来相对位移在训练期构建子航路未来形态原型，将可判别历史表示对齐到对应原型；推理阶段完全去除未来输入，仅通过历史表示产生残差意图 logits。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future-intent on/off；检查 history-future cosine、tail recall 与 ADE/FDE。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创新点 6：保守校准的多候选选择</w:t>
            </w:r>
          </w:p>
        </w:tc>
        <w:tc>
          <w:tcPr>
            <w:tcW w:type="dxa" w:w="4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从 Compact6 全航路条件生成候选，以 ADE+FDE 软成本训练历史条件选择器，并在验证集上限制切换比例和最小收益，降低候选选择对基础轨迹的负优化。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报告 final 与 Oracle@K 差距、winner accuracy、switch ratio、cost gain。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11.1 建议的三条精炼贡献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提出一种层级航路意图与可判别性联合建模框架，在信息不足阶段保持多模态不确定性，在分支证据显现后再收敛到条件轨迹。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提出标签无关、时间因果对齐的航次语义教师，通过轻量门控把大模型语义先验融入 AIS 数值轨迹编码。</w:t>
      </w:r>
    </w:p>
    <w:p>
      <w:pPr>
        <w:widowControl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提出面向稀有子航路的解耦双流和训练期未来意图原型，在不替换自然轨迹回归分布的前提下强化尾部分支表征。</w:t>
      </w:r>
    </w:p>
    <w:p>
      <w:pPr>
        <w:pStyle w:val="Heading2"/>
        <w:widowControl/>
      </w:pPr>
      <w:r>
        <w:t>11.2 可用于方法章节的总述</w:t>
      </w:r>
    </w:p>
    <w:p>
      <w:pPr>
        <w:spacing w:before="100" w:after="140" w:line="283" w:lineRule="auto"/>
        <w:ind w:left="173" w:right="86"/>
        <w:shd w:fill="E7F2ED"/>
        <w:widowControl/>
        <w:pBdr>
          <w:left w:val="single" w:sz="12" w:space="6" w:color="2A7F62"/>
        </w:pBdr>
      </w:pPr>
      <w:r>
        <w:rPr>
          <w:rFonts w:ascii="Calibri" w:hAnsi="Calibri" w:eastAsia="Microsoft YaHei"/>
          <w:b/>
          <w:color w:val="2A7F62"/>
        </w:rPr>
        <w:t xml:space="preserve">论文式表述  </w:t>
      </w:r>
      <w:r>
        <w:rPr>
          <w:rFonts w:ascii="Calibri" w:hAnsi="Calibri" w:eastAsia="Microsoft YaHei"/>
          <w:color w:val="243042"/>
        </w:rPr>
        <w:t>本研究在 iTentformer 的局部意图—轨迹生成骨架上，引入时间因果对齐的航次语义教师、主/子航路层级意图、历史可判别性门控及多候选条件解码。训练阶段通过自然轨迹流学习连续运动规律，并以解耦的尾部意图流和未来运动原型强化稀有分支；推理阶段仅依赖历史 AIS 与当时可见的航次上下文，在不确定样本上保留多候选，并通过验证校准的选择器输出最终轨迹。</w:t>
      </w:r>
    </w:p>
    <w:p>
      <w:pPr>
        <w:pStyle w:val="Heading2"/>
        <w:widowControl/>
      </w:pPr>
      <w:r>
        <w:t>11.3 不建议使用的表述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  <w:color w:val="A23E3E"/>
        </w:rPr>
        <w:t>“千问能够准确推断船舶一定走哪条分支”——当前没有证据，且在不可辨识样本上理论上不成立。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  <w:color w:val="A23E3E"/>
        </w:rPr>
        <w:t>“实现了论文完全复现”——原论文未公开精确区域多边形和完整预处理细节，当前是论文对齐的近似复现。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  <w:color w:val="A23E3E"/>
        </w:rPr>
        <w:t>“达到 5 折交叉验证结果”——当前 v14 是固定 70/10/20 的一次划分。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  <w:color w:val="A23E3E"/>
        </w:rPr>
        <w:t>“Qwen 直接优化了最终轨迹”——最终 qwen_applied=0；应写离线语义教师，而非候选重排。</w:t>
      </w:r>
    </w:p>
    <w:p>
      <w:pPr>
        <w:pStyle w:val="Heading1"/>
        <w:widowControl/>
        <w:pBdr>
          <w:bottom w:val="single" w:sz="5" w:space="3" w:color="B8C5D6"/>
        </w:pBdr>
      </w:pPr>
      <w:r>
        <w:t>12 建议消融实验与论文证据链</w:t>
      </w:r>
    </w:p>
    <w:p>
      <w:pPr>
        <w:pStyle w:val="Heading2"/>
        <w:widowControl/>
      </w:pPr>
      <w:r>
        <w:t>12.1 最小可发表消融矩阵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16  推荐消融顺序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2660"/>
        <w:gridCol w:w="3370"/>
        <w:gridCol w:w="243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实验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相对前一项新增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主要回答的问题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必报指标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原始/最小 iTentformer 主干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基础复现水平是多少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ADE/FDE/COG/SOG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route/subroute heads + Embedding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航路监督是否降低平均化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总误差 + macro 类准确率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hierarchy + prototypes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航路几何与父子结构是否有效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分类、每类 ADE/FDE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B3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decidability + Top-2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延迟决策是否改善过度自信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decidable Top-1、ambiguous Top-2、ECE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B4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multi-candidate selector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候选覆盖和选择是否带来净收益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final/Oracle@7、winner、switch、gain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B5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Qwen semantic teacher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航次语义是否提供额外意图证据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总误差、tail recall、语义覆盖分组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decoupled tail-intent stream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小类增强是否保护总体回归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头部/尾部类 + ADE/FDE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B7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+ future-intent teacher（完整 v14）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未来原型是否改善历史分支表征</w:t>
            </w:r>
          </w:p>
        </w:tc>
        <w:tc>
          <w:tcPr>
            <w:tcW w:type="dxa" w:w="2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5"/>
              </w:rPr>
              <w:t>cosine、tail recall、总误差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12.2 必做的公平性控制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所有消融共用 fixed split manifest、同一标准化参数计算逻辑、相同随机种子和训练轮数上限。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至少运行 3 个随机种子并报告均值±标准差；一次 best epoch 结果不足以支撑稳定提升。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语义实验需要 Destination-only、without-Destination 和全部语义三组，证明提升来自何种字段。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按可判别阶段或距分叉位置分组报告，区分“不可判断”与“模型没有学会”。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同时报告 micro 与 macro 指标，避免 OB1 大类掩盖 OA_S00 等尾部路线。</w:t>
      </w:r>
    </w:p>
    <w:p>
      <w:pPr>
        <w:pStyle w:val="Heading2"/>
        <w:widowControl/>
      </w:pPr>
      <w:r>
        <w:t>12.3 当前最值得优先验证的假设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v14 的 54.91 m ADE 改善是否主要来自解耦双流，还是 future-intent、随机波动或最佳轮差异。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Destination 在 OA 中途三分支上是否真的具有互信息；如果没有，Qwen 语义教师只能改善主航路而不能解决 OA_S00。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Oracle@7 与最终 Top-1 的巨大差距是否能通过更好的选择器缩小，而不增加 branch switch 的负优化。</w:t>
      </w:r>
    </w:p>
    <w:p>
      <w:pPr>
        <w:widowControl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Compact6 是否已经是合适粒度；若继续细分，是否只增加标签噪声和不可辨识冲突。</w:t>
      </w:r>
    </w:p>
    <w:p>
      <w:pPr>
        <w:pStyle w:val="Heading2"/>
        <w:widowControl/>
      </w:pPr>
      <w:r>
        <w:t>12.4 后续改进优先级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17  后续实验优先级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050"/>
        <w:gridCol w:w="3820"/>
        <w:gridCol w:w="449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优先级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P0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先完成 B0–B7 消融与 3 seeds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确认真实创新贡献，防止继续叠模块却无法归因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P1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按分叉阶段构建评价曲线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OA_S00 当前几乎不可判别，需要确认信息何时出现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P1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改进候选选择器的校准与 pairwise ranking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Oracle 上限远好于最终输出，瓶颈清晰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P2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语义字段质量审计与目的地规范化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错误 Destination 可能产生负先验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P2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加入航道/水深/拓扑的结构化编码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比让语言模型猜坐标更符合航海约束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P3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再考虑新的子航路或生成模型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当前先解决标签可辨识性和选择问题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13 代码文件与复现命令索引</w:t>
      </w:r>
    </w:p>
    <w:p>
      <w:pPr>
        <w:pStyle w:val="Heading2"/>
        <w:widowControl/>
      </w:pPr>
      <w:r>
        <w:t>13.1 关键文件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18  当前代码结构与职责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150"/>
        <w:gridCol w:w="6210"/>
      </w:tblGrid>
      <w:tr>
        <w:trPr>
          <w:tblHeader w:val="true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文件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config_iTentformer.py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默认数据、窗口、所有模块开关、损失权重和实验输出参数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iTentformer.py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数据划分、滑窗、训练/验证/测试、损失组合、候选生成与校准、日志和可视化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model.py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TCN/Transformer 主干、主/子航路头、语义门控、可判别性、原型先验、候选选择器和 future-intent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utils/preprocess_dma_zip.py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从原始 ZIP 流式筛选、SQLite 暂存、切段、漂移清洗、插值、15 列格式与主航路识别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utils/discover_subroutes.py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轨迹形态与中途分岔加权的子航路聚类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utils/merge_subroute_labels.py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将原 11 类映射为 Compact6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utils/build_dma_voyage_context.py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从原始 AIS 构建按时间对齐的航次上下文侧车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utils/build_qwen_semantic_teacher.py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本地 Qwen3-1.7B 离线生成标签无关语义向量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utils/check_dma_quality.py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轨迹长度、时间步、速度、异常值和范围审计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docs/route_subroute_training_notes.md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已有主/子航路和训练改进说明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13.2 当前默认训练</w:t>
      </w:r>
    </w:p>
    <w:p>
      <w:pPr>
        <w:pStyle w:val="CodeBlock"/>
        <w:shd w:fill="F3F5F7"/>
        <w:widowControl/>
        <w:pBdr>
          <w:left w:val="single" w:sz="8" w:space="5" w:color="9AA8BA"/>
        </w:pBdr>
      </w:pPr>
      <w:r>
        <w:rPr>
          <w:rFonts w:ascii="Consolas" w:hAnsi="Consolas" w:eastAsia="Microsoft YaHei"/>
          <w:sz w:val="17"/>
        </w:rPr>
        <w:t># lucky 环境，项目根目录</w:t>
      </w:r>
      <w:r>
        <w:br/>
      </w:r>
      <w:r>
        <w:rPr>
          <w:rFonts w:ascii="Consolas" w:hAnsi="Consolas" w:eastAsia="Microsoft YaHei"/>
          <w:sz w:val="17"/>
        </w:rPr>
        <w:t>python iTentformer.py</w:t>
      </w:r>
    </w:p>
    <w:p>
      <w:pPr>
        <w:widowControl/>
      </w:pPr>
      <w:r>
        <w:rPr>
          <w:rFonts w:ascii="Calibri" w:hAnsi="Calibri" w:eastAsia="Microsoft YaHei"/>
        </w:rPr>
        <w:t>脚本会自动读取 config_iTentformer.py。命令行参数可临时覆盖配置，例如只做一次冒烟测试：</w:t>
      </w:r>
    </w:p>
    <w:p>
      <w:pPr>
        <w:pStyle w:val="CodeBlock"/>
        <w:shd w:fill="F3F5F7"/>
        <w:widowControl/>
        <w:pBdr>
          <w:left w:val="single" w:sz="8" w:space="5" w:color="9AA8BA"/>
        </w:pBdr>
      </w:pPr>
      <w:r>
        <w:rPr>
          <w:rFonts w:ascii="Consolas" w:hAnsi="Consolas" w:eastAsia="Microsoft YaHei"/>
          <w:sz w:val="17"/>
        </w:rPr>
        <w:t>python iTentformer.py --epochs 1 --plot_count 0 --model_prefix smoke</w:t>
      </w:r>
    </w:p>
    <w:p>
      <w:pPr>
        <w:pStyle w:val="Heading2"/>
        <w:widowControl/>
      </w:pPr>
      <w:r>
        <w:t>13.3 重新生成 Qwen 语义教师</w:t>
      </w:r>
    </w:p>
    <w:p>
      <w:pPr>
        <w:pStyle w:val="CodeBlock"/>
        <w:shd w:fill="F3F5F7"/>
        <w:widowControl/>
        <w:pBdr>
          <w:left w:val="single" w:sz="8" w:space="5" w:color="9AA8BA"/>
        </w:pBdr>
      </w:pPr>
      <w:r>
        <w:rPr>
          <w:rFonts w:ascii="Consolas" w:hAnsi="Consolas" w:eastAsia="Microsoft YaHei"/>
          <w:sz w:val="17"/>
        </w:rPr>
        <w:t>python utils\build_qwen_semantic_teacher.py `</w:t>
      </w:r>
      <w:r>
        <w:br/>
      </w:r>
      <w:r>
        <w:rPr>
          <w:rFonts w:ascii="Consolas" w:hAnsi="Consolas" w:eastAsia="Microsoft YaHei"/>
          <w:sz w:val="17"/>
        </w:rPr>
        <w:t xml:space="preserve">  --context_path dataset\dma_raw_2023_06_07_08\dma_voyage_context_2023_06_07_08.pkl `</w:t>
      </w:r>
      <w:r>
        <w:br/>
      </w:r>
      <w:r>
        <w:rPr>
          <w:rFonts w:ascii="Consolas" w:hAnsi="Consolas" w:eastAsia="Microsoft YaHei"/>
          <w:sz w:val="17"/>
        </w:rPr>
        <w:t xml:space="preserve">  --model_path D:\Jason1982\wsl\Models\Qwen3-1.7B `</w:t>
      </w:r>
      <w:r>
        <w:br/>
      </w:r>
      <w:r>
        <w:rPr>
          <w:rFonts w:ascii="Consolas" w:hAnsi="Consolas" w:eastAsia="Microsoft YaHei"/>
          <w:sz w:val="17"/>
        </w:rPr>
        <w:t xml:space="preserve">  --output_path dataset\dma_raw_2023_06_07_08\dma_qwen_semantic_teacher_v1.pkl `</w:t>
      </w:r>
      <w:r>
        <w:br/>
      </w:r>
      <w:r>
        <w:rPr>
          <w:rFonts w:ascii="Consolas" w:hAnsi="Consolas" w:eastAsia="Microsoft YaHei"/>
          <w:sz w:val="17"/>
        </w:rPr>
        <w:t xml:space="preserve">  --batch_size 16 --max_length 128</w:t>
      </w:r>
    </w:p>
    <w:p>
      <w:pPr>
        <w:pStyle w:val="Heading2"/>
        <w:widowControl/>
      </w:pPr>
      <w:r>
        <w:t>13.4 消融开关示例</w:t>
      </w:r>
    </w:p>
    <w:p>
      <w:pPr>
        <w:pStyle w:val="CodeBlock"/>
        <w:shd w:fill="F3F5F7"/>
        <w:widowControl/>
        <w:pBdr>
          <w:left w:val="single" w:sz="8" w:space="5" w:color="9AA8BA"/>
        </w:pBdr>
      </w:pPr>
      <w:r>
        <w:rPr>
          <w:rFonts w:ascii="Consolas" w:hAnsi="Consolas" w:eastAsia="Microsoft YaHei"/>
          <w:sz w:val="17"/>
        </w:rPr>
        <w:t># 关闭语义教师</w:t>
      </w:r>
      <w:r>
        <w:br/>
      </w:r>
      <w:r>
        <w:rPr>
          <w:rFonts w:ascii="Consolas" w:hAnsi="Consolas" w:eastAsia="Microsoft YaHei"/>
          <w:sz w:val="17"/>
        </w:rPr>
        <w:t>python iTentformer.py --no-use_qwen_semantic_teacher --model_prefix ablate_semantic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# 关闭 future-intent</w:t>
      </w:r>
      <w:r>
        <w:br/>
      </w:r>
      <w:r>
        <w:rPr>
          <w:rFonts w:ascii="Consolas" w:hAnsi="Consolas" w:eastAsia="Microsoft YaHei"/>
          <w:sz w:val="17"/>
        </w:rPr>
        <w:t>python iTentformer.py --no-use_future_enhanced_intent --model_prefix ablate_future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># 关闭解耦双流</w:t>
      </w:r>
      <w:r>
        <w:br/>
      </w:r>
      <w:r>
        <w:rPr>
          <w:rFonts w:ascii="Consolas" w:hAnsi="Consolas" w:eastAsia="Microsoft YaHei"/>
          <w:sz w:val="17"/>
        </w:rPr>
        <w:t>python iTentformer.py --no-use_decoupled_balanced_intent_training --model_prefix ablate_dualstream</w:t>
      </w:r>
    </w:p>
    <w:p>
      <w:pPr>
        <w:pStyle w:val="Heading2"/>
        <w:widowControl/>
      </w:pPr>
      <w:r>
        <w:t>13.5 数据工件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19  论文实验应固化保存的关键工件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工件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路径/说明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最终轨迹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dataset/dma_raw_2023_06_07_08/dma_itentformer_ti_4class_revnorm_lasthit.pkl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主航路标签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dataset/dma_raw_2023_06_07_08/dma_route_labels_ti_4class_revnorm_lasthit.json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Compact6 标签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dataset/dma_raw_2023_06_07_08/dma_subroutes_ti_4class_compact6_v1_labels.json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固定划分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dataset/dma_raw_2023_06_07_08/dma_fixed_split_70_10_20_seed42.json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航次上下文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dataset/dma_raw_2023_06_07_08/dma_voyage_context_2023_06_07_08.pkl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语义向量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dataset/dma_raw_2023_06_07_08/dma_qwen_semantic_teacher_v1.pkl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v14 日志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results/...candidate_v14_tailintent.../train.log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附录 A 论文写作检查清单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明确原始数据月份、原始行数、筛选海域、船型、SOG/TG/VE/ΔT 和最小轨迹长度。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说明 O/Ti/A/B1/B2/C 门限为论文图近似数字化，不宣称官方精确边界。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说明反向航迹归一化、last-hit 终点策略和 OC 直达路线的处理。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说明 Compact6 从 11 类精简的原因，给出每类轨迹数和父子映射。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明确主/子航路标签仅用于训练监督，推理不读取真实类别。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明确 future-intent 和候选成本只在训练使用真实未来。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明确 Qwen 是离线语义教师，训练后重排器当前停用。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报告固定划分清单、MMSI 隔离、训练集标准化和训练集原型。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同时报告 ADE/FDE、COG/SOG、每类指标、Top-K、校准和 Oracle 上限。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□ 至少完成模块消融、3 个随机种子和不确定性/分叉阶段分析。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5" w:space="3" w:color="B8C5D6"/>
        </w:pBdr>
      </w:pPr>
      <w:r>
        <w:t>附录 B 当前结论等级</w:t>
      </w:r>
    </w:p>
    <w:p>
      <w:pPr>
        <w:pStyle w:val="CaptionCompact"/>
        <w:widowControl/>
      </w:pPr>
      <w:r>
        <w:rPr>
          <w:rFonts w:ascii="Calibri" w:hAnsi="Calibri" w:eastAsia="Microsoft YaHei"/>
          <w:color w:val="657184"/>
          <w:sz w:val="18"/>
        </w:rPr>
        <w:t>表 20  当前可以与不可以下的结论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350"/>
        <w:gridCol w:w="1850"/>
        <w:gridCol w:w="4160"/>
      </w:tblGrid>
      <w:tr>
        <w:trPr>
          <w:tblHeader w:val="true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结论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当前证据等级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v14 总体 ADE 优于 v13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同一固定划分，单次训练，改善 54.91 m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v14 改善部分尾部子路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OA_S00/S02、OB1 提升，但 OB2 下降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Qwen 语义教师一定有效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低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尚缺 semantic on/off 同种子消融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解耦双流是主要增益来源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低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与 future-intent 同时加入，尚不能归因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候选池能够覆盖真实子路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高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Compact6 all-subroutes recall@6=100%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候选选择器已解决分支选择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低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winner accuracy 53.2%，仍是瓶颈</w:t>
            </w:r>
          </w:p>
        </w:tc>
      </w:tr>
      <w:tr>
        <w:trPr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方法达到主流最优水平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未知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缺统一数据、预测时长和基线对比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E7F2ED"/>
        <w:widowControl/>
        <w:pBdr>
          <w:left w:val="single" w:sz="12" w:space="6" w:color="2A7F62"/>
        </w:pBdr>
      </w:pPr>
      <w:r>
        <w:rPr>
          <w:rFonts w:ascii="Calibri" w:hAnsi="Calibri" w:eastAsia="Microsoft YaHei"/>
          <w:b/>
          <w:color w:val="2A7F62"/>
        </w:rPr>
        <w:t xml:space="preserve">最后提醒  </w:t>
      </w:r>
      <w:r>
        <w:rPr>
          <w:rFonts w:ascii="Calibri" w:hAnsi="Calibri" w:eastAsia="Microsoft YaHei"/>
          <w:color w:val="243042"/>
        </w:rPr>
        <w:t>这套系统已经形成完整的研究框架，但论文创新点的强度取决于消融和对比证据。最有潜力的主线是“层级意图 + 可判别性 + 时间对齐语义教师 + 解耦尾部训练”，而不是单独强调模块数量。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184"/>
        <w:sz w:val="17"/>
      </w:rPr>
      <w:t xml:space="preserve">内部技术文档  ·  </w:t>
    </w:r>
    <w:r>
      <w:rPr>
        <w:rFonts w:ascii="Calibri" w:hAnsi="Calibri" w:eastAsia="Microsoft YaHei"/>
        <w:color w:val="657184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CAD2DD"/>
      </w:pBdr>
    </w:pPr>
    <w:r>
      <w:rPr>
        <w:rFonts w:ascii="Calibri" w:hAnsi="Calibri" w:eastAsia="Microsoft YaHei"/>
        <w:color w:val="657184"/>
        <w:sz w:val="17"/>
      </w:rPr>
      <w:t>iTentformer 改进说明  |  论文创新点素材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7E0009"/>
    <w:multiLevelType w:val="singleLevel"/>
    <w:tmpl w:val="C0DE0009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0">
    <w:abstractNumId w:val="9"/>
    <w:lvlOverride w:ilvl="0">
      <w:startOverride w:val="1"/>
    </w:lvlOverride>
  </w:num>
  <w:abstractNum w:abstractNumId="10">
    <w:nsid w:val="A17E000A"/>
    <w:multiLevelType w:val="singleLevel"/>
    <w:tmpl w:val="C0DE00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1">
    <w:abstractNumId w:val="10"/>
    <w:lvlOverride w:ilvl="0">
      <w:startOverride w:val="1"/>
    </w:lvlOverride>
  </w:num>
  <w:abstractNum w:abstractNumId="11">
    <w:nsid w:val="A17E000B"/>
    <w:multiLevelType w:val="singleLevel"/>
    <w:tmpl w:val="C0DE000B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2">
    <w:abstractNumId w:val="11"/>
    <w:lvlOverride w:ilvl="0">
      <w:startOverride w:val="1"/>
    </w:lvlOverride>
  </w:num>
  <w:abstractNum w:abstractNumId="12">
    <w:nsid w:val="A17E000C"/>
    <w:multiLevelType w:val="singleLevel"/>
    <w:tmpl w:val="C0DE00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3">
    <w:abstractNumId w:val="12"/>
    <w:lvlOverride w:ilvl="0">
      <w:startOverride w:val="1"/>
    </w:lvlOverride>
  </w:num>
  <w:abstractNum w:abstractNumId="13">
    <w:nsid w:val="A17E000D"/>
    <w:multiLevelType w:val="singleLevel"/>
    <w:tmpl w:val="C0DE000D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4">
    <w:abstractNumId w:val="13"/>
    <w:lvlOverride w:ilvl="0">
      <w:startOverride w:val="1"/>
    </w:lvlOverride>
  </w:num>
  <w:abstractNum w:abstractNumId="14">
    <w:nsid w:val="A17E000E"/>
    <w:multiLevelType w:val="singleLevel"/>
    <w:tmpl w:val="C0DE000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0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430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571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24304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ompact">
    <w:name w:val="Caption Compact"/>
    <w:pPr>
      <w:keepNext/>
      <w:spacing w:before="80" w:after="80" w:line="276" w:lineRule="auto"/>
    </w:pPr>
    <w:rPr>
      <w:rFonts w:ascii="Calibri" w:hAnsi="Calibri" w:eastAsia="Microsoft YaHei"/>
      <w:color w:val="657184"/>
      <w:sz w:val="18"/>
    </w:rPr>
  </w:style>
  <w:style w:type="paragraph" w:customStyle="1" w:styleId="CodeBlock">
    <w:name w:val="Code Block"/>
    <w:pPr>
      <w:spacing w:before="60" w:after="100" w:line="252" w:lineRule="auto"/>
      <w:ind w:left="259" w:right="259"/>
    </w:pPr>
    <w:rPr>
      <w:rFonts w:ascii="Consolas" w:hAnsi="Consolas" w:eastAsia="Microsoft YaHei"/>
      <w:color w:val="2430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iTentformer 丹麦 DMA 数据处理与模型创新改动说明</dc:title>
  <dc:subject>论文方法、创新点与消融实验写作素材</dc:subject>
  <dc:creator/>
  <cp:keywords>iTentformer, AIS, DMA, vessel trajectory prediction, route intent, Qwen</cp:keywords>
  <dc:description>Generated from the current repository configuration and v13/v14 logs.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