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031CB">
      <w:pPr>
        <w:spacing w:line="240" w:lineRule="auto"/>
        <w:ind w:left="125"/>
        <w:jc w:val="right"/>
        <w:rPr>
          <w:rFonts w:hint="eastAsia" w:ascii="宋体" w:hAnsi="宋体" w:cs="宋体"/>
          <w:color w:val="auto"/>
          <w:spacing w:val="-3"/>
          <w:sz w:val="18"/>
        </w:rPr>
      </w:pPr>
      <w:r>
        <w:rPr>
          <w:rFonts w:ascii="Calibri" w:hAnsi="Calibri" w:eastAsia="宋体" w:cs="宋体"/>
          <w:color w:val="auto"/>
          <w:spacing w:val="-3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第   页/共   页</w:t>
      </w:r>
      <w:r>
        <w:rPr>
          <w:rFonts w:hint="eastAsia" w:ascii="宋体" w:hAnsi="宋体" w:cs="宋体"/>
          <w:color w:val="auto"/>
          <w:spacing w:val="-3"/>
          <w:sz w:val="18"/>
        </w:rPr>
        <w:t xml:space="preserve"> </w:t>
      </w:r>
    </w:p>
    <w:p w14:paraId="7B652E76">
      <w:pPr>
        <w:spacing w:before="111" w:line="240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  <w:bookmarkStart w:id="6" w:name="_GoBack"/>
      <w:bookmarkEnd w:id="6"/>
    </w:p>
    <w:p w14:paraId="6F83A0DB">
      <w:pPr>
        <w:spacing w:before="91" w:line="240" w:lineRule="auto"/>
        <w:ind w:left="3469" w:hanging="3483" w:hangingChars="1684"/>
        <w:jc w:val="center"/>
        <w:outlineLvl w:val="2"/>
        <w:rPr>
          <w:rFonts w:hint="eastAsia" w:ascii="黑体" w:hAnsi="宋体" w:eastAsia="黑体" w:cs="黑体"/>
          <w:b/>
          <w:bCs/>
          <w:color w:val="auto"/>
          <w:szCs w:val="21"/>
        </w:rPr>
      </w:pPr>
      <w:bookmarkStart w:id="0" w:name="_Toc25302"/>
      <w:bookmarkStart w:id="1" w:name="_Toc11292"/>
      <w:bookmarkStart w:id="2" w:name="_Toc15478"/>
      <w:bookmarkStart w:id="3" w:name="_Toc8008"/>
      <w:bookmarkStart w:id="4" w:name="_Toc11502"/>
      <w:bookmarkStart w:id="5" w:name="_Toc3354"/>
      <w:r>
        <w:rPr>
          <w:rFonts w:hint="eastAsia" w:ascii="黑体" w:hAnsi="宋体" w:eastAsia="黑体" w:cs="黑体"/>
          <w:b/>
          <w:bCs/>
          <w:color w:val="auto"/>
          <w:spacing w:val="-2"/>
          <w:szCs w:val="21"/>
          <w:lang w:bidi="ar"/>
        </w:rPr>
        <w:t>混凝土拌合用水检测报告</w:t>
      </w:r>
      <w:bookmarkEnd w:id="0"/>
      <w:bookmarkEnd w:id="1"/>
      <w:bookmarkEnd w:id="2"/>
      <w:bookmarkEnd w:id="3"/>
      <w:bookmarkEnd w:id="4"/>
      <w:bookmarkEnd w:id="5"/>
    </w:p>
    <w:p w14:paraId="49A370A4">
      <w:pPr>
        <w:autoSpaceDE w:val="0"/>
        <w:snapToGrid w:val="0"/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  <w:lang w:bidi="ar"/>
        </w:rPr>
        <w:t>委托单位：</w:t>
      </w:r>
      <w:r>
        <w:rPr>
          <w:rFonts w:hint="eastAsia" w:ascii="宋体" w:hAnsi="宋体" w:eastAsia="宋体" w:cs="宋体"/>
          <w:color w:val="auto"/>
          <w:sz w:val="18"/>
          <w:u w:val="single"/>
          <w:lang w:bidi="ar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  <w:lang w:bidi="ar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</w:t>
      </w:r>
    </w:p>
    <w:p w14:paraId="689416BF">
      <w:pPr>
        <w:autoSpaceDE w:val="0"/>
        <w:snapToGrid w:val="0"/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                                                                      </w:t>
      </w:r>
    </w:p>
    <w:p w14:paraId="05D293F5">
      <w:pPr>
        <w:autoSpaceDE w:val="0"/>
        <w:snapToGrid w:val="0"/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  <w:lang w:bidi="ar"/>
        </w:rPr>
        <w:t xml:space="preserve"> 工程部位：</w:t>
      </w:r>
      <w:r>
        <w:rPr>
          <w:rFonts w:hint="eastAsia" w:ascii="宋体" w:hAnsi="宋体" w:eastAsia="宋体" w:cs="宋体"/>
          <w:color w:val="auto"/>
          <w:sz w:val="18"/>
          <w:u w:val="single"/>
          <w:lang w:bidi="ar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</w:t>
      </w:r>
    </w:p>
    <w:p w14:paraId="56E16363">
      <w:pPr>
        <w:autoSpaceDE w:val="0"/>
        <w:snapToGrid w:val="0"/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                                           </w:t>
      </w:r>
      <w:r>
        <w:rPr>
          <w:rFonts w:hint="eastAsia" w:ascii="宋体" w:hAnsi="宋体" w:eastAsia="宋体" w:cs="宋体"/>
          <w:color w:val="auto"/>
          <w:spacing w:val="-1"/>
          <w:sz w:val="18"/>
          <w:lang w:bidi="ar"/>
        </w:rPr>
        <w:t>见证人：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  <w:t xml:space="preserve">                   </w:t>
      </w:r>
    </w:p>
    <w:tbl>
      <w:tblPr>
        <w:tblStyle w:val="22"/>
        <w:tblW w:w="86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688"/>
        <w:gridCol w:w="267"/>
        <w:gridCol w:w="1254"/>
        <w:gridCol w:w="411"/>
        <w:gridCol w:w="936"/>
        <w:gridCol w:w="516"/>
        <w:gridCol w:w="1124"/>
        <w:gridCol w:w="6"/>
        <w:gridCol w:w="142"/>
        <w:gridCol w:w="1370"/>
        <w:gridCol w:w="1443"/>
      </w:tblGrid>
      <w:tr w14:paraId="34B51F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  <w:jc w:val="center"/>
        </w:trPr>
        <w:tc>
          <w:tcPr>
            <w:tcW w:w="500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96F0D0">
            <w:p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955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865A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25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F5410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7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9C111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640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5815D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18" w:type="dxa"/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31A9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4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859460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E2688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CC22E8">
            <w:p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68088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C4BB2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F7022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6D927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18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E2A04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48935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29E78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B2D841">
            <w:p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B2FC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1A36A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F6D5B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164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3F8569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</w:pPr>
          </w:p>
        </w:tc>
        <w:tc>
          <w:tcPr>
            <w:tcW w:w="1512" w:type="dxa"/>
            <w:gridSpan w:val="2"/>
            <w:tcBorders>
              <w:top w:val="single" w:color="000000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873C67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混凝土类型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auto" w:sz="4" w:space="0"/>
              <w:bottom w:val="nil"/>
              <w:right w:val="single" w:color="000000" w:sz="12" w:space="0"/>
            </w:tcBorders>
            <w:vAlign w:val="center"/>
          </w:tcPr>
          <w:p w14:paraId="788A2FF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</w:pPr>
          </w:p>
        </w:tc>
      </w:tr>
      <w:tr w14:paraId="00637C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D21EF3">
            <w:p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3464D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取水日期</w:t>
            </w:r>
          </w:p>
        </w:tc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CAB03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DDB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取水地点</w:t>
            </w:r>
          </w:p>
        </w:tc>
        <w:tc>
          <w:tcPr>
            <w:tcW w:w="460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B6A8A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468D3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9659E9">
            <w:p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7312F259">
            <w:p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9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8BD4F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389A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50CFC3">
            <w:pPr>
              <w:spacing w:line="240" w:lineRule="auto"/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00BFD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A277B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16C549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A0546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0C6DA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AEACF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202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98B902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40EF1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E7F3E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E356A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202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D08CD8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9C155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7D3A8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3391F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202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1B824B9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D6AA7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74CC1D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A476D2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检测项目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5626B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检测依据</w:t>
            </w: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55C1AB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技术要求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DB1AF8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lang w:bidi="ar"/>
              </w:rPr>
              <w:t>检测结果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23127B9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  <w:lang w:bidi="ar"/>
              </w:rPr>
              <w:t>单项判定</w:t>
            </w:r>
          </w:p>
        </w:tc>
      </w:tr>
      <w:tr w14:paraId="43EE21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A13D97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1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60853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pH值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00EDA4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ECDFB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359E69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32FA033D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ACDF74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E4F1FD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2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A65A6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不溶物（mg/L）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343A6B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5362FC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97B69C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02F5B7F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A22E6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F8CC42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3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C45FF2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可溶物（mg/L）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FBFFA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416188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269D73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0CC4023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E7767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06842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4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DE4DFB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Cl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  <w:lang w:bidi="ar"/>
              </w:rPr>
              <w:t>-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（mg/L）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C4C36B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390AC4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C33501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6F46E82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B40D8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16CE73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5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4A1D68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SO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bscript"/>
                <w:lang w:bidi="ar"/>
              </w:rPr>
              <w:t>4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  <w:lang w:bidi="ar"/>
              </w:rPr>
              <w:t>2-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（mg/L）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FDAB6D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83665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D646A2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A2BE66F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E272F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2C19D5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6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5F748F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碱含量（mg/L）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FF294E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1724FF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61171A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04AC240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1EFF0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E3CECA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7</w:t>
            </w:r>
          </w:p>
        </w:tc>
        <w:tc>
          <w:tcPr>
            <w:tcW w:w="26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92FCD8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凝结时间差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（min）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298717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5527B6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5E448B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3B3B15B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7860F3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0E0ED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8</w:t>
            </w: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1CE793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胶砂</w:t>
            </w:r>
          </w:p>
          <w:p w14:paraId="760A059F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强度</w:t>
            </w:r>
          </w:p>
        </w:tc>
        <w:tc>
          <w:tcPr>
            <w:tcW w:w="19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03F9E2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3天抗折强度（MPa）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F8025C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E83731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929C19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07E7171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0DB5E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189DE4EE">
            <w:pPr>
              <w:spacing w:line="240" w:lineRule="auto"/>
              <w:ind w:left="257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DB2231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9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0561D3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3天抗压强度（MPa）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218F0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3AB18F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E43ED1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1735725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0265B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7F6AAAA5">
            <w:pPr>
              <w:spacing w:line="240" w:lineRule="auto"/>
              <w:ind w:left="257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A2B7C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9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CE1C1A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28天抗折强度（MPa）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53C1EC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4D69A3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626372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316EDC6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8913D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50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3A6D72BA">
            <w:pPr>
              <w:spacing w:line="240" w:lineRule="auto"/>
              <w:ind w:left="257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1D56CB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93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D94DE1">
            <w:pPr>
              <w:autoSpaceDE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>28天抗压强度（MPa）</w:t>
            </w:r>
          </w:p>
        </w:tc>
        <w:tc>
          <w:tcPr>
            <w:tcW w:w="14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19D890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7CEB07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C2536F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8C615F0">
            <w:pPr>
              <w:autoSpaceDE w:val="0"/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8031C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145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37A6AE">
            <w:pPr>
              <w:autoSpaceDE w:val="0"/>
              <w:spacing w:line="240" w:lineRule="auto"/>
              <w:ind w:left="618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  <w:lang w:bidi="ar"/>
              </w:rPr>
              <w:t>结论</w:t>
            </w:r>
          </w:p>
        </w:tc>
        <w:tc>
          <w:tcPr>
            <w:tcW w:w="7202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691863D">
            <w:pPr>
              <w:autoSpaceDE w:val="0"/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426C7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  <w:jc w:val="center"/>
        </w:trPr>
        <w:tc>
          <w:tcPr>
            <w:tcW w:w="145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027B1DF9">
            <w:pPr>
              <w:autoSpaceDE w:val="0"/>
              <w:spacing w:line="240" w:lineRule="auto"/>
              <w:ind w:left="616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  <w:lang w:bidi="ar"/>
              </w:rPr>
              <w:t>备注</w:t>
            </w:r>
          </w:p>
        </w:tc>
        <w:tc>
          <w:tcPr>
            <w:tcW w:w="7202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34CA3BD">
            <w:pPr>
              <w:autoSpaceDE w:val="0"/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6AB7E959">
      <w:pPr>
        <w:pStyle w:val="19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/>
        <w:ind w:left="210" w:leftChars="100"/>
        <w:jc w:val="both"/>
        <w:textAlignment w:val="auto"/>
        <w:rPr>
          <w:rFonts w:hint="eastAsia" w:ascii="宋体" w:hAnsi="宋体" w:eastAsia="宋体" w:cs="宋体"/>
          <w:color w:val="auto"/>
          <w:spacing w:val="4"/>
          <w:sz w:val="18"/>
        </w:rPr>
      </w:pPr>
      <w:r>
        <w:rPr>
          <w:rFonts w:hint="eastAsia" w:ascii="宋体" w:hAnsi="宋体" w:eastAsia="宋体" w:cs="宋体"/>
          <w:color w:val="auto"/>
          <w:spacing w:val="4"/>
          <w:sz w:val="18"/>
        </w:rPr>
        <w:t>批准：</w:t>
      </w:r>
      <w:r>
        <w:rPr>
          <w:rFonts w:hint="eastAsia" w:ascii="宋体" w:hAnsi="宋体" w:eastAsia="宋体" w:cs="宋体"/>
          <w:color w:val="auto"/>
          <w:spacing w:val="1"/>
          <w:sz w:val="18"/>
        </w:rPr>
        <w:t xml:space="preserve">               </w:t>
      </w:r>
      <w:r>
        <w:rPr>
          <w:rFonts w:hint="eastAsia" w:ascii="宋体" w:hAnsi="宋体" w:eastAsia="宋体" w:cs="宋体"/>
          <w:color w:val="auto"/>
          <w:spacing w:val="4"/>
          <w:sz w:val="18"/>
        </w:rPr>
        <w:t>审核：                检测：                 检测单位检测专用章（盖章）</w:t>
      </w:r>
    </w:p>
    <w:p w14:paraId="0E416630">
      <w:pPr>
        <w:pStyle w:val="8"/>
        <w:wordWrap w:val="0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 </w:t>
      </w:r>
    </w:p>
    <w:p w14:paraId="7E9DE717">
      <w:pPr>
        <w:snapToGrid w:val="0"/>
        <w:spacing w:line="360" w:lineRule="auto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1B452E92">
      <w:pPr>
        <w:snapToGrid w:val="0"/>
        <w:spacing w:line="360" w:lineRule="auto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5E57C80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2845419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02CBF62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239D384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68510D6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244743D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6A5B76D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BD56AC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54EFB3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1DFFA0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CEF0CE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A54B64C">
      <w:pPr>
        <w:spacing w:line="360" w:lineRule="auto"/>
        <w:ind w:right="-340" w:rightChars="-162"/>
        <w:contextualSpacing/>
        <w:jc w:val="left"/>
        <w:rPr>
          <w:rFonts w:hint="eastAsia" w:eastAsia="宋体" w:cs="Times New Roman"/>
          <w:color w:val="auto"/>
          <w:sz w:val="24"/>
          <w:szCs w:val="24"/>
        </w:rPr>
      </w:pPr>
      <w:r>
        <w:rPr>
          <w:rFonts w:hint="eastAsia" w:eastAsia="宋体" w:cs="Times New Roman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1A5D797F">
      <w:pPr>
        <w:snapToGrid w:val="0"/>
        <w:spacing w:line="360" w:lineRule="auto"/>
        <w:jc w:val="center"/>
        <w:rPr>
          <w:rFonts w:hint="eastAsia" w:ascii="黑体" w:eastAsia="黑体" w:cs="Times New Roman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1A51E8A4">
      <w:pPr>
        <w:spacing w:line="240" w:lineRule="auto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2AD55C39">
      <w:pPr>
        <w:spacing w:line="240" w:lineRule="auto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Cs w:val="21"/>
        </w:rPr>
        <w:t>2、报告无检测人员、审核人员、报告批准人签字无效。</w:t>
      </w:r>
    </w:p>
    <w:p w14:paraId="6D51C3CA">
      <w:pPr>
        <w:spacing w:line="240" w:lineRule="auto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Cs w:val="21"/>
        </w:rPr>
        <w:t>3、报告涂改无效。</w:t>
      </w:r>
    </w:p>
    <w:p w14:paraId="042009EE">
      <w:pPr>
        <w:spacing w:line="240" w:lineRule="auto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71605A42">
      <w:pPr>
        <w:spacing w:line="240" w:lineRule="auto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Cs w:val="21"/>
        </w:rPr>
        <w:t>5、电子报告请扫描封面二维码查询真伪。</w:t>
      </w:r>
    </w:p>
    <w:p w14:paraId="03F7CA4A">
      <w:pPr>
        <w:spacing w:line="240" w:lineRule="auto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Cs w:val="21"/>
        </w:rPr>
        <w:t>6、委托检测仅对来样及所检工程当时状态负责。</w:t>
      </w:r>
    </w:p>
    <w:p w14:paraId="1408FEBD">
      <w:pPr>
        <w:spacing w:line="240" w:lineRule="auto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2B6BC156">
      <w:pPr>
        <w:spacing w:line="240" w:lineRule="auto"/>
      </w:pPr>
      <w:r>
        <w:rPr>
          <w:rFonts w:hint="eastAsia" w:ascii="Times New Roman" w:hAnsi="Times New Roman" w:eastAsia="宋体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BD2A02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7546D9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5E5013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579</Words>
  <Characters>629</Characters>
  <Lines>3969</Lines>
  <Paragraphs>1117</Paragraphs>
  <TotalTime>19</TotalTime>
  <ScaleCrop>false</ScaleCrop>
  <LinksUpToDate>false</LinksUpToDate>
  <CharactersWithSpaces>1223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