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A69" w:rsidRDefault="009F3A69">
      <w:bookmarkStart w:id="0" w:name="_GoBack"/>
      <w:r w:rsidRPr="009F3A69">
        <w:t>Seurat - Guided Clustering</w:t>
      </w:r>
      <w:r w:rsidR="00B83951">
        <w:t>/pbmc3k</w:t>
      </w:r>
      <w:r w:rsidRPr="009F3A69">
        <w:t xml:space="preserve"> Tutorial</w:t>
      </w:r>
      <w:r w:rsidR="007D7BB9">
        <w:t xml:space="preserve"> </w:t>
      </w:r>
      <w:bookmarkEnd w:id="0"/>
      <w:r w:rsidR="007D7BB9">
        <w:t>(outputs not shown)</w:t>
      </w:r>
    </w:p>
    <w:p w:rsidR="009F3A69" w:rsidRDefault="009F3A69"/>
    <w:p w:rsidR="009F3A69" w:rsidRDefault="009F3A69">
      <w:r>
        <w:t xml:space="preserve">Find the original site here: </w:t>
      </w:r>
      <w:hyperlink r:id="rId5" w:history="1">
        <w:r w:rsidRPr="004418F5">
          <w:rPr>
            <w:rStyle w:val="Hyperlink"/>
          </w:rPr>
          <w:t>https://satijalab.org/seurat/v3.1/pbmc3k_tutorial.html</w:t>
        </w:r>
      </w:hyperlink>
      <w:r>
        <w:t xml:space="preserve"> </w:t>
      </w:r>
    </w:p>
    <w:p w:rsidR="0068202E" w:rsidRDefault="0068202E"/>
    <w:p w:rsidR="009F3A69" w:rsidRDefault="009F3A69">
      <w:r>
        <w:t xml:space="preserve">First download </w:t>
      </w:r>
      <w:hyperlink r:id="rId6" w:history="1">
        <w:r w:rsidRPr="009F3A69">
          <w:rPr>
            <w:rStyle w:val="Hyperlink"/>
          </w:rPr>
          <w:t>this</w:t>
        </w:r>
      </w:hyperlink>
      <w:r>
        <w:t xml:space="preserve"> and copy it into a safe location</w:t>
      </w:r>
    </w:p>
    <w:p w:rsidR="009F3A69" w:rsidRDefault="009F3A69"/>
    <w:p w:rsidR="009F3A69" w:rsidRDefault="009F3A69">
      <w:r>
        <w:t>To begin you should load libraries into R. These libraries are created by a third party and make it very easy to get a jumpstart on your code.</w:t>
      </w:r>
    </w:p>
    <w:p w:rsidR="009F3A69" w:rsidRDefault="009F3A69"/>
    <w:bookmarkStart w:id="1" w:name="_MON_1654024295"/>
    <w:bookmarkEnd w:id="1"/>
    <w:p w:rsidR="009F3A69" w:rsidRDefault="009F3A69">
      <w:r w:rsidRPr="000A2499">
        <w:rPr>
          <w:highlight w:val="lightGray"/>
        </w:rPr>
        <w:object w:dxaOrig="9360" w:dyaOrig="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40.5pt" o:ole="">
            <v:imagedata r:id="rId7" o:title=""/>
          </v:shape>
          <o:OLEObject Type="Embed" ProgID="Word.OpenDocumentText.12" ShapeID="_x0000_i1025" DrawAspect="Content" ObjectID="_1654546692" r:id="rId8"/>
        </w:object>
      </w:r>
      <w:r>
        <w:br/>
      </w:r>
    </w:p>
    <w:p w:rsidR="0038705A" w:rsidRDefault="0038705A">
      <w:r>
        <w:t xml:space="preserve">After doing this you should copy your file address </w:t>
      </w:r>
    </w:p>
    <w:p w:rsidR="0038705A" w:rsidRDefault="0038705A"/>
    <w:p w:rsidR="0038705A" w:rsidRDefault="0038705A">
      <w:r>
        <w:rPr>
          <w:noProof/>
        </w:rPr>
        <w:drawing>
          <wp:inline distT="0" distB="0" distL="0" distR="0" wp14:anchorId="55E3D2C7" wp14:editId="0C2B6805">
            <wp:extent cx="4153883" cy="345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594" cy="3463993"/>
                    </a:xfrm>
                    <a:prstGeom prst="rect">
                      <a:avLst/>
                    </a:prstGeom>
                  </pic:spPr>
                </pic:pic>
              </a:graphicData>
            </a:graphic>
          </wp:inline>
        </w:drawing>
      </w:r>
      <w:r>
        <w:t xml:space="preserve"> </w:t>
      </w:r>
    </w:p>
    <w:p w:rsidR="0038705A" w:rsidRDefault="0038705A"/>
    <w:p w:rsidR="0038705A" w:rsidRDefault="0038705A">
      <w:r>
        <w:t xml:space="preserve">The method I found being the easiest is by right clicking what is circled in red and clicking copy address. The only issue is that when you do this you get backslashes instead of forward slashed. I recommend copying the file address into word or a text and editing the slashes like this </w:t>
      </w:r>
    </w:p>
    <w:p w:rsidR="0038705A" w:rsidRDefault="0038705A"/>
    <w:p w:rsidR="0038705A" w:rsidRDefault="0038705A">
      <w:r w:rsidRPr="0038705A">
        <w:t>C:\Lab08-Data-Wrangling-scRNAseq\pbmc3k_filtered_gene_bc_matrices\filtered_gene_bc_matrices\hg19</w:t>
      </w:r>
    </w:p>
    <w:p w:rsidR="00CB1B6E" w:rsidRDefault="00CB1B6E"/>
    <w:p w:rsidR="00CB1B6E" w:rsidRDefault="00CB1B6E">
      <w:r>
        <w:t>To</w:t>
      </w:r>
    </w:p>
    <w:p w:rsidR="00CB1B6E" w:rsidRDefault="00CB1B6E"/>
    <w:p w:rsidR="00CB1B6E" w:rsidRDefault="00CB1B6E">
      <w:r>
        <w:t>C</w:t>
      </w:r>
      <w:proofErr w:type="gramStart"/>
      <w:r>
        <w:t>:</w:t>
      </w:r>
      <w:r w:rsidRPr="00CB1B6E">
        <w:rPr>
          <w:color w:val="FF0000"/>
        </w:rPr>
        <w:t>/</w:t>
      </w:r>
      <w:proofErr w:type="gramEnd"/>
      <w:r>
        <w:t>Lab08-Data-Wrangling-scRNAseq</w:t>
      </w:r>
      <w:r w:rsidRPr="00CB1B6E">
        <w:rPr>
          <w:color w:val="FF0000"/>
        </w:rPr>
        <w:t>/</w:t>
      </w:r>
      <w:r w:rsidRPr="00CB1B6E">
        <w:t>pb</w:t>
      </w:r>
      <w:r>
        <w:t>mc3k_filtered_gene_bc_matrices</w:t>
      </w:r>
      <w:r w:rsidRPr="00CB1B6E">
        <w:rPr>
          <w:color w:val="FF0000"/>
        </w:rPr>
        <w:t>/</w:t>
      </w:r>
      <w:r w:rsidRPr="00CB1B6E">
        <w:t>f</w:t>
      </w:r>
      <w:r>
        <w:t>iltered_gene_bc_matrices</w:t>
      </w:r>
      <w:r w:rsidRPr="00CB1B6E">
        <w:rPr>
          <w:color w:val="FF0000"/>
        </w:rPr>
        <w:t>/</w:t>
      </w:r>
      <w:r w:rsidRPr="00CB1B6E">
        <w:t>hg19</w:t>
      </w:r>
      <w:r>
        <w:t xml:space="preserve"> </w:t>
      </w:r>
    </w:p>
    <w:p w:rsidR="00CB1B6E" w:rsidRDefault="00CB1B6E"/>
    <w:p w:rsidR="00CB1B6E" w:rsidRDefault="00CB1B6E">
      <w:r>
        <w:t xml:space="preserve">Utilize this whenever it says </w:t>
      </w:r>
      <w:r w:rsidRPr="00CB1B6E">
        <w:rPr>
          <w:color w:val="FF0000"/>
        </w:rPr>
        <w:t>Your file address</w:t>
      </w:r>
      <w:r>
        <w:t xml:space="preserve"> and copy and paste it to replace the text there</w:t>
      </w:r>
    </w:p>
    <w:p w:rsidR="0038705A" w:rsidRDefault="0038705A"/>
    <w:p w:rsidR="009F3A69" w:rsidRDefault="009F3A69">
      <w:r>
        <w:t xml:space="preserve">Next you should load the PBMC dataset. PBMC stands for </w:t>
      </w:r>
      <w:r w:rsidRPr="009F3A69">
        <w:t>Peripheral Blood Mononuclear Cells</w:t>
      </w:r>
      <w:r>
        <w:t>.</w:t>
      </w:r>
    </w:p>
    <w:p w:rsidR="009F3A69" w:rsidRPr="009F3A69" w:rsidRDefault="009F3A69" w:rsidP="009F3A69"/>
    <w:bookmarkStart w:id="2" w:name="_MON_1654024423"/>
    <w:bookmarkEnd w:id="2"/>
    <w:p w:rsidR="009F3A69" w:rsidRDefault="0038705A" w:rsidP="009F3A69">
      <w:r w:rsidRPr="000A2499">
        <w:rPr>
          <w:highlight w:val="lightGray"/>
        </w:rPr>
        <w:object w:dxaOrig="9360" w:dyaOrig="269">
          <v:shape id="_x0000_i1050" type="#_x0000_t75" style="width:493.5pt;height:13.5pt" o:ole="">
            <v:imagedata r:id="rId10" o:title=""/>
          </v:shape>
          <o:OLEObject Type="Embed" ProgID="Word.OpenDocumentText.12" ShapeID="_x0000_i1050" DrawAspect="Content" ObjectID="_1654546693" r:id="rId11"/>
        </w:object>
      </w:r>
    </w:p>
    <w:p w:rsidR="00CB1B6E" w:rsidRDefault="00CB1B6E" w:rsidP="009F3A69">
      <w:r>
        <w:t>Example:</w:t>
      </w:r>
    </w:p>
    <w:p w:rsidR="00CB1B6E" w:rsidRDefault="00CB1B6E" w:rsidP="009F3A69"/>
    <w:bookmarkStart w:id="3" w:name="_MON_1654026415"/>
    <w:bookmarkEnd w:id="3"/>
    <w:p w:rsidR="00CB1B6E" w:rsidRDefault="00CB1B6E" w:rsidP="009F3A69">
      <w:r w:rsidRPr="000A2499">
        <w:rPr>
          <w:highlight w:val="lightGray"/>
        </w:rPr>
        <w:object w:dxaOrig="9360" w:dyaOrig="537">
          <v:shape id="_x0000_i1026" type="#_x0000_t75" style="width:493.5pt;height:27pt" o:ole="">
            <v:imagedata r:id="rId12" o:title=""/>
          </v:shape>
          <o:OLEObject Type="Embed" ProgID="Word.OpenDocumentText.12" ShapeID="_x0000_i1026" DrawAspect="Content" ObjectID="_1654546694" r:id="rId13"/>
        </w:object>
      </w:r>
    </w:p>
    <w:p w:rsidR="009F3A69" w:rsidRDefault="009F3A69" w:rsidP="009F3A69">
      <w:r>
        <w:t xml:space="preserve">The Read10X function used above helps you by reading the output of the </w:t>
      </w:r>
      <w:hyperlink r:id="rId14" w:history="1">
        <w:proofErr w:type="spellStart"/>
        <w:r w:rsidRPr="000A2499">
          <w:t>cellranger</w:t>
        </w:r>
        <w:proofErr w:type="spellEnd"/>
        <w:r w:rsidRPr="000A2499">
          <w:t> </w:t>
        </w:r>
      </w:hyperlink>
      <w:r w:rsidRPr="009F3A69">
        <w:t>pipeline</w:t>
      </w:r>
      <w:r w:rsidR="000A2499">
        <w:t xml:space="preserve">. Then it will return a </w:t>
      </w:r>
      <w:r w:rsidR="000A2499" w:rsidRPr="000A2499">
        <w:t>unique molecular identified or UMI count matrix</w:t>
      </w:r>
    </w:p>
    <w:p w:rsidR="000A2499" w:rsidRDefault="000A2499" w:rsidP="009F3A69"/>
    <w:p w:rsidR="000A2499" w:rsidRDefault="000A2499" w:rsidP="009F3A69">
      <w:r>
        <w:t>After loading the dataset you should initialize the Seurat object with the raw (non-normalized data)</w:t>
      </w:r>
    </w:p>
    <w:p w:rsidR="000A2499" w:rsidRDefault="000A2499" w:rsidP="000A2499"/>
    <w:bookmarkStart w:id="4" w:name="_MON_1654024659"/>
    <w:bookmarkEnd w:id="4"/>
    <w:p w:rsidR="000A2499" w:rsidRDefault="007D7BB9" w:rsidP="000A2499">
      <w:r w:rsidRPr="000A2499">
        <w:rPr>
          <w:highlight w:val="lightGray"/>
        </w:rPr>
        <w:object w:dxaOrig="9360" w:dyaOrig="269">
          <v:shape id="_x0000_i1027" type="#_x0000_t75" style="width:493.5pt;height:13.5pt" o:ole="">
            <v:imagedata r:id="rId15" o:title=""/>
          </v:shape>
          <o:OLEObject Type="Embed" ProgID="Word.OpenDocumentText.12" ShapeID="_x0000_i1027" DrawAspect="Content" ObjectID="_1654546695" r:id="rId16"/>
        </w:object>
      </w:r>
    </w:p>
    <w:p w:rsidR="000A2499" w:rsidRDefault="000A2499" w:rsidP="000A2499">
      <w:r>
        <w:t>Error:</w:t>
      </w:r>
    </w:p>
    <w:bookmarkStart w:id="5" w:name="_MON_1654025124"/>
    <w:bookmarkEnd w:id="5"/>
    <w:p w:rsidR="000A2499" w:rsidRDefault="0038705A" w:rsidP="000A2499">
      <w:r w:rsidRPr="000A2499">
        <w:rPr>
          <w:highlight w:val="lightGray"/>
        </w:rPr>
        <w:object w:dxaOrig="9360" w:dyaOrig="2686">
          <v:shape id="_x0000_i1028" type="#_x0000_t75" style="width:493.5pt;height:135pt" o:ole="">
            <v:imagedata r:id="rId17" o:title=""/>
          </v:shape>
          <o:OLEObject Type="Embed" ProgID="Word.OpenDocumentText.12" ShapeID="_x0000_i1028" DrawAspect="Content" ObjectID="_1654546696" r:id="rId18"/>
        </w:object>
      </w:r>
    </w:p>
    <w:p w:rsidR="0038705A" w:rsidRDefault="000A2499" w:rsidP="000A2499">
      <w:r>
        <w:t xml:space="preserve">According to </w:t>
      </w:r>
      <w:hyperlink r:id="rId19" w:history="1">
        <w:proofErr w:type="spellStart"/>
        <w:r w:rsidRPr="000A2499">
          <w:rPr>
            <w:rStyle w:val="Hyperlink"/>
          </w:rPr>
          <w:t>github</w:t>
        </w:r>
        <w:proofErr w:type="spellEnd"/>
      </w:hyperlink>
      <w:r>
        <w:t xml:space="preserve"> I should be using </w:t>
      </w:r>
      <w:proofErr w:type="spellStart"/>
      <w:r>
        <w:t>backticks</w:t>
      </w:r>
      <w:proofErr w:type="spellEnd"/>
      <w:r>
        <w:t>. This isn’t working for me</w:t>
      </w:r>
      <w:r w:rsidR="0038705A">
        <w:t xml:space="preserve"> </w:t>
      </w:r>
    </w:p>
    <w:p w:rsidR="0038705A" w:rsidRDefault="0038705A" w:rsidP="000A2499">
      <w:r>
        <w:rPr>
          <w:i/>
        </w:rPr>
        <w:t>Shown from the second line of code</w:t>
      </w:r>
      <w:r w:rsidR="000A2499">
        <w:t xml:space="preserve"> </w:t>
      </w:r>
    </w:p>
    <w:p w:rsidR="0038705A" w:rsidRDefault="0038705A" w:rsidP="000A2499"/>
    <w:p w:rsidR="007D7BB9" w:rsidRDefault="007D7BB9" w:rsidP="000A2499">
      <w:pPr>
        <w:rPr>
          <w:color w:val="00B050"/>
        </w:rPr>
      </w:pPr>
      <w:r>
        <w:t xml:space="preserve">Issue: </w:t>
      </w:r>
      <w:r w:rsidRPr="007D7BB9">
        <w:rPr>
          <w:color w:val="00B050"/>
        </w:rPr>
        <w:t>Resolved</w:t>
      </w:r>
    </w:p>
    <w:p w:rsidR="007D7BB9" w:rsidRDefault="007D7BB9" w:rsidP="000A2499">
      <w:pPr>
        <w:rPr>
          <w:color w:val="00B050"/>
        </w:rPr>
      </w:pPr>
    </w:p>
    <w:p w:rsidR="007D7BB9" w:rsidRPr="007D7BB9" w:rsidRDefault="007D7BB9" w:rsidP="000A2499">
      <w:pPr>
        <w:rPr>
          <w:b/>
          <w:color w:val="00B050"/>
        </w:rPr>
      </w:pPr>
      <w:r w:rsidRPr="007D7BB9">
        <w:rPr>
          <w:b/>
          <w:color w:val="00B050"/>
        </w:rPr>
        <w:t>Ignore the warning</w:t>
      </w:r>
    </w:p>
    <w:p w:rsidR="007D7BB9" w:rsidRDefault="007D7BB9" w:rsidP="000A2499"/>
    <w:bookmarkStart w:id="6" w:name="_MON_1654353422"/>
    <w:bookmarkEnd w:id="6"/>
    <w:p w:rsidR="00EE5153" w:rsidRDefault="007D7BB9" w:rsidP="000A2499">
      <w:r w:rsidRPr="000A2499">
        <w:rPr>
          <w:highlight w:val="lightGray"/>
        </w:rPr>
        <w:object w:dxaOrig="9360" w:dyaOrig="269">
          <v:shape id="_x0000_i1029" type="#_x0000_t75" style="width:493.5pt;height:13.5pt" o:ole="">
            <v:imagedata r:id="rId20" o:title=""/>
          </v:shape>
          <o:OLEObject Type="Embed" ProgID="Word.OpenDocumentText.12" ShapeID="_x0000_i1029" DrawAspect="Content" ObjectID="_1654546697" r:id="rId21"/>
        </w:object>
      </w:r>
    </w:p>
    <w:p w:rsidR="00EE5153" w:rsidRDefault="007D7BB9" w:rsidP="00EE5153">
      <w:r>
        <w:t>This tells you what the dataset contains</w:t>
      </w:r>
    </w:p>
    <w:p w:rsidR="007D7BB9" w:rsidRDefault="007D7BB9" w:rsidP="00EE5153"/>
    <w:p w:rsidR="007D7BB9" w:rsidRDefault="007D7BB9" w:rsidP="00EE5153">
      <w:r>
        <w:t xml:space="preserve">To examine a few genes from the first </w:t>
      </w:r>
      <w:r w:rsidRPr="007D7BB9">
        <w:rPr>
          <w:b/>
        </w:rPr>
        <w:t>thirty</w:t>
      </w:r>
      <w:r>
        <w:rPr>
          <w:b/>
        </w:rPr>
        <w:t xml:space="preserve"> </w:t>
      </w:r>
      <w:r w:rsidRPr="007D7BB9">
        <w:t>cells</w:t>
      </w:r>
      <w:r>
        <w:t xml:space="preserve"> do this</w:t>
      </w:r>
    </w:p>
    <w:p w:rsidR="007D7BB9" w:rsidRDefault="007D7BB9" w:rsidP="007D7BB9"/>
    <w:bookmarkStart w:id="7" w:name="_MON_1654353647"/>
    <w:bookmarkEnd w:id="7"/>
    <w:p w:rsidR="007D7BB9" w:rsidRDefault="007D7BB9" w:rsidP="007D7BB9">
      <w:r w:rsidRPr="000A2499">
        <w:rPr>
          <w:highlight w:val="lightGray"/>
        </w:rPr>
        <w:object w:dxaOrig="9360" w:dyaOrig="269">
          <v:shape id="_x0000_i1030" type="#_x0000_t75" style="width:493.5pt;height:13.5pt" o:ole="">
            <v:imagedata r:id="rId22" o:title=""/>
          </v:shape>
          <o:OLEObject Type="Embed" ProgID="Word.OpenDocumentText.12" ShapeID="_x0000_i1030" DrawAspect="Content" ObjectID="_1654546698" r:id="rId23"/>
        </w:object>
      </w:r>
    </w:p>
    <w:p w:rsidR="007D7BB9" w:rsidRDefault="007D7BB9" w:rsidP="007D7BB9">
      <w:r>
        <w:lastRenderedPageBreak/>
        <w:t xml:space="preserve">Whenever you see “.” These values represent zeroes. In other words it tells you that there are no molecules detected. Due to </w:t>
      </w:r>
      <w:r w:rsidRPr="007D7BB9">
        <w:t xml:space="preserve">most values in a </w:t>
      </w:r>
      <w:proofErr w:type="spellStart"/>
      <w:r w:rsidRPr="007D7BB9">
        <w:t>scRNA-seq</w:t>
      </w:r>
      <w:proofErr w:type="spellEnd"/>
      <w:r w:rsidRPr="007D7BB9">
        <w:t xml:space="preserve"> matrix </w:t>
      </w:r>
      <w:r>
        <w:t xml:space="preserve">being zeros sparse-matrix representation is used more frequently. This saves time and memory for </w:t>
      </w:r>
      <w:r w:rsidRPr="007D7BB9">
        <w:t>Drop-</w:t>
      </w:r>
      <w:proofErr w:type="spellStart"/>
      <w:r w:rsidRPr="007D7BB9">
        <w:t>seq</w:t>
      </w:r>
      <w:proofErr w:type="spellEnd"/>
      <w:r w:rsidRPr="007D7BB9">
        <w:t>/</w:t>
      </w:r>
      <w:proofErr w:type="spellStart"/>
      <w:r w:rsidRPr="007D7BB9">
        <w:t>inDrop</w:t>
      </w:r>
      <w:proofErr w:type="spellEnd"/>
      <w:r w:rsidRPr="007D7BB9">
        <w:t>/10x data.</w:t>
      </w:r>
    </w:p>
    <w:p w:rsidR="007D7BB9" w:rsidRDefault="007D7BB9" w:rsidP="007D7BB9"/>
    <w:p w:rsidR="007D7BB9" w:rsidRDefault="007D7BB9" w:rsidP="007D7BB9">
      <w:r>
        <w:t>The following are various methods to check the sizes of the data</w:t>
      </w:r>
    </w:p>
    <w:p w:rsidR="007D7BB9" w:rsidRDefault="007D7BB9" w:rsidP="007D7BB9"/>
    <w:bookmarkStart w:id="8" w:name="_MON_1654353939"/>
    <w:bookmarkEnd w:id="8"/>
    <w:p w:rsidR="007D7BB9" w:rsidRDefault="007D7BB9" w:rsidP="007D7BB9">
      <w:r w:rsidRPr="000A2499">
        <w:rPr>
          <w:highlight w:val="lightGray"/>
        </w:rPr>
        <w:object w:dxaOrig="9360" w:dyaOrig="537">
          <v:shape id="_x0000_i1051" type="#_x0000_t75" style="width:493.5pt;height:27pt" o:ole="">
            <v:imagedata r:id="rId24" o:title=""/>
          </v:shape>
          <o:OLEObject Type="Embed" ProgID="Word.OpenDocumentText.12" ShapeID="_x0000_i1051" DrawAspect="Content" ObjectID="_1654546699" r:id="rId25"/>
        </w:object>
      </w:r>
    </w:p>
    <w:bookmarkStart w:id="9" w:name="_MON_1654353952"/>
    <w:bookmarkEnd w:id="9"/>
    <w:p w:rsidR="007D7BB9" w:rsidRDefault="007D7BB9" w:rsidP="007D7BB9">
      <w:r w:rsidRPr="000A2499">
        <w:rPr>
          <w:highlight w:val="lightGray"/>
        </w:rPr>
        <w:object w:dxaOrig="9360" w:dyaOrig="537">
          <v:shape id="_x0000_i1031" type="#_x0000_t75" style="width:493.5pt;height:27pt" o:ole="">
            <v:imagedata r:id="rId26" o:title=""/>
          </v:shape>
          <o:OLEObject Type="Embed" ProgID="Word.OpenDocumentText.12" ShapeID="_x0000_i1031" DrawAspect="Content" ObjectID="_1654546700" r:id="rId27"/>
        </w:object>
      </w:r>
    </w:p>
    <w:bookmarkStart w:id="10" w:name="_MON_1654353966"/>
    <w:bookmarkEnd w:id="10"/>
    <w:p w:rsidR="005521CB" w:rsidRDefault="007D7BB9" w:rsidP="007D7BB9">
      <w:r w:rsidRPr="000A2499">
        <w:rPr>
          <w:highlight w:val="lightGray"/>
        </w:rPr>
        <w:object w:dxaOrig="9360" w:dyaOrig="269">
          <v:shape id="_x0000_i1032" type="#_x0000_t75" style="width:493.5pt;height:13.5pt" o:ole="">
            <v:imagedata r:id="rId28" o:title=""/>
          </v:shape>
          <o:OLEObject Type="Embed" ProgID="Word.OpenDocumentText.12" ShapeID="_x0000_i1032" DrawAspect="Content" ObjectID="_1654546701" r:id="rId29"/>
        </w:object>
      </w:r>
    </w:p>
    <w:p w:rsidR="007D7BB9" w:rsidRDefault="001A0DF7" w:rsidP="005521CB">
      <w:r>
        <w:t>How to stash QC stats.</w:t>
      </w:r>
    </w:p>
    <w:p w:rsidR="001A0DF7" w:rsidRDefault="001A0DF7" w:rsidP="005521CB"/>
    <w:bookmarkStart w:id="11" w:name="_MON_1654355100"/>
    <w:bookmarkEnd w:id="11"/>
    <w:p w:rsidR="001A0DF7" w:rsidRDefault="001A0DF7" w:rsidP="005521CB">
      <w:r w:rsidRPr="000A2499">
        <w:rPr>
          <w:highlight w:val="lightGray"/>
        </w:rPr>
        <w:object w:dxaOrig="9360" w:dyaOrig="269">
          <v:shape id="_x0000_i1033" type="#_x0000_t75" style="width:493.5pt;height:13.5pt" o:ole="">
            <v:imagedata r:id="rId30" o:title=""/>
          </v:shape>
          <o:OLEObject Type="Embed" ProgID="Word.OpenDocumentText.12" ShapeID="_x0000_i1033" DrawAspect="Content" ObjectID="_1654546702" r:id="rId31"/>
        </w:object>
      </w:r>
    </w:p>
    <w:p w:rsidR="001A0DF7" w:rsidRDefault="001A0DF7" w:rsidP="005521CB">
      <w:r>
        <w:t xml:space="preserve">The [[adds columns to the object </w:t>
      </w:r>
      <w:proofErr w:type="gramStart"/>
      <w:r>
        <w:t>meta</w:t>
      </w:r>
      <w:proofErr w:type="gramEnd"/>
      <w:r>
        <w:t xml:space="preserve"> data. The MT- helps you use the set of genes starting with MT – as a set of mitochondrial genes. You can calculate mitochondrial QC metrics using the </w:t>
      </w:r>
      <w:proofErr w:type="spellStart"/>
      <w:r>
        <w:t>PercentageFeatureSet</w:t>
      </w:r>
      <w:proofErr w:type="spellEnd"/>
      <w:r>
        <w:t xml:space="preserve"> function. This function calculates the percentage of counts originating from a set of features.</w:t>
      </w:r>
    </w:p>
    <w:p w:rsidR="001A0DF7" w:rsidRDefault="001A0DF7" w:rsidP="005521CB"/>
    <w:p w:rsidR="001A0DF7" w:rsidRDefault="001A0DF7" w:rsidP="005521CB">
      <w:r>
        <w:t xml:space="preserve">The number of unique genes and the total amount of molecules are calculated when you do </w:t>
      </w:r>
      <w:proofErr w:type="spellStart"/>
      <w:r>
        <w:t>CreateSeuratObject</w:t>
      </w:r>
      <w:proofErr w:type="spellEnd"/>
    </w:p>
    <w:p w:rsidR="001A0DF7" w:rsidRDefault="001A0DF7" w:rsidP="005521CB"/>
    <w:p w:rsidR="001A0DF7" w:rsidRDefault="001A0DF7" w:rsidP="005521CB">
      <w:r>
        <w:t>To show the QC metrics for the first 5 cells do the following</w:t>
      </w:r>
    </w:p>
    <w:p w:rsidR="001A0DF7" w:rsidRDefault="001A0DF7" w:rsidP="005521CB"/>
    <w:bookmarkStart w:id="12" w:name="_MON_1654355267"/>
    <w:bookmarkEnd w:id="12"/>
    <w:p w:rsidR="001A0DF7" w:rsidRDefault="001A0DF7" w:rsidP="005521CB">
      <w:r w:rsidRPr="000A2499">
        <w:rPr>
          <w:highlight w:val="lightGray"/>
        </w:rPr>
        <w:object w:dxaOrig="9360" w:dyaOrig="269">
          <v:shape id="_x0000_i1034" type="#_x0000_t75" style="width:493.5pt;height:13.5pt" o:ole="">
            <v:imagedata r:id="rId32" o:title=""/>
          </v:shape>
          <o:OLEObject Type="Embed" ProgID="Word.OpenDocumentText.12" ShapeID="_x0000_i1034" DrawAspect="Content" ObjectID="_1654546703" r:id="rId33"/>
        </w:object>
      </w:r>
    </w:p>
    <w:p w:rsidR="001A0DF7" w:rsidRDefault="001A0DF7" w:rsidP="005521CB">
      <w:r>
        <w:t>To visualize the QC metrics as a violin plot do the following</w:t>
      </w:r>
    </w:p>
    <w:p w:rsidR="001A0DF7" w:rsidRDefault="001A0DF7" w:rsidP="005521CB"/>
    <w:bookmarkStart w:id="13" w:name="_MON_1654355303"/>
    <w:bookmarkEnd w:id="13"/>
    <w:p w:rsidR="001A0DF7" w:rsidRDefault="001A0DF7" w:rsidP="005521CB">
      <w:r w:rsidRPr="000A2499">
        <w:rPr>
          <w:highlight w:val="lightGray"/>
        </w:rPr>
        <w:object w:dxaOrig="9360" w:dyaOrig="269">
          <v:shape id="_x0000_i1035" type="#_x0000_t75" style="width:493.5pt;height:13.5pt" o:ole="">
            <v:imagedata r:id="rId34" o:title=""/>
          </v:shape>
          <o:OLEObject Type="Embed" ProgID="Word.OpenDocumentText.12" ShapeID="_x0000_i1035" DrawAspect="Content" ObjectID="_1654546704" r:id="rId35"/>
        </w:object>
      </w:r>
    </w:p>
    <w:p w:rsidR="001A0DF7" w:rsidRDefault="001A0DF7" w:rsidP="005521CB">
      <w:r>
        <w:t xml:space="preserve">The following function is commonly used to </w:t>
      </w:r>
      <w:r w:rsidRPr="001A0DF7">
        <w:t>visualize feature-feature relationships</w:t>
      </w:r>
      <w:r>
        <w:t xml:space="preserve">, but it can also be used for other things calculated from the object </w:t>
      </w:r>
      <w:r w:rsidRPr="001A0DF7">
        <w:t>i.e. columns in object metadata, PC scores etc.</w:t>
      </w:r>
    </w:p>
    <w:p w:rsidR="001A0DF7" w:rsidRDefault="001A0DF7" w:rsidP="005521CB"/>
    <w:bookmarkStart w:id="14" w:name="_MON_1654355378"/>
    <w:bookmarkEnd w:id="14"/>
    <w:p w:rsidR="001A0DF7" w:rsidRDefault="001A0DF7" w:rsidP="005521CB">
      <w:r w:rsidRPr="000A2499">
        <w:rPr>
          <w:highlight w:val="lightGray"/>
        </w:rPr>
        <w:object w:dxaOrig="9360" w:dyaOrig="806">
          <v:shape id="_x0000_i1036" type="#_x0000_t75" style="width:493.5pt;height:40.5pt" o:ole="">
            <v:imagedata r:id="rId36" o:title=""/>
          </v:shape>
          <o:OLEObject Type="Embed" ProgID="Word.OpenDocumentText.12" ShapeID="_x0000_i1036" DrawAspect="Content" ObjectID="_1654546705" r:id="rId37"/>
        </w:object>
      </w:r>
    </w:p>
    <w:bookmarkStart w:id="15" w:name="_MON_1654355406"/>
    <w:bookmarkEnd w:id="15"/>
    <w:p w:rsidR="001A0DF7" w:rsidRDefault="001A0DF7" w:rsidP="005521CB">
      <w:r w:rsidRPr="000A2499">
        <w:rPr>
          <w:highlight w:val="lightGray"/>
        </w:rPr>
        <w:object w:dxaOrig="9360" w:dyaOrig="269">
          <v:shape id="_x0000_i1037" type="#_x0000_t75" style="width:493.5pt;height:13.5pt" o:ole="">
            <v:imagedata r:id="rId38" o:title=""/>
          </v:shape>
          <o:OLEObject Type="Embed" ProgID="Word.OpenDocumentText.12" ShapeID="_x0000_i1037" DrawAspect="Content" ObjectID="_1654546706" r:id="rId39"/>
        </w:object>
      </w:r>
    </w:p>
    <w:p w:rsidR="001A0DF7" w:rsidRDefault="001A0DF7" w:rsidP="005521CB">
      <w:r>
        <w:t>After you remove all of the unwanted cells from the dataset, you want to normalize the data. Usually</w:t>
      </w:r>
      <w:r w:rsidRPr="001A0DF7">
        <w:t xml:space="preserve"> “</w:t>
      </w:r>
      <w:proofErr w:type="spellStart"/>
      <w:r w:rsidRPr="001A0DF7">
        <w:t>LogNormalize</w:t>
      </w:r>
      <w:proofErr w:type="spellEnd"/>
      <w:r w:rsidRPr="001A0DF7">
        <w:t>”</w:t>
      </w:r>
      <w:r>
        <w:t xml:space="preserve"> is used. This “</w:t>
      </w:r>
      <w:r w:rsidRPr="001A0DF7">
        <w:t>normalizes the feature expression measurements for each cell by the total expression, multiplies this by a scale factor (10,000 by default), and log-transforms the result</w:t>
      </w:r>
      <w:r>
        <w:t>” (</w:t>
      </w:r>
      <w:proofErr w:type="spellStart"/>
      <w:r>
        <w:t>satijalab</w:t>
      </w:r>
      <w:proofErr w:type="spellEnd"/>
      <w:r>
        <w:t>). These normalized values are stored in “</w:t>
      </w:r>
      <w:proofErr w:type="spellStart"/>
      <w:proofErr w:type="gramStart"/>
      <w:r w:rsidRPr="001A0DF7">
        <w:t>pbmc</w:t>
      </w:r>
      <w:proofErr w:type="spellEnd"/>
      <w:r w:rsidRPr="001A0DF7">
        <w:t>[</w:t>
      </w:r>
      <w:proofErr w:type="gramEnd"/>
      <w:r w:rsidRPr="001A0DF7">
        <w:t>["RNA"]]@data</w:t>
      </w:r>
      <w:r>
        <w:t>”</w:t>
      </w:r>
    </w:p>
    <w:p w:rsidR="001A0DF7" w:rsidRDefault="001A0DF7" w:rsidP="005521CB"/>
    <w:bookmarkStart w:id="16" w:name="_MON_1654355594"/>
    <w:bookmarkEnd w:id="16"/>
    <w:p w:rsidR="001A0DF7" w:rsidRDefault="001A0DF7" w:rsidP="005521CB">
      <w:r w:rsidRPr="000A2499">
        <w:rPr>
          <w:highlight w:val="lightGray"/>
        </w:rPr>
        <w:object w:dxaOrig="9360" w:dyaOrig="269">
          <v:shape id="_x0000_i1038" type="#_x0000_t75" style="width:493.5pt;height:13.5pt" o:ole="">
            <v:imagedata r:id="rId40" o:title=""/>
          </v:shape>
          <o:OLEObject Type="Embed" ProgID="Word.OpenDocumentText.12" ShapeID="_x0000_i1038" DrawAspect="Content" ObjectID="_1654546707" r:id="rId41"/>
        </w:object>
      </w:r>
    </w:p>
    <w:p w:rsidR="001A0DF7" w:rsidRDefault="001A0DF7" w:rsidP="005521CB">
      <w:r>
        <w:t>We can do the same thing by doing the following:</w:t>
      </w:r>
    </w:p>
    <w:p w:rsidR="001A0DF7" w:rsidRDefault="001A0DF7" w:rsidP="005521CB"/>
    <w:bookmarkStart w:id="17" w:name="_MON_1654355600"/>
    <w:bookmarkEnd w:id="17"/>
    <w:p w:rsidR="001A0DF7" w:rsidRDefault="001A0DF7" w:rsidP="005521CB">
      <w:r w:rsidRPr="000A2499">
        <w:rPr>
          <w:highlight w:val="lightGray"/>
        </w:rPr>
        <w:object w:dxaOrig="9360" w:dyaOrig="269">
          <v:shape id="_x0000_i1052" type="#_x0000_t75" style="width:493.5pt;height:13.5pt" o:ole="">
            <v:imagedata r:id="rId42" o:title=""/>
          </v:shape>
          <o:OLEObject Type="Embed" ProgID="Word.OpenDocumentText.12" ShapeID="_x0000_i1052" DrawAspect="Content" ObjectID="_1654546708" r:id="rId43"/>
        </w:object>
      </w:r>
    </w:p>
    <w:p w:rsidR="001A0DF7" w:rsidRDefault="00353485" w:rsidP="005521CB">
      <w:r>
        <w:t>But for clarity the longer piece of code is typed.</w:t>
      </w:r>
    </w:p>
    <w:p w:rsidR="00353485" w:rsidRDefault="00353485" w:rsidP="005521CB"/>
    <w:p w:rsidR="004D0E17" w:rsidRDefault="004D0E17" w:rsidP="005521CB">
      <w:r>
        <w:t xml:space="preserve">Now we must calculate a subset of features </w:t>
      </w:r>
      <w:r w:rsidRPr="004D0E17">
        <w:t>that exhibit high cell-to-cell variation in the dataset (</w:t>
      </w:r>
      <w:proofErr w:type="spellStart"/>
      <w:r w:rsidRPr="004D0E17">
        <w:t>i.e</w:t>
      </w:r>
      <w:proofErr w:type="spellEnd"/>
      <w:r w:rsidRPr="004D0E17">
        <w:t>, they are highly expressed in some cells, and lowly expressed in others).</w:t>
      </w:r>
    </w:p>
    <w:p w:rsidR="004D0E17" w:rsidRDefault="004D0E17" w:rsidP="005521CB"/>
    <w:p w:rsidR="00353485" w:rsidRDefault="004D0E17" w:rsidP="005521CB">
      <w:r>
        <w:t xml:space="preserve">Off topic: Click </w:t>
      </w:r>
      <w:hyperlink r:id="rId44" w:history="1">
        <w:r w:rsidRPr="004D0E17">
          <w:rPr>
            <w:rStyle w:val="Hyperlink"/>
          </w:rPr>
          <w:t>this</w:t>
        </w:r>
      </w:hyperlink>
      <w:r>
        <w:t xml:space="preserve"> if you are curious to read about the creator’s process for Seurat.</w:t>
      </w:r>
    </w:p>
    <w:p w:rsidR="004D0E17" w:rsidRDefault="004D0E17" w:rsidP="005521CB"/>
    <w:bookmarkStart w:id="18" w:name="_MON_1654543706"/>
    <w:bookmarkEnd w:id="18"/>
    <w:p w:rsidR="004D0E17" w:rsidRDefault="004D0E17" w:rsidP="005521CB">
      <w:r w:rsidRPr="000A2499">
        <w:rPr>
          <w:highlight w:val="lightGray"/>
        </w:rPr>
        <w:object w:dxaOrig="9360" w:dyaOrig="1880">
          <v:shape id="_x0000_i1039" type="#_x0000_t75" style="width:493.5pt;height:94.5pt" o:ole="">
            <v:imagedata r:id="rId45" o:title=""/>
          </v:shape>
          <o:OLEObject Type="Embed" ProgID="Word.OpenDocumentText.12" ShapeID="_x0000_i1039" DrawAspect="Content" ObjectID="_1654546709" r:id="rId46"/>
        </w:object>
      </w:r>
    </w:p>
    <w:p w:rsidR="004D0E17" w:rsidRDefault="004D0E17" w:rsidP="005521CB">
      <w:r>
        <w:t xml:space="preserve">The </w:t>
      </w:r>
      <w:r w:rsidRPr="004D0E17">
        <w:rPr>
          <w:i/>
        </w:rPr>
        <w:t>top10</w:t>
      </w:r>
      <w:r>
        <w:t xml:space="preserve"> will identify the 10 most highly variable genes. The last section of code for creating the plots, plots variable features with and without labels.</w:t>
      </w:r>
    </w:p>
    <w:p w:rsidR="004D0E17" w:rsidRDefault="004D0E17" w:rsidP="005521CB"/>
    <w:p w:rsidR="004D0E17" w:rsidRDefault="004D0E17" w:rsidP="005521CB">
      <w:r>
        <w:t>Next we scale the data. This is also known as applying linear transformation. For this we must use a function called “</w:t>
      </w:r>
      <w:proofErr w:type="spellStart"/>
      <w:r>
        <w:t>ScaleData</w:t>
      </w:r>
      <w:proofErr w:type="spellEnd"/>
      <w:r>
        <w:t>” which does the following (</w:t>
      </w:r>
      <w:proofErr w:type="spellStart"/>
      <w:r>
        <w:t>satijalab</w:t>
      </w:r>
      <w:proofErr w:type="spellEnd"/>
      <w:r>
        <w:t>):</w:t>
      </w:r>
    </w:p>
    <w:p w:rsidR="004D0E17" w:rsidRDefault="004D0E17" w:rsidP="005521CB"/>
    <w:p w:rsidR="004D0E17" w:rsidRPr="004D0E17" w:rsidRDefault="004D0E17" w:rsidP="004D0E17">
      <w:pPr>
        <w:numPr>
          <w:ilvl w:val="0"/>
          <w:numId w:val="1"/>
        </w:numPr>
      </w:pPr>
      <w:r w:rsidRPr="004D0E17">
        <w:t>Shifts the expression of each gene, so that the mean expression across cells is 0</w:t>
      </w:r>
    </w:p>
    <w:p w:rsidR="004D0E17" w:rsidRPr="004D0E17" w:rsidRDefault="004D0E17" w:rsidP="004D0E17">
      <w:pPr>
        <w:numPr>
          <w:ilvl w:val="0"/>
          <w:numId w:val="1"/>
        </w:numPr>
      </w:pPr>
      <w:r w:rsidRPr="004D0E17">
        <w:t>Scales the expression of each gene, so that the variance across cells is 1</w:t>
      </w:r>
    </w:p>
    <w:p w:rsidR="004D0E17" w:rsidRPr="004D0E17" w:rsidRDefault="004D0E17" w:rsidP="004D0E17">
      <w:pPr>
        <w:numPr>
          <w:ilvl w:val="1"/>
          <w:numId w:val="1"/>
        </w:numPr>
      </w:pPr>
      <w:r w:rsidRPr="004D0E17">
        <w:t>This step gives equal weight in downstream analyses, so that highly-expressed genes do not dominate</w:t>
      </w:r>
    </w:p>
    <w:p w:rsidR="004D0E17" w:rsidRPr="004D0E17" w:rsidRDefault="004D0E17" w:rsidP="004D0E17">
      <w:pPr>
        <w:numPr>
          <w:ilvl w:val="0"/>
          <w:numId w:val="1"/>
        </w:numPr>
      </w:pPr>
      <w:r w:rsidRPr="004D0E17">
        <w:t>The results of this are stored in </w:t>
      </w:r>
      <w:proofErr w:type="spellStart"/>
      <w:r w:rsidRPr="004D0E17">
        <w:t>pbmc</w:t>
      </w:r>
      <w:proofErr w:type="spellEnd"/>
      <w:r w:rsidRPr="004D0E17">
        <w:t>[["RNA"]]@</w:t>
      </w:r>
      <w:proofErr w:type="spellStart"/>
      <w:r w:rsidRPr="004D0E17">
        <w:t>scale.data</w:t>
      </w:r>
      <w:proofErr w:type="spellEnd"/>
    </w:p>
    <w:p w:rsidR="004D0E17" w:rsidRDefault="004D0E17" w:rsidP="005521CB"/>
    <w:p w:rsidR="004D0E17" w:rsidRDefault="004D0E17" w:rsidP="005521CB">
      <w:r>
        <w:t>Code shown below:</w:t>
      </w:r>
    </w:p>
    <w:bookmarkStart w:id="19" w:name="_MON_1654543874"/>
    <w:bookmarkEnd w:id="19"/>
    <w:p w:rsidR="004D0E17" w:rsidRDefault="004D0E17" w:rsidP="005521CB">
      <w:r w:rsidRPr="000A2499">
        <w:rPr>
          <w:highlight w:val="lightGray"/>
        </w:rPr>
        <w:object w:dxaOrig="9360" w:dyaOrig="537">
          <v:shape id="_x0000_i1040" type="#_x0000_t75" style="width:493.5pt;height:27pt" o:ole="">
            <v:imagedata r:id="rId47" o:title=""/>
          </v:shape>
          <o:OLEObject Type="Embed" ProgID="Word.OpenDocumentText.12" ShapeID="_x0000_i1040" DrawAspect="Content" ObjectID="_1654546710" r:id="rId48"/>
        </w:object>
      </w:r>
    </w:p>
    <w:p w:rsidR="004D0E17" w:rsidRDefault="004D0E17" w:rsidP="005521CB">
      <w:r>
        <w:t>You may be thinking that this takes too long.</w:t>
      </w:r>
    </w:p>
    <w:p w:rsidR="004D0E17" w:rsidRDefault="004D0E17" w:rsidP="005521CB"/>
    <w:p w:rsidR="004D0E17" w:rsidRDefault="004D0E17" w:rsidP="005521CB">
      <w:r>
        <w:t xml:space="preserve">You can just do </w:t>
      </w:r>
    </w:p>
    <w:bookmarkStart w:id="20" w:name="_MON_1654543927"/>
    <w:bookmarkEnd w:id="20"/>
    <w:p w:rsidR="004D0E17" w:rsidRDefault="004D0E17" w:rsidP="005521CB">
      <w:r w:rsidRPr="000A2499">
        <w:rPr>
          <w:highlight w:val="lightGray"/>
        </w:rPr>
        <w:object w:dxaOrig="9360" w:dyaOrig="269">
          <v:shape id="_x0000_i1041" type="#_x0000_t75" style="width:493.5pt;height:13.5pt" o:ole="">
            <v:imagedata r:id="rId49" o:title=""/>
          </v:shape>
          <o:OLEObject Type="Embed" ProgID="Word.OpenDocumentText.12" ShapeID="_x0000_i1041" DrawAspect="Content" ObjectID="_1654546711" r:id="rId50"/>
        </w:object>
      </w:r>
    </w:p>
    <w:p w:rsidR="004D0E17" w:rsidRDefault="001D1724" w:rsidP="005521CB">
      <w:r>
        <w:t xml:space="preserve">This will omit the “features” argument. Through this line of code the PCA and clustering (analysis methods) results will be unaffected. But the </w:t>
      </w:r>
      <w:proofErr w:type="spellStart"/>
      <w:r>
        <w:t>heatmaps</w:t>
      </w:r>
      <w:proofErr w:type="spellEnd"/>
      <w:r>
        <w:t xml:space="preserve"> (“</w:t>
      </w:r>
      <w:proofErr w:type="spellStart"/>
      <w:r>
        <w:t>DoHeatmap</w:t>
      </w:r>
      <w:proofErr w:type="spellEnd"/>
      <w:r>
        <w:t>” function) will require genes for it to be scaled.</w:t>
      </w:r>
    </w:p>
    <w:p w:rsidR="001D1724" w:rsidRDefault="001D1724" w:rsidP="005521CB"/>
    <w:p w:rsidR="001D1724" w:rsidRDefault="001D1724" w:rsidP="005521CB">
      <w:r>
        <w:lastRenderedPageBreak/>
        <w:t>After that we will perform PCA on the scaled data. The previously determined variable features are usually used as an input, but through the use of the “features” argument you can choose another subset.</w:t>
      </w:r>
    </w:p>
    <w:p w:rsidR="001D1724" w:rsidRDefault="001D1724" w:rsidP="005521CB"/>
    <w:bookmarkStart w:id="21" w:name="_MON_1654544166"/>
    <w:bookmarkEnd w:id="21"/>
    <w:p w:rsidR="001D1724" w:rsidRDefault="001D1724" w:rsidP="005521CB">
      <w:r w:rsidRPr="000A2499">
        <w:rPr>
          <w:highlight w:val="lightGray"/>
        </w:rPr>
        <w:object w:dxaOrig="9360" w:dyaOrig="1880">
          <v:shape id="_x0000_i1042" type="#_x0000_t75" style="width:493.5pt;height:94.5pt" o:ole="">
            <v:imagedata r:id="rId51" o:title=""/>
          </v:shape>
          <o:OLEObject Type="Embed" ProgID="Word.OpenDocumentText.12" ShapeID="_x0000_i1042" DrawAspect="Content" ObjectID="_1654546712" r:id="rId52"/>
        </w:object>
      </w:r>
    </w:p>
    <w:p w:rsidR="001D1724" w:rsidRDefault="001D1724" w:rsidP="005521CB">
      <w:r>
        <w:t>The second line of code beginning with “print” examines and visualizes the PCA results in a multitude of ways.</w:t>
      </w:r>
    </w:p>
    <w:p w:rsidR="001D1724" w:rsidRDefault="001D1724" w:rsidP="005521CB"/>
    <w:p w:rsidR="001D1724" w:rsidRDefault="001D1724" w:rsidP="005521CB">
      <w:r>
        <w:t>The “</w:t>
      </w:r>
      <w:proofErr w:type="spellStart"/>
      <w:r>
        <w:t>DimHeatmap</w:t>
      </w:r>
      <w:proofErr w:type="spellEnd"/>
      <w:r>
        <w:t xml:space="preserve">” helps </w:t>
      </w:r>
      <w:r w:rsidRPr="001D1724">
        <w:t>PCs to include for further downstream analyses</w:t>
      </w:r>
      <w:r>
        <w:t>. This is a valuable tool for exploring correlated feature sets.</w:t>
      </w:r>
    </w:p>
    <w:p w:rsidR="001D1724" w:rsidRDefault="001D1724" w:rsidP="005521CB"/>
    <w:bookmarkStart w:id="22" w:name="_MON_1654544337"/>
    <w:bookmarkEnd w:id="22"/>
    <w:p w:rsidR="001D1724" w:rsidRDefault="00697E1C" w:rsidP="005521CB">
      <w:r w:rsidRPr="000A2499">
        <w:rPr>
          <w:highlight w:val="lightGray"/>
        </w:rPr>
        <w:object w:dxaOrig="9360" w:dyaOrig="806">
          <v:shape id="_x0000_i1044" type="#_x0000_t75" style="width:493.5pt;height:40.5pt" o:ole="">
            <v:imagedata r:id="rId53" o:title=""/>
          </v:shape>
          <o:OLEObject Type="Embed" ProgID="Word.OpenDocumentText.12" ShapeID="_x0000_i1044" DrawAspect="Content" ObjectID="_1654546713" r:id="rId54"/>
        </w:object>
      </w:r>
    </w:p>
    <w:p w:rsidR="001D1724" w:rsidRDefault="001D1724" w:rsidP="001D1724">
      <w:pPr>
        <w:ind w:left="720" w:hanging="720"/>
      </w:pPr>
      <w:r>
        <w:t xml:space="preserve">Interesting read: </w:t>
      </w:r>
      <w:hyperlink r:id="rId55" w:history="1">
        <w:r w:rsidRPr="00692AAD">
          <w:rPr>
            <w:rStyle w:val="Hyperlink"/>
          </w:rPr>
          <w:t>https://www.cell.com/fulltext/S0092-8674(15)00549-8</w:t>
        </w:r>
      </w:hyperlink>
      <w:r>
        <w:t xml:space="preserve"> </w:t>
      </w:r>
    </w:p>
    <w:p w:rsidR="00697E1C" w:rsidRDefault="00697E1C" w:rsidP="001D1724">
      <w:pPr>
        <w:ind w:left="720" w:hanging="720"/>
      </w:pPr>
    </w:p>
    <w:p w:rsidR="00697E1C" w:rsidRDefault="00697E1C" w:rsidP="001D1724">
      <w:pPr>
        <w:ind w:left="720" w:hanging="720"/>
      </w:pPr>
      <w:r>
        <w:t xml:space="preserve">Now we must determine the </w:t>
      </w:r>
      <w:r w:rsidRPr="00697E1C">
        <w:t>‘dimensionality’ of the dataset</w:t>
      </w:r>
    </w:p>
    <w:p w:rsidR="00697E1C" w:rsidRDefault="00697E1C" w:rsidP="001D1724">
      <w:pPr>
        <w:ind w:left="720" w:hanging="720"/>
      </w:pPr>
    </w:p>
    <w:p w:rsidR="00697E1C" w:rsidRDefault="00697E1C" w:rsidP="00697E1C">
      <w:pPr>
        <w:ind w:left="720" w:hanging="720"/>
      </w:pPr>
      <w:r>
        <w:t>The “</w:t>
      </w:r>
      <w:proofErr w:type="spellStart"/>
      <w:r>
        <w:t>JackStrawPlot</w:t>
      </w:r>
      <w:proofErr w:type="spellEnd"/>
      <w:r>
        <w:t xml:space="preserve">” function helps to provide a visualization tool for comparing the p values for each PC </w:t>
      </w:r>
    </w:p>
    <w:p w:rsidR="00697E1C" w:rsidRDefault="00697E1C" w:rsidP="00697E1C">
      <w:pPr>
        <w:ind w:left="720" w:hanging="720"/>
      </w:pPr>
      <w:r>
        <w:t xml:space="preserve">With a dashed line aka a uniform distribution. </w:t>
      </w:r>
    </w:p>
    <w:p w:rsidR="00697E1C" w:rsidRDefault="00697E1C" w:rsidP="00697E1C">
      <w:pPr>
        <w:ind w:left="720" w:hanging="720"/>
      </w:pPr>
    </w:p>
    <w:p w:rsidR="00697E1C" w:rsidRDefault="00697E1C" w:rsidP="00697E1C">
      <w:r>
        <w:t>The “</w:t>
      </w:r>
      <w:proofErr w:type="spellStart"/>
      <w:r>
        <w:t>ElbowPlot</w:t>
      </w:r>
      <w:proofErr w:type="spellEnd"/>
      <w:r>
        <w:t>” is another heuristic method. For reading this one we look at where the “elbow is located” in this case it is around PC9-10 which means that the true signal is captured in the first 10 PC’s. This method is based on the percentage of variance.</w:t>
      </w:r>
    </w:p>
    <w:p w:rsidR="001D1724" w:rsidRDefault="001D1724" w:rsidP="001D1724">
      <w:pPr>
        <w:ind w:left="720" w:hanging="720"/>
      </w:pPr>
    </w:p>
    <w:bookmarkStart w:id="23" w:name="_MON_1654544511"/>
    <w:bookmarkEnd w:id="23"/>
    <w:p w:rsidR="00697E1C" w:rsidRDefault="001D1724" w:rsidP="00697E1C">
      <w:pPr>
        <w:ind w:left="720" w:hanging="720"/>
      </w:pPr>
      <w:r w:rsidRPr="000A2499">
        <w:rPr>
          <w:highlight w:val="lightGray"/>
        </w:rPr>
        <w:object w:dxaOrig="9360" w:dyaOrig="1611">
          <v:shape id="_x0000_i1043" type="#_x0000_t75" style="width:493.5pt;height:81pt" o:ole="">
            <v:imagedata r:id="rId56" o:title=""/>
          </v:shape>
          <o:OLEObject Type="Embed" ProgID="Word.OpenDocumentText.12" ShapeID="_x0000_i1043" DrawAspect="Content" ObjectID="_1654546714" r:id="rId57"/>
        </w:object>
      </w:r>
    </w:p>
    <w:p w:rsidR="00B61F8D" w:rsidRDefault="00B61F8D" w:rsidP="00697E1C">
      <w:pPr>
        <w:ind w:left="720" w:hanging="720"/>
      </w:pPr>
      <w:r w:rsidRPr="00B61F8D">
        <w:t>First line of code takes a while!</w:t>
      </w:r>
    </w:p>
    <w:p w:rsidR="00B61F8D" w:rsidRDefault="00B61F8D" w:rsidP="00697E1C">
      <w:pPr>
        <w:ind w:left="720" w:hanging="720"/>
      </w:pPr>
      <w:r>
        <w:t>Also ignore the warning.</w:t>
      </w:r>
    </w:p>
    <w:p w:rsidR="00B61F8D" w:rsidRDefault="00B61F8D" w:rsidP="00697E1C">
      <w:pPr>
        <w:ind w:left="720" w:hanging="720"/>
      </w:pPr>
    </w:p>
    <w:p w:rsidR="00697E1C" w:rsidRDefault="00697E1C" w:rsidP="00697E1C">
      <w:r>
        <w:t>Now we cluster the various cells. We construct a KNN graph based Euclidean distance (the geometry of flat or</w:t>
      </w:r>
      <w:r w:rsidRPr="00697E1C">
        <w:t xml:space="preserve"> two-dimensional spaces</w:t>
      </w:r>
      <w:r>
        <w:t>) in PCA space using the “</w:t>
      </w:r>
      <w:proofErr w:type="spellStart"/>
      <w:r>
        <w:t>FindNeighbors</w:t>
      </w:r>
      <w:proofErr w:type="spellEnd"/>
      <w:r>
        <w:t>” function.</w:t>
      </w:r>
    </w:p>
    <w:p w:rsidR="00697E1C" w:rsidRDefault="00697E1C" w:rsidP="00697E1C"/>
    <w:p w:rsidR="00AF37CB" w:rsidRDefault="00AF37CB" w:rsidP="00697E1C"/>
    <w:p w:rsidR="00697E1C" w:rsidRDefault="00697E1C" w:rsidP="00697E1C">
      <w:r>
        <w:lastRenderedPageBreak/>
        <w:t>To cluster these cells we use the “</w:t>
      </w:r>
      <w:proofErr w:type="spellStart"/>
      <w:r>
        <w:t>FindClusters</w:t>
      </w:r>
      <w:proofErr w:type="spellEnd"/>
      <w:r>
        <w:t xml:space="preserve">” function, </w:t>
      </w:r>
      <w:proofErr w:type="gramStart"/>
      <w:r>
        <w:t>This</w:t>
      </w:r>
      <w:proofErr w:type="gramEnd"/>
      <w:r>
        <w:t xml:space="preserve"> means increased values lead to a greater number of clusters. </w:t>
      </w:r>
      <w:proofErr w:type="spellStart"/>
      <w:r>
        <w:t>Satijalab</w:t>
      </w:r>
      <w:proofErr w:type="spellEnd"/>
      <w:r>
        <w:t xml:space="preserve"> suggests that “</w:t>
      </w:r>
      <w:r w:rsidRPr="00697E1C">
        <w:t>0.4-1.2 typically returns good results for single-cell datasets of around 3K cells. Optimal resolution often increases for larger datasets.</w:t>
      </w:r>
      <w:r>
        <w:t>” These cluster can be found through the “Idents” function.</w:t>
      </w:r>
    </w:p>
    <w:p w:rsidR="00697E1C" w:rsidRDefault="00697E1C" w:rsidP="00697E1C"/>
    <w:bookmarkStart w:id="24" w:name="_MON_1654545166"/>
    <w:bookmarkEnd w:id="24"/>
    <w:p w:rsidR="00697E1C" w:rsidRDefault="00697E1C" w:rsidP="00697E1C">
      <w:r w:rsidRPr="000A2499">
        <w:rPr>
          <w:highlight w:val="lightGray"/>
        </w:rPr>
        <w:object w:dxaOrig="9360" w:dyaOrig="1074">
          <v:shape id="_x0000_i1045" type="#_x0000_t75" style="width:493.5pt;height:54pt" o:ole="">
            <v:imagedata r:id="rId58" o:title=""/>
          </v:shape>
          <o:OLEObject Type="Embed" ProgID="Word.OpenDocumentText.12" ShapeID="_x0000_i1045" DrawAspect="Content" ObjectID="_1654546715" r:id="rId59"/>
        </w:object>
      </w:r>
    </w:p>
    <w:p w:rsidR="00697E1C" w:rsidRDefault="00697E1C" w:rsidP="00697E1C"/>
    <w:p w:rsidR="00697E1C" w:rsidRDefault="009379D3" w:rsidP="00697E1C">
      <w:r>
        <w:t xml:space="preserve">There are many nonlinear techniques that are provided by Seurat. These include </w:t>
      </w:r>
      <w:proofErr w:type="spellStart"/>
      <w:r>
        <w:t>tSNE</w:t>
      </w:r>
      <w:proofErr w:type="spellEnd"/>
      <w:r>
        <w:t xml:space="preserve"> and UMAP to explore datasets.</w:t>
      </w:r>
    </w:p>
    <w:p w:rsidR="009379D3" w:rsidRDefault="009379D3" w:rsidP="00697E1C"/>
    <w:bookmarkStart w:id="25" w:name="_MON_1654545280"/>
    <w:bookmarkEnd w:id="25"/>
    <w:p w:rsidR="009379D3" w:rsidRDefault="009379D3" w:rsidP="00697E1C">
      <w:r w:rsidRPr="000A2499">
        <w:rPr>
          <w:highlight w:val="lightGray"/>
        </w:rPr>
        <w:object w:dxaOrig="9360" w:dyaOrig="1343">
          <v:shape id="_x0000_i1046" type="#_x0000_t75" style="width:493.5pt;height:67.5pt" o:ole="">
            <v:imagedata r:id="rId60" o:title=""/>
          </v:shape>
          <o:OLEObject Type="Embed" ProgID="Word.OpenDocumentText.12" ShapeID="_x0000_i1046" DrawAspect="Content" ObjectID="_1654546716" r:id="rId61"/>
        </w:object>
      </w:r>
    </w:p>
    <w:p w:rsidR="009379D3" w:rsidRDefault="009379D3" w:rsidP="009379D3">
      <w:r>
        <w:t>The last line of code shows how to save the object to make it easy to load it back.</w:t>
      </w:r>
    </w:p>
    <w:p w:rsidR="009379D3" w:rsidRDefault="009379D3" w:rsidP="009379D3"/>
    <w:p w:rsidR="009379D3" w:rsidRDefault="009379D3" w:rsidP="009379D3">
      <w:r>
        <w:t xml:space="preserve">Next we </w:t>
      </w:r>
      <w:r w:rsidRPr="009379D3">
        <w:t>find markers that define clusters via differential expression.</w:t>
      </w:r>
      <w:r>
        <w:t xml:space="preserve"> The function “</w:t>
      </w:r>
      <w:proofErr w:type="spellStart"/>
      <w:r>
        <w:t>FindAllMarkers</w:t>
      </w:r>
      <w:proofErr w:type="spellEnd"/>
      <w:r>
        <w:t xml:space="preserve">” helps us by automating the process for all clusters. Although this is true you can </w:t>
      </w:r>
      <w:proofErr w:type="spellStart"/>
      <w:r>
        <w:t>slao</w:t>
      </w:r>
      <w:proofErr w:type="spellEnd"/>
      <w:r>
        <w:t xml:space="preserve"> test groups of clusters against each other or other cells.</w:t>
      </w:r>
    </w:p>
    <w:p w:rsidR="009379D3" w:rsidRDefault="009379D3" w:rsidP="009379D3"/>
    <w:p w:rsidR="009379D3" w:rsidRDefault="009379D3" w:rsidP="009379D3">
      <w:r>
        <w:t>*Descriptions shown below the code”</w:t>
      </w:r>
    </w:p>
    <w:p w:rsidR="009379D3" w:rsidRDefault="009379D3" w:rsidP="009379D3"/>
    <w:bookmarkStart w:id="26" w:name="_MON_1654545472"/>
    <w:bookmarkEnd w:id="26"/>
    <w:p w:rsidR="009379D3" w:rsidRDefault="00F01772" w:rsidP="009379D3">
      <w:r w:rsidRPr="000A2499">
        <w:rPr>
          <w:highlight w:val="lightGray"/>
        </w:rPr>
        <w:object w:dxaOrig="9360" w:dyaOrig="4834">
          <v:shape id="_x0000_i1049" type="#_x0000_t75" style="width:493.5pt;height:243pt" o:ole="">
            <v:imagedata r:id="rId62" o:title=""/>
          </v:shape>
          <o:OLEObject Type="Embed" ProgID="Word.OpenDocumentText.12" ShapeID="_x0000_i1049" DrawAspect="Content" ObjectID="_1654546717" r:id="rId63"/>
        </w:object>
      </w:r>
    </w:p>
    <w:p w:rsidR="009379D3" w:rsidRDefault="009379D3" w:rsidP="009379D3"/>
    <w:p w:rsidR="009379D3" w:rsidRDefault="009379D3" w:rsidP="009379D3">
      <w:r>
        <w:lastRenderedPageBreak/>
        <w:t xml:space="preserve">The first line of code </w:t>
      </w:r>
      <w:r w:rsidRPr="009379D3">
        <w:t>find</w:t>
      </w:r>
      <w:r>
        <w:t>s</w:t>
      </w:r>
      <w:r w:rsidRPr="009379D3">
        <w:t xml:space="preserve"> all markers of cluster 1</w:t>
      </w:r>
    </w:p>
    <w:p w:rsidR="009379D3" w:rsidRDefault="009379D3" w:rsidP="009379D3"/>
    <w:p w:rsidR="009379D3" w:rsidRDefault="009379D3" w:rsidP="009379D3">
      <w:r>
        <w:t xml:space="preserve">The </w:t>
      </w:r>
      <w:r>
        <w:t>second</w:t>
      </w:r>
      <w:r>
        <w:t xml:space="preserve"> line of code finds all </w:t>
      </w:r>
      <w:r w:rsidRPr="009379D3">
        <w:t>markers distinguishing cluster 5 from clusters 0 and 3</w:t>
      </w:r>
    </w:p>
    <w:p w:rsidR="009379D3" w:rsidRDefault="009379D3" w:rsidP="009379D3"/>
    <w:p w:rsidR="009379D3" w:rsidRDefault="009379D3" w:rsidP="009379D3">
      <w:r>
        <w:t>The third and fourth lines of code</w:t>
      </w:r>
      <w:r w:rsidRPr="009379D3">
        <w:t xml:space="preserve"> find</w:t>
      </w:r>
      <w:r>
        <w:t>s</w:t>
      </w:r>
      <w:r w:rsidRPr="009379D3">
        <w:t xml:space="preserve"> markers for every cluster compared to all remaining cells, report only the positive ones</w:t>
      </w:r>
    </w:p>
    <w:p w:rsidR="009379D3" w:rsidRDefault="009379D3" w:rsidP="009379D3"/>
    <w:p w:rsidR="009379D3" w:rsidRDefault="009379D3" w:rsidP="009379D3">
      <w:r>
        <w:t>The “</w:t>
      </w:r>
      <w:proofErr w:type="spellStart"/>
      <w:r w:rsidRPr="009379D3">
        <w:t>FeaturePlot</w:t>
      </w:r>
      <w:proofErr w:type="spellEnd"/>
      <w:r>
        <w:t>” function</w:t>
      </w:r>
      <w:r w:rsidRPr="009379D3">
        <w:t xml:space="preserve"> visualizes feature e</w:t>
      </w:r>
      <w:r>
        <w:t xml:space="preserve">xpression on a </w:t>
      </w:r>
      <w:proofErr w:type="spellStart"/>
      <w:r>
        <w:t>tSNE</w:t>
      </w:r>
      <w:proofErr w:type="spellEnd"/>
      <w:r>
        <w:t xml:space="preserve"> or PCA plot.</w:t>
      </w:r>
    </w:p>
    <w:p w:rsidR="009379D3" w:rsidRDefault="009379D3" w:rsidP="009379D3"/>
    <w:p w:rsidR="009379D3" w:rsidRDefault="009379D3" w:rsidP="009379D3">
      <w:r>
        <w:t>The “</w:t>
      </w:r>
      <w:proofErr w:type="spellStart"/>
      <w:r>
        <w:t>DoHeatMap</w:t>
      </w:r>
      <w:proofErr w:type="spellEnd"/>
      <w:r>
        <w:t xml:space="preserve">” creates a </w:t>
      </w:r>
      <w:proofErr w:type="spellStart"/>
      <w:r>
        <w:t>heatmap</w:t>
      </w:r>
      <w:proofErr w:type="spellEnd"/>
      <w:r>
        <w:t xml:space="preserve"> for the given cells and features.</w:t>
      </w:r>
    </w:p>
    <w:p w:rsidR="009379D3" w:rsidRDefault="009379D3" w:rsidP="009379D3"/>
    <w:bookmarkStart w:id="27" w:name="_MON_1654545681"/>
    <w:bookmarkEnd w:id="27"/>
    <w:p w:rsidR="009379D3" w:rsidRDefault="009379D3" w:rsidP="009379D3">
      <w:r w:rsidRPr="000A2499">
        <w:rPr>
          <w:highlight w:val="lightGray"/>
        </w:rPr>
        <w:object w:dxaOrig="9360" w:dyaOrig="537">
          <v:shape id="_x0000_i1047" type="#_x0000_t75" style="width:493.5pt;height:27pt" o:ole="">
            <v:imagedata r:id="rId64" o:title=""/>
          </v:shape>
          <o:OLEObject Type="Embed" ProgID="Word.OpenDocumentText.12" ShapeID="_x0000_i1047" DrawAspect="Content" ObjectID="_1654546718" r:id="rId65"/>
        </w:object>
      </w:r>
    </w:p>
    <w:p w:rsidR="009379D3" w:rsidRDefault="009379D3" w:rsidP="009379D3">
      <w:r>
        <w:t>In the above code we plot the top 20 markers unless less than 20. In the case that it is less than 20 we plot all markers. This is done for each cluster.</w:t>
      </w:r>
    </w:p>
    <w:p w:rsidR="009379D3" w:rsidRDefault="009379D3" w:rsidP="009379D3"/>
    <w:p w:rsidR="009379D3" w:rsidRDefault="009379D3" w:rsidP="009379D3"/>
    <w:p w:rsidR="009379D3" w:rsidRDefault="009379D3" w:rsidP="009379D3">
      <w:r>
        <w:t>Finally we must assign cell type identity to clusters.</w:t>
      </w:r>
    </w:p>
    <w:p w:rsidR="009379D3" w:rsidRDefault="009379D3" w:rsidP="009379D3"/>
    <w:bookmarkStart w:id="28" w:name="_MON_1654545770"/>
    <w:bookmarkEnd w:id="28"/>
    <w:p w:rsidR="009379D3" w:rsidRPr="009379D3" w:rsidRDefault="009379D3" w:rsidP="009379D3">
      <w:r w:rsidRPr="000A2499">
        <w:rPr>
          <w:highlight w:val="lightGray"/>
        </w:rPr>
        <w:object w:dxaOrig="9360" w:dyaOrig="1880">
          <v:shape id="_x0000_i1048" type="#_x0000_t75" style="width:493.5pt;height:94.5pt" o:ole="">
            <v:imagedata r:id="rId66" o:title=""/>
          </v:shape>
          <o:OLEObject Type="Embed" ProgID="Word.OpenDocumentText.12" ShapeID="_x0000_i1048" DrawAspect="Content" ObjectID="_1654546719" r:id="rId67"/>
        </w:object>
      </w:r>
    </w:p>
    <w:sectPr w:rsidR="009379D3" w:rsidRPr="0093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97A8F"/>
    <w:multiLevelType w:val="multilevel"/>
    <w:tmpl w:val="467C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69"/>
    <w:rsid w:val="000A2499"/>
    <w:rsid w:val="001A0DF7"/>
    <w:rsid w:val="001D1724"/>
    <w:rsid w:val="00353485"/>
    <w:rsid w:val="0038705A"/>
    <w:rsid w:val="003A00F1"/>
    <w:rsid w:val="004D0E17"/>
    <w:rsid w:val="004F327B"/>
    <w:rsid w:val="005521CB"/>
    <w:rsid w:val="0068202E"/>
    <w:rsid w:val="00697E1C"/>
    <w:rsid w:val="007D7BB9"/>
    <w:rsid w:val="00854488"/>
    <w:rsid w:val="009379D3"/>
    <w:rsid w:val="009F3A69"/>
    <w:rsid w:val="00AF37CB"/>
    <w:rsid w:val="00B61F8D"/>
    <w:rsid w:val="00B83951"/>
    <w:rsid w:val="00CB1B6E"/>
    <w:rsid w:val="00EE5153"/>
    <w:rsid w:val="00F0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EAD87-6162-4F41-BCCD-A0B9A4BE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A69"/>
    <w:rPr>
      <w:color w:val="0563C1" w:themeColor="hyperlink"/>
      <w:u w:val="single"/>
    </w:rPr>
  </w:style>
  <w:style w:type="character" w:styleId="FollowedHyperlink">
    <w:name w:val="FollowedHyperlink"/>
    <w:basedOn w:val="DefaultParagraphFont"/>
    <w:uiPriority w:val="99"/>
    <w:semiHidden/>
    <w:unhideWhenUsed/>
    <w:rsid w:val="007D7B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276">
      <w:bodyDiv w:val="1"/>
      <w:marLeft w:val="0"/>
      <w:marRight w:val="0"/>
      <w:marTop w:val="0"/>
      <w:marBottom w:val="0"/>
      <w:divBdr>
        <w:top w:val="none" w:sz="0" w:space="0" w:color="auto"/>
        <w:left w:val="none" w:sz="0" w:space="0" w:color="auto"/>
        <w:bottom w:val="none" w:sz="0" w:space="0" w:color="auto"/>
        <w:right w:val="none" w:sz="0" w:space="0" w:color="auto"/>
      </w:divBdr>
    </w:div>
    <w:div w:id="197397788">
      <w:bodyDiv w:val="1"/>
      <w:marLeft w:val="0"/>
      <w:marRight w:val="0"/>
      <w:marTop w:val="0"/>
      <w:marBottom w:val="0"/>
      <w:divBdr>
        <w:top w:val="none" w:sz="0" w:space="0" w:color="auto"/>
        <w:left w:val="none" w:sz="0" w:space="0" w:color="auto"/>
        <w:bottom w:val="none" w:sz="0" w:space="0" w:color="auto"/>
        <w:right w:val="none" w:sz="0" w:space="0" w:color="auto"/>
      </w:divBdr>
    </w:div>
    <w:div w:id="312804721">
      <w:bodyDiv w:val="1"/>
      <w:marLeft w:val="0"/>
      <w:marRight w:val="0"/>
      <w:marTop w:val="0"/>
      <w:marBottom w:val="0"/>
      <w:divBdr>
        <w:top w:val="none" w:sz="0" w:space="0" w:color="auto"/>
        <w:left w:val="none" w:sz="0" w:space="0" w:color="auto"/>
        <w:bottom w:val="none" w:sz="0" w:space="0" w:color="auto"/>
        <w:right w:val="none" w:sz="0" w:space="0" w:color="auto"/>
      </w:divBdr>
    </w:div>
    <w:div w:id="321930319">
      <w:bodyDiv w:val="1"/>
      <w:marLeft w:val="0"/>
      <w:marRight w:val="0"/>
      <w:marTop w:val="0"/>
      <w:marBottom w:val="0"/>
      <w:divBdr>
        <w:top w:val="none" w:sz="0" w:space="0" w:color="auto"/>
        <w:left w:val="none" w:sz="0" w:space="0" w:color="auto"/>
        <w:bottom w:val="none" w:sz="0" w:space="0" w:color="auto"/>
        <w:right w:val="none" w:sz="0" w:space="0" w:color="auto"/>
      </w:divBdr>
    </w:div>
    <w:div w:id="385180294">
      <w:bodyDiv w:val="1"/>
      <w:marLeft w:val="0"/>
      <w:marRight w:val="0"/>
      <w:marTop w:val="0"/>
      <w:marBottom w:val="0"/>
      <w:divBdr>
        <w:top w:val="none" w:sz="0" w:space="0" w:color="auto"/>
        <w:left w:val="none" w:sz="0" w:space="0" w:color="auto"/>
        <w:bottom w:val="none" w:sz="0" w:space="0" w:color="auto"/>
        <w:right w:val="none" w:sz="0" w:space="0" w:color="auto"/>
      </w:divBdr>
    </w:div>
    <w:div w:id="448397395">
      <w:bodyDiv w:val="1"/>
      <w:marLeft w:val="0"/>
      <w:marRight w:val="0"/>
      <w:marTop w:val="0"/>
      <w:marBottom w:val="0"/>
      <w:divBdr>
        <w:top w:val="none" w:sz="0" w:space="0" w:color="auto"/>
        <w:left w:val="none" w:sz="0" w:space="0" w:color="auto"/>
        <w:bottom w:val="none" w:sz="0" w:space="0" w:color="auto"/>
        <w:right w:val="none" w:sz="0" w:space="0" w:color="auto"/>
      </w:divBdr>
    </w:div>
    <w:div w:id="555317755">
      <w:bodyDiv w:val="1"/>
      <w:marLeft w:val="0"/>
      <w:marRight w:val="0"/>
      <w:marTop w:val="0"/>
      <w:marBottom w:val="0"/>
      <w:divBdr>
        <w:top w:val="none" w:sz="0" w:space="0" w:color="auto"/>
        <w:left w:val="none" w:sz="0" w:space="0" w:color="auto"/>
        <w:bottom w:val="none" w:sz="0" w:space="0" w:color="auto"/>
        <w:right w:val="none" w:sz="0" w:space="0" w:color="auto"/>
      </w:divBdr>
    </w:div>
    <w:div w:id="625433271">
      <w:bodyDiv w:val="1"/>
      <w:marLeft w:val="0"/>
      <w:marRight w:val="0"/>
      <w:marTop w:val="0"/>
      <w:marBottom w:val="0"/>
      <w:divBdr>
        <w:top w:val="none" w:sz="0" w:space="0" w:color="auto"/>
        <w:left w:val="none" w:sz="0" w:space="0" w:color="auto"/>
        <w:bottom w:val="none" w:sz="0" w:space="0" w:color="auto"/>
        <w:right w:val="none" w:sz="0" w:space="0" w:color="auto"/>
      </w:divBdr>
    </w:div>
    <w:div w:id="639723916">
      <w:bodyDiv w:val="1"/>
      <w:marLeft w:val="0"/>
      <w:marRight w:val="0"/>
      <w:marTop w:val="0"/>
      <w:marBottom w:val="0"/>
      <w:divBdr>
        <w:top w:val="none" w:sz="0" w:space="0" w:color="auto"/>
        <w:left w:val="none" w:sz="0" w:space="0" w:color="auto"/>
        <w:bottom w:val="none" w:sz="0" w:space="0" w:color="auto"/>
        <w:right w:val="none" w:sz="0" w:space="0" w:color="auto"/>
      </w:divBdr>
    </w:div>
    <w:div w:id="1176656216">
      <w:bodyDiv w:val="1"/>
      <w:marLeft w:val="0"/>
      <w:marRight w:val="0"/>
      <w:marTop w:val="0"/>
      <w:marBottom w:val="0"/>
      <w:divBdr>
        <w:top w:val="none" w:sz="0" w:space="0" w:color="auto"/>
        <w:left w:val="none" w:sz="0" w:space="0" w:color="auto"/>
        <w:bottom w:val="none" w:sz="0" w:space="0" w:color="auto"/>
        <w:right w:val="none" w:sz="0" w:space="0" w:color="auto"/>
      </w:divBdr>
    </w:div>
    <w:div w:id="1179467940">
      <w:bodyDiv w:val="1"/>
      <w:marLeft w:val="0"/>
      <w:marRight w:val="0"/>
      <w:marTop w:val="0"/>
      <w:marBottom w:val="0"/>
      <w:divBdr>
        <w:top w:val="none" w:sz="0" w:space="0" w:color="auto"/>
        <w:left w:val="none" w:sz="0" w:space="0" w:color="auto"/>
        <w:bottom w:val="none" w:sz="0" w:space="0" w:color="auto"/>
        <w:right w:val="none" w:sz="0" w:space="0" w:color="auto"/>
      </w:divBdr>
    </w:div>
    <w:div w:id="1191338126">
      <w:bodyDiv w:val="1"/>
      <w:marLeft w:val="0"/>
      <w:marRight w:val="0"/>
      <w:marTop w:val="0"/>
      <w:marBottom w:val="0"/>
      <w:divBdr>
        <w:top w:val="none" w:sz="0" w:space="0" w:color="auto"/>
        <w:left w:val="none" w:sz="0" w:space="0" w:color="auto"/>
        <w:bottom w:val="none" w:sz="0" w:space="0" w:color="auto"/>
        <w:right w:val="none" w:sz="0" w:space="0" w:color="auto"/>
      </w:divBdr>
    </w:div>
    <w:div w:id="1305770996">
      <w:bodyDiv w:val="1"/>
      <w:marLeft w:val="0"/>
      <w:marRight w:val="0"/>
      <w:marTop w:val="0"/>
      <w:marBottom w:val="0"/>
      <w:divBdr>
        <w:top w:val="none" w:sz="0" w:space="0" w:color="auto"/>
        <w:left w:val="none" w:sz="0" w:space="0" w:color="auto"/>
        <w:bottom w:val="none" w:sz="0" w:space="0" w:color="auto"/>
        <w:right w:val="none" w:sz="0" w:space="0" w:color="auto"/>
      </w:divBdr>
    </w:div>
    <w:div w:id="1331367376">
      <w:bodyDiv w:val="1"/>
      <w:marLeft w:val="0"/>
      <w:marRight w:val="0"/>
      <w:marTop w:val="0"/>
      <w:marBottom w:val="0"/>
      <w:divBdr>
        <w:top w:val="none" w:sz="0" w:space="0" w:color="auto"/>
        <w:left w:val="none" w:sz="0" w:space="0" w:color="auto"/>
        <w:bottom w:val="none" w:sz="0" w:space="0" w:color="auto"/>
        <w:right w:val="none" w:sz="0" w:space="0" w:color="auto"/>
      </w:divBdr>
    </w:div>
    <w:div w:id="1617835500">
      <w:bodyDiv w:val="1"/>
      <w:marLeft w:val="0"/>
      <w:marRight w:val="0"/>
      <w:marTop w:val="0"/>
      <w:marBottom w:val="0"/>
      <w:divBdr>
        <w:top w:val="none" w:sz="0" w:space="0" w:color="auto"/>
        <w:left w:val="none" w:sz="0" w:space="0" w:color="auto"/>
        <w:bottom w:val="none" w:sz="0" w:space="0" w:color="auto"/>
        <w:right w:val="none" w:sz="0" w:space="0" w:color="auto"/>
      </w:divBdr>
    </w:div>
    <w:div w:id="193104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6.bin"/><Relationship Id="rId42" Type="http://schemas.openxmlformats.org/officeDocument/2006/relationships/image" Target="media/image18.emf"/><Relationship Id="rId47" Type="http://schemas.openxmlformats.org/officeDocument/2006/relationships/image" Target="media/image20.emf"/><Relationship Id="rId63" Type="http://schemas.openxmlformats.org/officeDocument/2006/relationships/oleObject" Target="embeddings/oleObject26.bin"/><Relationship Id="rId68"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7.emf"/><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image" Target="media/image25.emf"/><Relationship Id="rId66" Type="http://schemas.openxmlformats.org/officeDocument/2006/relationships/image" Target="media/image29.emf"/><Relationship Id="rId5" Type="http://schemas.openxmlformats.org/officeDocument/2006/relationships/hyperlink" Target="https://satijalab.org/seurat/v3.1/pbmc3k_tutorial.html" TargetMode="External"/><Relationship Id="rId61" Type="http://schemas.openxmlformats.org/officeDocument/2006/relationships/oleObject" Target="embeddings/oleObject25.bin"/><Relationship Id="rId19" Type="http://schemas.openxmlformats.org/officeDocument/2006/relationships/hyperlink" Target="https://github.com/satijalab/seurat/issues/1212" TargetMode="External"/><Relationship Id="rId14" Type="http://schemas.openxmlformats.org/officeDocument/2006/relationships/hyperlink" Target="https://support.10xgenomics.com/single-cell-gene-expression/software/pipelines/latest/what-is-cell-ranger" TargetMode="External"/><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2.emf"/><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7.emf"/><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image" Target="media/image27.emf"/><Relationship Id="rId1" Type="http://schemas.openxmlformats.org/officeDocument/2006/relationships/numbering" Target="numbering.xml"/><Relationship Id="rId6" Type="http://schemas.openxmlformats.org/officeDocument/2006/relationships/hyperlink" Target="https://s3-us-west-2.amazonaws.com/10x.files/samples/cell/pbmc3k/pbmc3k_filtered_gene_bc_matrices.tar.gz" TargetMode="Externa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1.emf"/><Relationship Id="rId57" Type="http://schemas.openxmlformats.org/officeDocument/2006/relationships/oleObject" Target="embeddings/oleObject23.bin"/><Relationship Id="rId10" Type="http://schemas.openxmlformats.org/officeDocument/2006/relationships/image" Target="media/image3.emf"/><Relationship Id="rId31" Type="http://schemas.openxmlformats.org/officeDocument/2006/relationships/oleObject" Target="embeddings/oleObject11.bin"/><Relationship Id="rId44" Type="http://schemas.openxmlformats.org/officeDocument/2006/relationships/hyperlink" Target="https://www.biorxiv.org/content/biorxiv/early/2018/11/02/460147.full.pdf" TargetMode="External"/><Relationship Id="rId52" Type="http://schemas.openxmlformats.org/officeDocument/2006/relationships/oleObject" Target="embeddings/oleObject21.bin"/><Relationship Id="rId60" Type="http://schemas.openxmlformats.org/officeDocument/2006/relationships/image" Target="media/image26.emf"/><Relationship Id="rId65"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image" Target="media/image14.emf"/><Relationship Id="rId50" Type="http://schemas.openxmlformats.org/officeDocument/2006/relationships/oleObject" Target="embeddings/oleObject20.bin"/><Relationship Id="rId55" Type="http://schemas.openxmlformats.org/officeDocument/2006/relationships/hyperlink" Target="https://www.cell.com/fulltext/S0092-8674(15)005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dc:creator>
  <cp:keywords/>
  <dc:description/>
  <cp:lastModifiedBy>Harsh D</cp:lastModifiedBy>
  <cp:revision>12</cp:revision>
  <dcterms:created xsi:type="dcterms:W3CDTF">2020-06-19T02:19:00Z</dcterms:created>
  <dcterms:modified xsi:type="dcterms:W3CDTF">2020-06-25T03:29:00Z</dcterms:modified>
</cp:coreProperties>
</file>