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59CC20" w14:textId="63275DF7" w:rsidR="000B6601" w:rsidRPr="009E0817" w:rsidRDefault="009E0817">
      <w:pPr>
        <w:pStyle w:val="Title"/>
        <w:rPr>
          <w:rFonts w:cs="Times New Roman"/>
          <w:sz w:val="24"/>
          <w:szCs w:val="24"/>
        </w:rPr>
      </w:pPr>
      <w:r>
        <w:rPr>
          <w:rFonts w:cs="Times New Roman"/>
          <w:sz w:val="24"/>
          <w:szCs w:val="24"/>
        </w:rPr>
        <w:t xml:space="preserve">TN </w:t>
      </w:r>
      <w:r w:rsidRPr="009E0817">
        <w:rPr>
          <w:rFonts w:cs="Times New Roman"/>
          <w:sz w:val="24"/>
          <w:szCs w:val="24"/>
        </w:rPr>
        <w:t>The Screen Writers Guild B</w:t>
      </w:r>
    </w:p>
    <w:p w14:paraId="352B3801" w14:textId="77777777" w:rsidR="000B6601" w:rsidRPr="009E0817" w:rsidRDefault="00000000">
      <w:pPr>
        <w:pStyle w:val="Heading1"/>
        <w:rPr>
          <w:rFonts w:cs="Times New Roman"/>
          <w:sz w:val="24"/>
          <w:szCs w:val="24"/>
        </w:rPr>
      </w:pPr>
      <w:r w:rsidRPr="009E0817">
        <w:rPr>
          <w:rFonts w:cs="Times New Roman"/>
          <w:sz w:val="24"/>
          <w:szCs w:val="24"/>
        </w:rPr>
        <w:t>Case Synopsis</w:t>
      </w:r>
    </w:p>
    <w:p w14:paraId="56105C3F" w14:textId="77777777" w:rsidR="000B6601" w:rsidRPr="009E0817" w:rsidRDefault="00000000">
      <w:pPr>
        <w:rPr>
          <w:rFonts w:cs="Times New Roman"/>
          <w:sz w:val="24"/>
          <w:szCs w:val="24"/>
        </w:rPr>
      </w:pPr>
      <w:r w:rsidRPr="009E0817">
        <w:rPr>
          <w:rFonts w:cs="Times New Roman"/>
          <w:sz w:val="24"/>
          <w:szCs w:val="24"/>
        </w:rPr>
        <w:t>In late 1959, Melville Nimmer, general counsel to the Writers Guild of America West, must recommend what the Guild should seek in its next negotiations with producers. Television has made a script useful well beyond its first production. A recorded episode can be shown again; a pilot can establish characters and relationships that sustain a series; a successful format can become the basis of another program. Writers receive payment and screen credit, but the studios generally hold the copyright and control further exploitation. Nimmer must decide which claims writers should retain and how the Guild could make those claims enforceable. [1]</w:t>
      </w:r>
    </w:p>
    <w:p w14:paraId="4CAFCD94" w14:textId="4D1BF11C" w:rsidR="000B6601" w:rsidRPr="009E0817" w:rsidRDefault="00A02745">
      <w:pPr>
        <w:rPr>
          <w:rFonts w:cs="Times New Roman"/>
          <w:sz w:val="24"/>
          <w:szCs w:val="24"/>
        </w:rPr>
      </w:pPr>
      <w:r w:rsidRPr="00A02745">
        <w:rPr>
          <w:rFonts w:cs="Times New Roman"/>
          <w:sz w:val="24"/>
          <w:szCs w:val="24"/>
        </w:rPr>
        <w:t>Roy Huggins presents a microcosm of the problem to Nimmer in a concrete form</w:t>
      </w:r>
      <w:r w:rsidRPr="009E0817">
        <w:rPr>
          <w:rFonts w:cs="Times New Roman"/>
          <w:sz w:val="24"/>
          <w:szCs w:val="24"/>
        </w:rPr>
        <w:t>. Huggins believes that Warner Bros. has taken the arrangement behind his series, 77 Sunset Strip, and used it in Bourbon Street Beat and Hawaiian Eye. The shows share a recognizable combination of detectives, a nearby nightclub, and a youthful sidekick, transplanted to different cities. A larger fee for the original pilot would have paid Huggins more, but would not have changed Warner’s authority to reuse the material</w:t>
      </w:r>
      <w:r>
        <w:rPr>
          <w:rFonts w:cs="Times New Roman"/>
          <w:sz w:val="24"/>
          <w:szCs w:val="24"/>
        </w:rPr>
        <w:t>, n</w:t>
      </w:r>
      <w:r w:rsidRPr="009E0817">
        <w:rPr>
          <w:rFonts w:cs="Times New Roman"/>
          <w:sz w:val="24"/>
          <w:szCs w:val="24"/>
        </w:rPr>
        <w:t>or would a payment for rerunning the original episodes necessarily reach the creation of a different program.</w:t>
      </w:r>
    </w:p>
    <w:p w14:paraId="7B0718A8" w14:textId="77777777" w:rsidR="00A02745" w:rsidRDefault="00000000">
      <w:pPr>
        <w:rPr>
          <w:rFonts w:cs="Times New Roman"/>
          <w:sz w:val="24"/>
          <w:szCs w:val="24"/>
        </w:rPr>
      </w:pPr>
      <w:r w:rsidRPr="009E0817">
        <w:rPr>
          <w:rFonts w:cs="Times New Roman"/>
          <w:sz w:val="24"/>
          <w:szCs w:val="24"/>
        </w:rPr>
        <w:t>The studio has a substantial claim of its own</w:t>
      </w:r>
      <w:r w:rsidR="00A02745">
        <w:rPr>
          <w:rFonts w:cs="Times New Roman"/>
          <w:sz w:val="24"/>
          <w:szCs w:val="24"/>
        </w:rPr>
        <w:t xml:space="preserve"> over Huggins’ work</w:t>
      </w:r>
      <w:r w:rsidRPr="009E0817">
        <w:rPr>
          <w:rFonts w:cs="Times New Roman"/>
          <w:sz w:val="24"/>
          <w:szCs w:val="24"/>
        </w:rPr>
        <w:t>. It finance</w:t>
      </w:r>
      <w:r w:rsidR="00A02745">
        <w:rPr>
          <w:rFonts w:cs="Times New Roman"/>
          <w:sz w:val="24"/>
          <w:szCs w:val="24"/>
        </w:rPr>
        <w:t xml:space="preserve">d </w:t>
      </w:r>
      <w:r w:rsidRPr="009E0817">
        <w:rPr>
          <w:rFonts w:cs="Times New Roman"/>
          <w:sz w:val="24"/>
          <w:szCs w:val="24"/>
        </w:rPr>
        <w:t xml:space="preserve">development, </w:t>
      </w:r>
      <w:r w:rsidR="00A02745">
        <w:rPr>
          <w:rFonts w:cs="Times New Roman"/>
          <w:sz w:val="24"/>
          <w:szCs w:val="24"/>
        </w:rPr>
        <w:t>took a bet on</w:t>
      </w:r>
      <w:r w:rsidRPr="009E0817">
        <w:rPr>
          <w:rFonts w:cs="Times New Roman"/>
          <w:sz w:val="24"/>
          <w:szCs w:val="24"/>
        </w:rPr>
        <w:t xml:space="preserve"> </w:t>
      </w:r>
      <w:r w:rsidR="00A02745">
        <w:rPr>
          <w:rFonts w:cs="Times New Roman"/>
          <w:sz w:val="24"/>
          <w:szCs w:val="24"/>
        </w:rPr>
        <w:t xml:space="preserve">the </w:t>
      </w:r>
      <w:r w:rsidRPr="009E0817">
        <w:rPr>
          <w:rFonts w:cs="Times New Roman"/>
          <w:sz w:val="24"/>
          <w:szCs w:val="24"/>
        </w:rPr>
        <w:t>project, assemble</w:t>
      </w:r>
      <w:r w:rsidR="00A02745">
        <w:rPr>
          <w:rFonts w:cs="Times New Roman"/>
          <w:sz w:val="24"/>
          <w:szCs w:val="24"/>
        </w:rPr>
        <w:t>d</w:t>
      </w:r>
      <w:r w:rsidRPr="009E0817">
        <w:rPr>
          <w:rFonts w:cs="Times New Roman"/>
          <w:sz w:val="24"/>
          <w:szCs w:val="24"/>
        </w:rPr>
        <w:t xml:space="preserve"> talent</w:t>
      </w:r>
      <w:r w:rsidR="00A02745">
        <w:rPr>
          <w:rFonts w:cs="Times New Roman"/>
          <w:sz w:val="24"/>
          <w:szCs w:val="24"/>
        </w:rPr>
        <w:t xml:space="preserve"> which acted it</w:t>
      </w:r>
      <w:r w:rsidRPr="009E0817">
        <w:rPr>
          <w:rFonts w:cs="Times New Roman"/>
          <w:sz w:val="24"/>
          <w:szCs w:val="24"/>
        </w:rPr>
        <w:t xml:space="preserve">, and </w:t>
      </w:r>
      <w:r w:rsidR="00A02745">
        <w:rPr>
          <w:rFonts w:cs="Times New Roman"/>
          <w:sz w:val="24"/>
          <w:szCs w:val="24"/>
        </w:rPr>
        <w:t>would have borne</w:t>
      </w:r>
      <w:r w:rsidRPr="009E0817">
        <w:rPr>
          <w:rFonts w:cs="Times New Roman"/>
          <w:sz w:val="24"/>
          <w:szCs w:val="24"/>
        </w:rPr>
        <w:t xml:space="preserve"> the cost of failure. </w:t>
      </w:r>
      <w:r w:rsidR="00A02745">
        <w:rPr>
          <w:rFonts w:cs="Times New Roman"/>
          <w:sz w:val="24"/>
          <w:szCs w:val="24"/>
        </w:rPr>
        <w:t>Broadly, a</w:t>
      </w:r>
      <w:r w:rsidRPr="009E0817">
        <w:rPr>
          <w:rFonts w:cs="Times New Roman"/>
          <w:sz w:val="24"/>
          <w:szCs w:val="24"/>
        </w:rPr>
        <w:t xml:space="preserve"> series that succeeds may owe much to performers, producers, and writers who arrived after the pilot. Producers want the ability to finance and develop the property without obtaining permission from every contributor. </w:t>
      </w:r>
    </w:p>
    <w:p w14:paraId="0F6E87CD" w14:textId="5515DB9D" w:rsidR="000B6601" w:rsidRPr="009E0817" w:rsidRDefault="00000000">
      <w:pPr>
        <w:rPr>
          <w:rFonts w:cs="Times New Roman"/>
          <w:sz w:val="24"/>
          <w:szCs w:val="24"/>
        </w:rPr>
      </w:pPr>
      <w:r w:rsidRPr="009E0817">
        <w:rPr>
          <w:rFonts w:cs="Times New Roman"/>
          <w:sz w:val="24"/>
          <w:szCs w:val="24"/>
        </w:rPr>
        <w:t>The case asks students to design a demand that addresses recurring use without undermining production or the coalition needed to win it.</w:t>
      </w:r>
      <w:r w:rsidR="00893061" w:rsidRPr="00893061">
        <w:t xml:space="preserve"> </w:t>
      </w:r>
      <w:r w:rsidR="00893061" w:rsidRPr="00893061">
        <w:rPr>
          <w:rFonts w:cs="Times New Roman"/>
          <w:sz w:val="24"/>
          <w:szCs w:val="24"/>
        </w:rPr>
        <w:t>It also asks how creators can assert and enforce rights over those contributions once the work itself belongs to someone else. More broadly, it examines the tensions and tradeoffs that arise when creators seek to retain rights in elements they produced but that are incorporated into works owned by others.</w:t>
      </w:r>
    </w:p>
    <w:p w14:paraId="1E5C7F91" w14:textId="77777777" w:rsidR="000B6601" w:rsidRPr="009E0817" w:rsidRDefault="00000000">
      <w:pPr>
        <w:pStyle w:val="Heading1"/>
        <w:rPr>
          <w:rFonts w:cs="Times New Roman"/>
          <w:sz w:val="24"/>
          <w:szCs w:val="24"/>
        </w:rPr>
      </w:pPr>
      <w:r w:rsidRPr="009E0817">
        <w:rPr>
          <w:rFonts w:cs="Times New Roman"/>
          <w:sz w:val="24"/>
          <w:szCs w:val="24"/>
        </w:rPr>
        <w:t>Teaching Objectives</w:t>
      </w:r>
    </w:p>
    <w:p w14:paraId="5D96AB13" w14:textId="7D7B87F5" w:rsidR="000B6601" w:rsidRPr="009E0817" w:rsidRDefault="00000000">
      <w:pPr>
        <w:rPr>
          <w:rFonts w:cs="Times New Roman"/>
          <w:sz w:val="24"/>
          <w:szCs w:val="24"/>
        </w:rPr>
      </w:pPr>
      <w:r w:rsidRPr="009E0817">
        <w:rPr>
          <w:rFonts w:cs="Times New Roman"/>
          <w:sz w:val="24"/>
          <w:szCs w:val="24"/>
        </w:rPr>
        <w:t xml:space="preserve">The case supports </w:t>
      </w:r>
      <w:r w:rsidR="00A02745">
        <w:rPr>
          <w:rFonts w:cs="Times New Roman"/>
          <w:sz w:val="24"/>
          <w:szCs w:val="24"/>
        </w:rPr>
        <w:t>four</w:t>
      </w:r>
      <w:r w:rsidRPr="009E0817">
        <w:rPr>
          <w:rFonts w:cs="Times New Roman"/>
          <w:sz w:val="24"/>
          <w:szCs w:val="24"/>
        </w:rPr>
        <w:t xml:space="preserve"> teaching objectives:</w:t>
      </w:r>
    </w:p>
    <w:p w14:paraId="147A6DAB" w14:textId="77777777" w:rsidR="000B6601" w:rsidRPr="009E0817" w:rsidRDefault="00000000">
      <w:pPr>
        <w:pStyle w:val="ListBullet"/>
        <w:rPr>
          <w:rFonts w:cs="Times New Roman"/>
          <w:sz w:val="24"/>
          <w:szCs w:val="24"/>
        </w:rPr>
      </w:pPr>
      <w:r w:rsidRPr="009E0817">
        <w:rPr>
          <w:rFonts w:cs="Times New Roman"/>
          <w:sz w:val="24"/>
          <w:szCs w:val="24"/>
        </w:rPr>
        <w:t>Analyze how an initial writer’s incentives interact with the studio’s subsequent investment, including uncertainty about future uses and the possibility of opportunistic bargaining after investment.</w:t>
      </w:r>
    </w:p>
    <w:p w14:paraId="37CDEF98" w14:textId="77777777" w:rsidR="000B6601" w:rsidRPr="009E0817" w:rsidRDefault="00000000">
      <w:pPr>
        <w:pStyle w:val="ListBullet"/>
        <w:rPr>
          <w:rFonts w:cs="Times New Roman"/>
          <w:sz w:val="24"/>
          <w:szCs w:val="24"/>
        </w:rPr>
      </w:pPr>
      <w:r w:rsidRPr="009E0817">
        <w:rPr>
          <w:rFonts w:cs="Times New Roman"/>
          <w:sz w:val="24"/>
          <w:szCs w:val="24"/>
        </w:rPr>
        <w:t>Evaluate fixed fees, contingent payments, reserved rights, and reversion as different responses to the economics of creative work.</w:t>
      </w:r>
    </w:p>
    <w:p w14:paraId="726D7614" w14:textId="77777777" w:rsidR="000B6601" w:rsidRPr="009E0817" w:rsidRDefault="00000000">
      <w:pPr>
        <w:pStyle w:val="ListBullet"/>
        <w:rPr>
          <w:rFonts w:cs="Times New Roman"/>
          <w:sz w:val="24"/>
          <w:szCs w:val="24"/>
        </w:rPr>
      </w:pPr>
      <w:r w:rsidRPr="009E0817">
        <w:rPr>
          <w:rFonts w:cs="Times New Roman"/>
          <w:sz w:val="24"/>
          <w:szCs w:val="24"/>
        </w:rPr>
        <w:t>Examine whose interests a collective agreement advances when its benefits and the costs of obtaining them are distributed unevenly across members.</w:t>
      </w:r>
    </w:p>
    <w:p w14:paraId="6C57D1A0" w14:textId="77777777" w:rsidR="000B6601" w:rsidRPr="009E0817" w:rsidRDefault="00000000">
      <w:pPr>
        <w:pStyle w:val="ListBullet"/>
        <w:rPr>
          <w:rFonts w:cs="Times New Roman"/>
          <w:sz w:val="24"/>
          <w:szCs w:val="24"/>
        </w:rPr>
      </w:pPr>
      <w:r w:rsidRPr="009E0817">
        <w:rPr>
          <w:rFonts w:cs="Times New Roman"/>
          <w:sz w:val="24"/>
          <w:szCs w:val="24"/>
        </w:rPr>
        <w:t>Assess what can be learned from the Hollywood arrangement about attribution and compensation in collaborative, AI-assisted production.</w:t>
      </w:r>
    </w:p>
    <w:p w14:paraId="4A688D50" w14:textId="77777777" w:rsidR="000B6601" w:rsidRPr="009E0817" w:rsidRDefault="00000000">
      <w:pPr>
        <w:pStyle w:val="Heading1"/>
        <w:rPr>
          <w:rFonts w:cs="Times New Roman"/>
          <w:sz w:val="24"/>
          <w:szCs w:val="24"/>
        </w:rPr>
      </w:pPr>
      <w:r w:rsidRPr="009E0817">
        <w:rPr>
          <w:rFonts w:cs="Times New Roman"/>
          <w:sz w:val="24"/>
          <w:szCs w:val="24"/>
        </w:rPr>
        <w:t>Positioning and Preparation</w:t>
      </w:r>
    </w:p>
    <w:p w14:paraId="280218AC" w14:textId="77777777" w:rsidR="000B6601" w:rsidRPr="009E0817" w:rsidRDefault="00000000">
      <w:pPr>
        <w:rPr>
          <w:rFonts w:cs="Times New Roman"/>
          <w:sz w:val="24"/>
          <w:szCs w:val="24"/>
        </w:rPr>
      </w:pPr>
      <w:r w:rsidRPr="009E0817">
        <w:rPr>
          <w:rFonts w:cs="Times New Roman"/>
          <w:sz w:val="24"/>
          <w:szCs w:val="24"/>
        </w:rPr>
        <w:t xml:space="preserve">The case is suitable for courses on labor markets, organizational economics, strategy, and the governance of creative work. It can follow The Screen Writers’ Guild (A): A Union for Credit. Part A asks who should determine authorship and how a credible credit changes labor-market opportunities. Part B asks what should follow from that attribution when the work becomes a repeatedly usable </w:t>
      </w:r>
      <w:r w:rsidRPr="009E0817">
        <w:rPr>
          <w:rFonts w:cs="Times New Roman"/>
          <w:sz w:val="24"/>
          <w:szCs w:val="24"/>
        </w:rPr>
        <w:lastRenderedPageBreak/>
        <w:t>asset. The note is also designed for a standalone discussion; instructors can briefly explain that the Guild had already acquired contractual authority over writing credits.</w:t>
      </w:r>
    </w:p>
    <w:p w14:paraId="11F8F2F0" w14:textId="77777777" w:rsidR="000B6601" w:rsidRPr="009E0817" w:rsidRDefault="00000000">
      <w:pPr>
        <w:pStyle w:val="Heading1"/>
        <w:rPr>
          <w:rFonts w:cs="Times New Roman"/>
          <w:sz w:val="24"/>
          <w:szCs w:val="24"/>
        </w:rPr>
      </w:pPr>
      <w:r w:rsidRPr="009E0817">
        <w:rPr>
          <w:rFonts w:cs="Times New Roman"/>
          <w:sz w:val="24"/>
          <w:szCs w:val="24"/>
        </w:rPr>
        <w:t>Suggested Assignment Questions</w:t>
      </w:r>
    </w:p>
    <w:p w14:paraId="168CAE5E" w14:textId="77777777" w:rsidR="000B6601" w:rsidRPr="009E0817" w:rsidRDefault="00000000">
      <w:pPr>
        <w:ind w:left="259" w:hanging="259"/>
        <w:rPr>
          <w:rFonts w:cs="Times New Roman"/>
          <w:sz w:val="24"/>
          <w:szCs w:val="24"/>
        </w:rPr>
      </w:pPr>
      <w:r w:rsidRPr="009E0817">
        <w:rPr>
          <w:rFonts w:cs="Times New Roman"/>
          <w:sz w:val="24"/>
          <w:szCs w:val="24"/>
        </w:rPr>
        <w:t>1. What did Huggins sell when he sold his work on 77 Sunset Strip? What, if anything, should Warner have to pay for again?</w:t>
      </w:r>
    </w:p>
    <w:p w14:paraId="2E0A0313" w14:textId="77777777" w:rsidR="000B6601" w:rsidRPr="009E0817" w:rsidRDefault="00000000">
      <w:pPr>
        <w:ind w:left="259" w:hanging="259"/>
        <w:rPr>
          <w:rFonts w:cs="Times New Roman"/>
          <w:sz w:val="24"/>
          <w:szCs w:val="24"/>
        </w:rPr>
      </w:pPr>
      <w:r w:rsidRPr="009E0817">
        <w:rPr>
          <w:rFonts w:cs="Times New Roman"/>
          <w:sz w:val="24"/>
          <w:szCs w:val="24"/>
        </w:rPr>
        <w:t>2. Would you prefer to run a studio that pays writers more upfront and acquires all rights, or one that pays less upfront and concedes defined future claims? What would determine your choice?</w:t>
      </w:r>
    </w:p>
    <w:p w14:paraId="5124A8D9" w14:textId="77777777" w:rsidR="000B6601" w:rsidRPr="009E0817" w:rsidRDefault="00000000">
      <w:pPr>
        <w:ind w:left="259" w:hanging="259"/>
        <w:rPr>
          <w:rFonts w:cs="Times New Roman"/>
          <w:sz w:val="24"/>
          <w:szCs w:val="24"/>
        </w:rPr>
      </w:pPr>
      <w:r w:rsidRPr="009E0817">
        <w:rPr>
          <w:rFonts w:cs="Times New Roman"/>
          <w:sz w:val="24"/>
          <w:szCs w:val="24"/>
        </w:rPr>
        <w:t>3. Should Nimmer make separated rights a central Guild demand? Who gains, who bears the cost, and what should he be willing to trade away?</w:t>
      </w:r>
    </w:p>
    <w:p w14:paraId="066E6879" w14:textId="77777777" w:rsidR="000B6601" w:rsidRPr="009E0817" w:rsidRDefault="00000000">
      <w:pPr>
        <w:ind w:left="259" w:hanging="259"/>
        <w:rPr>
          <w:rFonts w:cs="Times New Roman"/>
          <w:sz w:val="24"/>
          <w:szCs w:val="24"/>
        </w:rPr>
      </w:pPr>
      <w:r w:rsidRPr="009E0817">
        <w:rPr>
          <w:rFonts w:cs="Times New Roman"/>
          <w:sz w:val="24"/>
          <w:szCs w:val="24"/>
        </w:rPr>
        <w:t>4. How should the parties determine which writer qualifies when a format, pilot, and successful series reflect different people’s work?</w:t>
      </w:r>
    </w:p>
    <w:p w14:paraId="54AAA30D" w14:textId="77777777" w:rsidR="000B6601" w:rsidRPr="009E0817" w:rsidRDefault="00000000">
      <w:pPr>
        <w:pStyle w:val="Heading1"/>
        <w:rPr>
          <w:rFonts w:cs="Times New Roman"/>
          <w:sz w:val="24"/>
          <w:szCs w:val="24"/>
        </w:rPr>
      </w:pPr>
      <w:r w:rsidRPr="009E0817">
        <w:rPr>
          <w:rFonts w:cs="Times New Roman"/>
          <w:sz w:val="24"/>
          <w:szCs w:val="24"/>
        </w:rPr>
        <w:t>Case Analysis and Teaching Plan</w:t>
      </w:r>
    </w:p>
    <w:p w14:paraId="313E134C" w14:textId="77777777" w:rsidR="000B6601" w:rsidRPr="009E0817" w:rsidRDefault="00000000">
      <w:pPr>
        <w:rPr>
          <w:rFonts w:cs="Times New Roman"/>
          <w:sz w:val="24"/>
          <w:szCs w:val="24"/>
        </w:rPr>
      </w:pPr>
      <w:r w:rsidRPr="009E0817">
        <w:rPr>
          <w:rFonts w:cs="Times New Roman"/>
          <w:sz w:val="24"/>
          <w:szCs w:val="24"/>
        </w:rPr>
        <w:t>The following plan is designed for an 80-minute session. The first part establishes the competing claims on value; the second tests contractual responses from the studio’s perspective; the third requires a recommendation to the Guild. The AI discussion then tests how far that reasoning travels. The questions below provide a sequence rather than a requirement to ask every follow-up. Within each section, pursue the disagreement that best exposes the assumptions behind students’ recommendations.</w:t>
      </w:r>
    </w:p>
    <w:tbl>
      <w:tblPr>
        <w:tblStyle w:val="TableGrid"/>
        <w:tblW w:w="0" w:type="auto"/>
        <w:tblLayout w:type="fixed"/>
        <w:tblLook w:val="04A0" w:firstRow="1" w:lastRow="0" w:firstColumn="1" w:lastColumn="0" w:noHBand="0" w:noVBand="1"/>
      </w:tblPr>
      <w:tblGrid>
        <w:gridCol w:w="7200"/>
        <w:gridCol w:w="1152"/>
      </w:tblGrid>
      <w:tr w:rsidR="00B57424" w:rsidRPr="009E0817" w14:paraId="7154D2BF" w14:textId="77777777" w:rsidTr="00B57424">
        <w:tc>
          <w:tcPr>
            <w:tcW w:w="7200" w:type="dxa"/>
          </w:tcPr>
          <w:p w14:paraId="357721D4" w14:textId="77777777" w:rsidR="00B57424" w:rsidRPr="009E0817" w:rsidRDefault="00B57424">
            <w:pPr>
              <w:spacing w:after="40" w:line="240" w:lineRule="auto"/>
              <w:rPr>
                <w:rFonts w:cs="Times New Roman"/>
                <w:b/>
                <w:sz w:val="24"/>
                <w:szCs w:val="24"/>
              </w:rPr>
            </w:pPr>
            <w:r w:rsidRPr="009E0817">
              <w:rPr>
                <w:rFonts w:cs="Times New Roman"/>
                <w:b/>
                <w:sz w:val="24"/>
                <w:szCs w:val="24"/>
              </w:rPr>
              <w:t>Discussion</w:t>
            </w:r>
          </w:p>
        </w:tc>
        <w:tc>
          <w:tcPr>
            <w:tcW w:w="1152" w:type="dxa"/>
          </w:tcPr>
          <w:p w14:paraId="365985FA" w14:textId="77777777" w:rsidR="00B57424" w:rsidRPr="009E0817" w:rsidRDefault="00B57424">
            <w:pPr>
              <w:spacing w:after="40" w:line="240" w:lineRule="auto"/>
              <w:rPr>
                <w:rFonts w:cs="Times New Roman"/>
                <w:b/>
                <w:sz w:val="24"/>
                <w:szCs w:val="24"/>
              </w:rPr>
            </w:pPr>
            <w:r w:rsidRPr="009E0817">
              <w:rPr>
                <w:rFonts w:cs="Times New Roman"/>
                <w:b/>
                <w:sz w:val="24"/>
                <w:szCs w:val="24"/>
              </w:rPr>
              <w:t>Minutes</w:t>
            </w:r>
          </w:p>
        </w:tc>
      </w:tr>
      <w:tr w:rsidR="00B57424" w:rsidRPr="009E0817" w14:paraId="62510387" w14:textId="77777777" w:rsidTr="00B57424">
        <w:tc>
          <w:tcPr>
            <w:tcW w:w="7200" w:type="dxa"/>
          </w:tcPr>
          <w:p w14:paraId="5E25E3AB" w14:textId="46C8710A" w:rsidR="00B57424" w:rsidRPr="009E0817" w:rsidRDefault="00B57424">
            <w:pPr>
              <w:spacing w:after="40" w:line="240" w:lineRule="auto"/>
              <w:rPr>
                <w:rFonts w:cs="Times New Roman"/>
                <w:b/>
                <w:sz w:val="24"/>
                <w:szCs w:val="24"/>
              </w:rPr>
            </w:pPr>
            <w:r w:rsidRPr="009E0817">
              <w:rPr>
                <w:rFonts w:cs="Times New Roman"/>
                <w:b/>
                <w:sz w:val="24"/>
                <w:szCs w:val="24"/>
              </w:rPr>
              <w:t>Part 1 Where does value reside in a television pilot</w:t>
            </w:r>
          </w:p>
        </w:tc>
        <w:tc>
          <w:tcPr>
            <w:tcW w:w="1152" w:type="dxa"/>
          </w:tcPr>
          <w:p w14:paraId="6E9C01BE" w14:textId="77777777" w:rsidR="00B57424" w:rsidRPr="009E0817" w:rsidRDefault="00B57424">
            <w:pPr>
              <w:spacing w:after="40" w:line="240" w:lineRule="auto"/>
              <w:rPr>
                <w:rFonts w:cs="Times New Roman"/>
                <w:b/>
                <w:sz w:val="24"/>
                <w:szCs w:val="24"/>
              </w:rPr>
            </w:pPr>
            <w:r w:rsidRPr="009E0817">
              <w:rPr>
                <w:rFonts w:cs="Times New Roman"/>
                <w:b/>
                <w:sz w:val="24"/>
                <w:szCs w:val="24"/>
              </w:rPr>
              <w:t>15</w:t>
            </w:r>
          </w:p>
        </w:tc>
      </w:tr>
      <w:tr w:rsidR="00B57424" w:rsidRPr="009E0817" w14:paraId="1A17E313" w14:textId="77777777" w:rsidTr="00B57424">
        <w:tc>
          <w:tcPr>
            <w:tcW w:w="7200" w:type="dxa"/>
          </w:tcPr>
          <w:p w14:paraId="59014DE6" w14:textId="01B5D178" w:rsidR="00B57424" w:rsidRPr="009E0817" w:rsidRDefault="00B57424">
            <w:pPr>
              <w:spacing w:after="40" w:line="240" w:lineRule="auto"/>
              <w:rPr>
                <w:rFonts w:cs="Times New Roman"/>
                <w:b/>
                <w:sz w:val="24"/>
                <w:szCs w:val="24"/>
              </w:rPr>
            </w:pPr>
            <w:r w:rsidRPr="009E0817">
              <w:rPr>
                <w:rFonts w:cs="Times New Roman"/>
                <w:b/>
                <w:sz w:val="24"/>
                <w:szCs w:val="24"/>
              </w:rPr>
              <w:t>Part 2 Is sharing separated rights good business for studios</w:t>
            </w:r>
          </w:p>
        </w:tc>
        <w:tc>
          <w:tcPr>
            <w:tcW w:w="1152" w:type="dxa"/>
          </w:tcPr>
          <w:p w14:paraId="22165410" w14:textId="77777777" w:rsidR="00B57424" w:rsidRPr="009E0817" w:rsidRDefault="00B57424">
            <w:pPr>
              <w:spacing w:after="40" w:line="240" w:lineRule="auto"/>
              <w:rPr>
                <w:rFonts w:cs="Times New Roman"/>
                <w:b/>
                <w:sz w:val="24"/>
                <w:szCs w:val="24"/>
              </w:rPr>
            </w:pPr>
            <w:r w:rsidRPr="009E0817">
              <w:rPr>
                <w:rFonts w:cs="Times New Roman"/>
                <w:b/>
                <w:sz w:val="24"/>
                <w:szCs w:val="24"/>
              </w:rPr>
              <w:t>20</w:t>
            </w:r>
          </w:p>
        </w:tc>
      </w:tr>
      <w:tr w:rsidR="00B57424" w:rsidRPr="009E0817" w14:paraId="44603009" w14:textId="77777777" w:rsidTr="00B57424">
        <w:tc>
          <w:tcPr>
            <w:tcW w:w="7200" w:type="dxa"/>
          </w:tcPr>
          <w:p w14:paraId="216F01BB" w14:textId="236DDAB7" w:rsidR="00B57424" w:rsidRPr="009E0817" w:rsidRDefault="00B57424">
            <w:pPr>
              <w:spacing w:after="40" w:line="240" w:lineRule="auto"/>
              <w:rPr>
                <w:rFonts w:cs="Times New Roman"/>
                <w:b/>
                <w:sz w:val="24"/>
                <w:szCs w:val="24"/>
              </w:rPr>
            </w:pPr>
            <w:r w:rsidRPr="009E0817">
              <w:rPr>
                <w:rFonts w:cs="Times New Roman"/>
                <w:b/>
                <w:sz w:val="24"/>
                <w:szCs w:val="24"/>
              </w:rPr>
              <w:t>Part 3 What should the Guild demand</w:t>
            </w:r>
          </w:p>
        </w:tc>
        <w:tc>
          <w:tcPr>
            <w:tcW w:w="1152" w:type="dxa"/>
          </w:tcPr>
          <w:p w14:paraId="3AA234C2" w14:textId="77777777" w:rsidR="00B57424" w:rsidRPr="009E0817" w:rsidRDefault="00B57424">
            <w:pPr>
              <w:spacing w:after="40" w:line="240" w:lineRule="auto"/>
              <w:rPr>
                <w:rFonts w:cs="Times New Roman"/>
                <w:b/>
                <w:sz w:val="24"/>
                <w:szCs w:val="24"/>
              </w:rPr>
            </w:pPr>
            <w:r w:rsidRPr="009E0817">
              <w:rPr>
                <w:rFonts w:cs="Times New Roman"/>
                <w:b/>
                <w:sz w:val="24"/>
                <w:szCs w:val="24"/>
              </w:rPr>
              <w:t>25</w:t>
            </w:r>
          </w:p>
        </w:tc>
      </w:tr>
      <w:tr w:rsidR="00B57424" w:rsidRPr="009E0817" w14:paraId="203D870F" w14:textId="77777777" w:rsidTr="00B57424">
        <w:tc>
          <w:tcPr>
            <w:tcW w:w="7200" w:type="dxa"/>
          </w:tcPr>
          <w:p w14:paraId="391F95C6" w14:textId="341C720F" w:rsidR="00B57424" w:rsidRPr="009E0817" w:rsidRDefault="00B57424">
            <w:pPr>
              <w:spacing w:after="40" w:line="240" w:lineRule="auto"/>
              <w:rPr>
                <w:rFonts w:cs="Times New Roman"/>
                <w:b/>
                <w:sz w:val="24"/>
                <w:szCs w:val="24"/>
              </w:rPr>
            </w:pPr>
            <w:r w:rsidRPr="009E0817">
              <w:rPr>
                <w:rFonts w:cs="Times New Roman"/>
                <w:b/>
                <w:sz w:val="24"/>
                <w:szCs w:val="24"/>
              </w:rPr>
              <w:t>Part 4 Attribution and reuse in AI assisted work</w:t>
            </w:r>
          </w:p>
        </w:tc>
        <w:tc>
          <w:tcPr>
            <w:tcW w:w="1152" w:type="dxa"/>
          </w:tcPr>
          <w:p w14:paraId="0BC191DE" w14:textId="77777777" w:rsidR="00B57424" w:rsidRPr="009E0817" w:rsidRDefault="00B57424">
            <w:pPr>
              <w:spacing w:after="40" w:line="240" w:lineRule="auto"/>
              <w:rPr>
                <w:rFonts w:cs="Times New Roman"/>
                <w:b/>
                <w:sz w:val="24"/>
                <w:szCs w:val="24"/>
              </w:rPr>
            </w:pPr>
            <w:r w:rsidRPr="009E0817">
              <w:rPr>
                <w:rFonts w:cs="Times New Roman"/>
                <w:b/>
                <w:sz w:val="24"/>
                <w:szCs w:val="24"/>
              </w:rPr>
              <w:t>15</w:t>
            </w:r>
          </w:p>
        </w:tc>
      </w:tr>
      <w:tr w:rsidR="00B57424" w:rsidRPr="009E0817" w14:paraId="25F7F664" w14:textId="77777777" w:rsidTr="00B57424">
        <w:tc>
          <w:tcPr>
            <w:tcW w:w="7200" w:type="dxa"/>
          </w:tcPr>
          <w:p w14:paraId="7372FCE0" w14:textId="77777777" w:rsidR="00B57424" w:rsidRPr="009E0817" w:rsidRDefault="00B57424">
            <w:pPr>
              <w:spacing w:after="40" w:line="240" w:lineRule="auto"/>
              <w:rPr>
                <w:rFonts w:cs="Times New Roman"/>
                <w:b/>
                <w:sz w:val="24"/>
                <w:szCs w:val="24"/>
              </w:rPr>
            </w:pPr>
            <w:r w:rsidRPr="009E0817">
              <w:rPr>
                <w:rFonts w:cs="Times New Roman"/>
                <w:b/>
                <w:sz w:val="24"/>
                <w:szCs w:val="24"/>
              </w:rPr>
              <w:t>Conclusion</w:t>
            </w:r>
          </w:p>
        </w:tc>
        <w:tc>
          <w:tcPr>
            <w:tcW w:w="1152" w:type="dxa"/>
          </w:tcPr>
          <w:p w14:paraId="1D5C0095" w14:textId="77777777" w:rsidR="00B57424" w:rsidRPr="009E0817" w:rsidRDefault="00B57424">
            <w:pPr>
              <w:spacing w:after="40" w:line="240" w:lineRule="auto"/>
              <w:rPr>
                <w:rFonts w:cs="Times New Roman"/>
                <w:b/>
                <w:sz w:val="24"/>
                <w:szCs w:val="24"/>
              </w:rPr>
            </w:pPr>
            <w:r w:rsidRPr="009E0817">
              <w:rPr>
                <w:rFonts w:cs="Times New Roman"/>
                <w:b/>
                <w:sz w:val="24"/>
                <w:szCs w:val="24"/>
              </w:rPr>
              <w:t>5</w:t>
            </w:r>
          </w:p>
        </w:tc>
      </w:tr>
    </w:tbl>
    <w:p w14:paraId="34B43105" w14:textId="77777777" w:rsidR="000B6601" w:rsidRPr="009E0817" w:rsidRDefault="000B6601">
      <w:pPr>
        <w:spacing w:after="0"/>
        <w:rPr>
          <w:rFonts w:cs="Times New Roman"/>
          <w:sz w:val="24"/>
          <w:szCs w:val="24"/>
        </w:rPr>
      </w:pPr>
    </w:p>
    <w:p w14:paraId="7FC96CB9" w14:textId="7DC4B142" w:rsidR="000B6601" w:rsidRDefault="00893061">
      <w:pPr>
        <w:rPr>
          <w:rFonts w:cs="Times New Roman"/>
          <w:b/>
          <w:bCs/>
          <w:sz w:val="24"/>
          <w:szCs w:val="24"/>
        </w:rPr>
      </w:pPr>
      <w:r>
        <w:rPr>
          <w:rFonts w:cs="Times New Roman"/>
          <w:b/>
          <w:bCs/>
          <w:sz w:val="24"/>
          <w:szCs w:val="24"/>
        </w:rPr>
        <w:t>Introduction</w:t>
      </w:r>
    </w:p>
    <w:p w14:paraId="5E9A74F9" w14:textId="1CF34C2B" w:rsidR="00893061" w:rsidRPr="00893061" w:rsidRDefault="00893061">
      <w:pPr>
        <w:rPr>
          <w:rFonts w:cs="Times New Roman"/>
          <w:sz w:val="24"/>
          <w:szCs w:val="24"/>
        </w:rPr>
      </w:pPr>
      <w:r>
        <w:rPr>
          <w:rFonts w:cs="Times New Roman"/>
          <w:sz w:val="24"/>
          <w:szCs w:val="24"/>
        </w:rPr>
        <w:t>[to do]</w:t>
      </w:r>
    </w:p>
    <w:p w14:paraId="6D5CE23A" w14:textId="1A10B527" w:rsidR="000B6601" w:rsidRPr="009E0817" w:rsidRDefault="00000000">
      <w:pPr>
        <w:pStyle w:val="Heading1"/>
        <w:rPr>
          <w:rFonts w:cs="Times New Roman"/>
          <w:sz w:val="24"/>
          <w:szCs w:val="24"/>
        </w:rPr>
      </w:pPr>
      <w:r w:rsidRPr="009E0817">
        <w:rPr>
          <w:rFonts w:cs="Times New Roman"/>
          <w:sz w:val="24"/>
          <w:szCs w:val="24"/>
        </w:rPr>
        <w:t>Part 1 Where Does Value Reside in a Television Pilot</w:t>
      </w:r>
      <w:r w:rsidR="009E0817" w:rsidRPr="009E0817">
        <w:rPr>
          <w:rFonts w:cs="Times New Roman"/>
          <w:sz w:val="24"/>
          <w:szCs w:val="24"/>
        </w:rPr>
        <w:t xml:space="preserve"> (15 min)</w:t>
      </w:r>
    </w:p>
    <w:p w14:paraId="007B58F4" w14:textId="02323970" w:rsidR="009E0817" w:rsidRDefault="009E0817" w:rsidP="009E0817">
      <w:pPr>
        <w:keepNext/>
        <w:spacing w:before="100"/>
        <w:rPr>
          <w:rFonts w:cs="Times New Roman"/>
          <w:bCs/>
          <w:i/>
          <w:iCs/>
          <w:sz w:val="24"/>
          <w:szCs w:val="24"/>
        </w:rPr>
      </w:pPr>
      <w:r w:rsidRPr="009E0817">
        <w:rPr>
          <w:rFonts w:cs="Times New Roman"/>
          <w:bCs/>
          <w:i/>
          <w:iCs/>
          <w:sz w:val="24"/>
          <w:szCs w:val="24"/>
        </w:rPr>
        <w:t>Q. Where does the value of a television program reside</w:t>
      </w:r>
      <w:r w:rsidR="00893061">
        <w:rPr>
          <w:rFonts w:cs="Times New Roman"/>
          <w:bCs/>
          <w:i/>
          <w:iCs/>
          <w:sz w:val="24"/>
          <w:szCs w:val="24"/>
        </w:rPr>
        <w:t xml:space="preserve"> -- </w:t>
      </w:r>
      <w:r w:rsidRPr="009E0817">
        <w:rPr>
          <w:rFonts w:cs="Times New Roman"/>
          <w:bCs/>
          <w:i/>
          <w:iCs/>
          <w:sz w:val="24"/>
          <w:szCs w:val="24"/>
        </w:rPr>
        <w:t>in the written material, the completed episode, or the structure that supports a series?</w:t>
      </w:r>
    </w:p>
    <w:p w14:paraId="5D4AE9BF" w14:textId="08CC87E6" w:rsidR="009E0817" w:rsidRDefault="009E0817" w:rsidP="009E0817">
      <w:pPr>
        <w:keepNext/>
        <w:spacing w:before="100"/>
        <w:rPr>
          <w:rFonts w:cs="Times New Roman"/>
          <w:bCs/>
          <w:i/>
          <w:iCs/>
          <w:sz w:val="24"/>
          <w:szCs w:val="24"/>
        </w:rPr>
      </w:pPr>
      <w:r w:rsidRPr="009E0817">
        <w:rPr>
          <w:rFonts w:cs="Times New Roman"/>
          <w:bCs/>
          <w:i/>
          <w:iCs/>
          <w:sz w:val="24"/>
          <w:szCs w:val="24"/>
        </w:rPr>
        <w:t>Q. Suppose the pilot writer is fired in week three. Another writer runs the show for five seasons and makes it a hit. Should the original writer still receive creator payments?</w:t>
      </w:r>
    </w:p>
    <w:p w14:paraId="1ECFDBD7" w14:textId="342C4A47" w:rsidR="009E0817" w:rsidRDefault="009E0817" w:rsidP="009E0817">
      <w:pPr>
        <w:keepNext/>
        <w:spacing w:before="100"/>
        <w:rPr>
          <w:rFonts w:cs="Times New Roman"/>
          <w:bCs/>
          <w:i/>
          <w:iCs/>
          <w:sz w:val="24"/>
          <w:szCs w:val="24"/>
        </w:rPr>
      </w:pPr>
      <w:r w:rsidRPr="009E0817">
        <w:rPr>
          <w:rFonts w:cs="Times New Roman"/>
          <w:bCs/>
          <w:i/>
          <w:iCs/>
          <w:sz w:val="24"/>
          <w:szCs w:val="24"/>
        </w:rPr>
        <w:t>Q. Who creates a character—the writer who describes it or the performer who brings it to the screen?</w:t>
      </w:r>
    </w:p>
    <w:p w14:paraId="39633ADE" w14:textId="6B708D2C" w:rsidR="009E0817" w:rsidRPr="009E0817" w:rsidRDefault="009E0817" w:rsidP="009E0817">
      <w:pPr>
        <w:keepNext/>
        <w:spacing w:before="100"/>
        <w:rPr>
          <w:rFonts w:cs="Times New Roman"/>
          <w:bCs/>
          <w:i/>
          <w:iCs/>
          <w:sz w:val="24"/>
          <w:szCs w:val="24"/>
        </w:rPr>
      </w:pPr>
      <w:r w:rsidRPr="009E0817">
        <w:rPr>
          <w:rFonts w:cs="Times New Roman"/>
          <w:bCs/>
          <w:i/>
          <w:iCs/>
          <w:sz w:val="24"/>
          <w:szCs w:val="24"/>
        </w:rPr>
        <w:t>Q. Does the studio’s investment create value, reveal it, or amplify value supplied by the writer? If the pilot fails, who should bear the loss?</w:t>
      </w:r>
    </w:p>
    <w:p w14:paraId="34EFBD41" w14:textId="77777777" w:rsidR="000B6601" w:rsidRPr="009E0817" w:rsidRDefault="00000000">
      <w:pPr>
        <w:rPr>
          <w:rFonts w:cs="Times New Roman"/>
          <w:sz w:val="24"/>
          <w:szCs w:val="24"/>
        </w:rPr>
      </w:pPr>
      <w:r w:rsidRPr="009E0817">
        <w:rPr>
          <w:rFonts w:cs="Times New Roman"/>
          <w:sz w:val="24"/>
          <w:szCs w:val="24"/>
        </w:rPr>
        <w:t xml:space="preserve">Begin with Huggins’s complaint rather than a general question about whether creators deserve rewards. The case places two accounts of the transaction in conflict: Warner purchased writing and financed a program; Huggins supplied something that could be used repeatedly after his assignment </w:t>
      </w:r>
      <w:r w:rsidRPr="009E0817">
        <w:rPr>
          <w:rFonts w:cs="Times New Roman"/>
          <w:sz w:val="24"/>
          <w:szCs w:val="24"/>
        </w:rPr>
        <w:lastRenderedPageBreak/>
        <w:t>ended. The purpose of this section is to identify that something and establish why recognizing it does not settle the division of returns.</w:t>
      </w:r>
    </w:p>
    <w:p w14:paraId="5A51440D" w14:textId="77777777" w:rsidR="000B6601" w:rsidRPr="009E0817" w:rsidRDefault="00000000">
      <w:pPr>
        <w:rPr>
          <w:rFonts w:cs="Times New Roman"/>
          <w:sz w:val="24"/>
          <w:szCs w:val="24"/>
        </w:rPr>
      </w:pPr>
      <w:r w:rsidRPr="009E0817">
        <w:rPr>
          <w:rFonts w:cs="Times New Roman"/>
          <w:sz w:val="24"/>
          <w:szCs w:val="24"/>
        </w:rPr>
        <w:t>One line of argument locates value in the completed program. The studio pays to turn a manuscript into something audiences watch and broadcasters buy. A script is necessary, but so are casting, direction, filming, and distribution. From this perspective, the writer has sold an input and the producer earns the return on combining it with other inputs. The fact that the finished program proves valuable does not establish that the original purchase was deficient.</w:t>
      </w:r>
    </w:p>
    <w:p w14:paraId="7AAC82CE" w14:textId="77777777" w:rsidR="000B6601" w:rsidRPr="009E0817" w:rsidRDefault="00000000">
      <w:pPr>
        <w:rPr>
          <w:rFonts w:cs="Times New Roman"/>
          <w:sz w:val="24"/>
          <w:szCs w:val="24"/>
        </w:rPr>
      </w:pPr>
      <w:r w:rsidRPr="009E0817">
        <w:rPr>
          <w:rFonts w:cs="Times New Roman"/>
          <w:sz w:val="24"/>
          <w:szCs w:val="24"/>
        </w:rPr>
        <w:t>A response is that a pilot supplies more than the words spoken in one episode. It can establish recurring relationships, a setting, and situations capable of generating further stories. Other writers can supply new dialogue while continuing to use that structure. Huggins’s comparison among the three detective programs gives the class something specific to examine: does moving the combination to another city represent a new creation, or another use of what Warner already acquired from him? [1]</w:t>
      </w:r>
    </w:p>
    <w:p w14:paraId="4723221B" w14:textId="77777777" w:rsidR="000B6601" w:rsidRPr="009E0817" w:rsidRDefault="00000000">
      <w:pPr>
        <w:rPr>
          <w:rFonts w:cs="Times New Roman"/>
          <w:sz w:val="24"/>
          <w:szCs w:val="24"/>
        </w:rPr>
      </w:pPr>
      <w:r w:rsidRPr="009E0817">
        <w:rPr>
          <w:rFonts w:cs="Times New Roman"/>
          <w:sz w:val="24"/>
          <w:szCs w:val="24"/>
        </w:rPr>
        <w:t>The strongest studio objection is that detectives, nightclubs, and sidekicks are also conventions. If those ingredients establish a continuing claim, the first writer to combine familiar elements could burden many later writers. A defender of Huggins need not argue that every ingredient was new. The claim could concern a distinctive arrangement of characters and relationships. Ask what evidence would distinguish that arrangement from a genre, and what evidence would establish use rather than independent development. The case’s description makes the disagreement intelligible; it does not supply a completed comparative adjudication of the three programs.</w:t>
      </w:r>
    </w:p>
    <w:p w14:paraId="29E036A8" w14:textId="77777777" w:rsidR="000B6601" w:rsidRDefault="00000000">
      <w:pPr>
        <w:rPr>
          <w:rFonts w:cs="Times New Roman"/>
          <w:sz w:val="24"/>
          <w:szCs w:val="24"/>
        </w:rPr>
      </w:pPr>
      <w:r w:rsidRPr="009E0817">
        <w:rPr>
          <w:rFonts w:cs="Times New Roman"/>
          <w:sz w:val="24"/>
          <w:szCs w:val="24"/>
        </w:rPr>
        <w:t>Nor must Huggins prove that the borrowed structure caused the later shows’ success. A payment can be triggered by use even when the subsequent production fails. This is different from awarding him a share because he supposedly created all the later value. Conversely, the studio’s ability to produce a hit from familiar ingredients does not establish that every similarity is a compensable use. The instructor can keep both claims on the board: a reusable contribution can exist, but its boundaries require a rule.</w:t>
      </w:r>
    </w:p>
    <w:p w14:paraId="4FBC7154" w14:textId="5F3306A8" w:rsidR="000B6601" w:rsidRPr="009E0817" w:rsidRDefault="00893061">
      <w:pPr>
        <w:rPr>
          <w:rFonts w:cs="Times New Roman"/>
          <w:sz w:val="24"/>
          <w:szCs w:val="24"/>
        </w:rPr>
      </w:pPr>
      <w:r>
        <w:rPr>
          <w:rFonts w:cs="Times New Roman"/>
          <w:sz w:val="24"/>
          <w:szCs w:val="24"/>
        </w:rPr>
        <w:t xml:space="preserve">Turning the class to question two, a </w:t>
      </w:r>
      <w:r w:rsidRPr="009E0817">
        <w:rPr>
          <w:rFonts w:cs="Times New Roman"/>
          <w:sz w:val="24"/>
          <w:szCs w:val="24"/>
        </w:rPr>
        <w:t>case for continuing payment begins with the distinction between employment and contribution. Dismissal may be justified, yet the series may still use the original framework. If dismissal extinguished the claim, the studio could acquire a promising format and remove its creator just when the right became valuable. A rule tied to continued employment would offer little protection against that behavior.</w:t>
      </w:r>
    </w:p>
    <w:p w14:paraId="0B549184" w14:textId="77777777" w:rsidR="000B6601" w:rsidRPr="009E0817" w:rsidRDefault="00000000">
      <w:pPr>
        <w:rPr>
          <w:rFonts w:cs="Times New Roman"/>
          <w:sz w:val="24"/>
          <w:szCs w:val="24"/>
        </w:rPr>
      </w:pPr>
      <w:r w:rsidRPr="009E0817">
        <w:rPr>
          <w:rFonts w:cs="Times New Roman"/>
          <w:sz w:val="24"/>
          <w:szCs w:val="24"/>
        </w:rPr>
        <w:t>The successor has an equally serious objection. The initial pilot may have been weak; later writing may have established the tone, deepened the characters, and created the audience. A large stream of payments to the dismissed writer can seem to reward priority over quality. The instructor can ask whether this objection concerns eligibility, the payment rate, or the suggestion that the original writer deserves all the credit. Those are different issues. Recognizing an originating contribution need not deny the successor’s claim to substantial compensation and attribution for later work.</w:t>
      </w:r>
    </w:p>
    <w:p w14:paraId="465F1AF1" w14:textId="77777777" w:rsidR="000B6601" w:rsidRPr="009E0817" w:rsidRDefault="00000000">
      <w:pPr>
        <w:rPr>
          <w:rFonts w:cs="Times New Roman"/>
          <w:sz w:val="24"/>
          <w:szCs w:val="24"/>
        </w:rPr>
      </w:pPr>
      <w:r w:rsidRPr="009E0817">
        <w:rPr>
          <w:rFonts w:cs="Times New Roman"/>
          <w:sz w:val="24"/>
          <w:szCs w:val="24"/>
        </w:rPr>
        <w:t>A workable answer can separate the rewards. The initial writer receives a defined payment while the protected structure is used; later writers receive compensation for writing and producing the continuing series. But separate categories do not make total compensation costless. If the cumulative obligations make further episodes unprofitable, fewer may be made. Ask what should happen if only the title and names survive, or if the relationships survive while names and setting change. The answer should turn on retained contribution rather than tenure or the mere fact of success.</w:t>
      </w:r>
    </w:p>
    <w:p w14:paraId="1DF40CED" w14:textId="77777777" w:rsidR="000B6601" w:rsidRPr="009E0817" w:rsidRDefault="00000000">
      <w:pPr>
        <w:rPr>
          <w:rFonts w:cs="Times New Roman"/>
          <w:sz w:val="24"/>
          <w:szCs w:val="24"/>
        </w:rPr>
      </w:pPr>
      <w:r w:rsidRPr="009E0817">
        <w:rPr>
          <w:rFonts w:cs="Times New Roman"/>
          <w:sz w:val="24"/>
          <w:szCs w:val="24"/>
        </w:rPr>
        <w:t xml:space="preserve">The writer can point to motives, relationships, and recurring conflicts that exist before casting. The performer can turn a thinly written role into the reason people watch. Huggins’s parking-attendant </w:t>
      </w:r>
      <w:r w:rsidRPr="009E0817">
        <w:rPr>
          <w:rFonts w:cs="Times New Roman"/>
          <w:sz w:val="24"/>
          <w:szCs w:val="24"/>
        </w:rPr>
        <w:lastRenderedPageBreak/>
        <w:t>character makes the distinction tangible: the recurring place in the story and the appeal of a particular performance need not be the same contribution.</w:t>
      </w:r>
    </w:p>
    <w:p w14:paraId="36A09140" w14:textId="77777777" w:rsidR="000B6601" w:rsidRPr="009E0817" w:rsidRDefault="00000000">
      <w:pPr>
        <w:rPr>
          <w:rFonts w:cs="Times New Roman"/>
          <w:sz w:val="24"/>
          <w:szCs w:val="24"/>
        </w:rPr>
      </w:pPr>
      <w:r w:rsidRPr="009E0817">
        <w:rPr>
          <w:rFonts w:cs="Times New Roman"/>
          <w:sz w:val="24"/>
          <w:szCs w:val="24"/>
        </w:rPr>
        <w:t>Ask whether the character would remain recognizable if recast. Then reverse the question: if the performer moved to a similar comic role with a different name, what would have carried over? These counterfactuals help identify the asserted contribution, but do not measure its price. A written character can be valuable even when one actor is essential to its commercial success. Performance can also be valuable without originating the relationships the series repeatedly uses. Neither the script nor audience popularity supplies a unique formula for dividing the result.</w:t>
      </w:r>
    </w:p>
    <w:p w14:paraId="66021FAE" w14:textId="77777777" w:rsidR="000B6601" w:rsidRPr="009E0817" w:rsidRDefault="00000000">
      <w:pPr>
        <w:rPr>
          <w:rFonts w:cs="Times New Roman"/>
          <w:sz w:val="24"/>
          <w:szCs w:val="24"/>
        </w:rPr>
      </w:pPr>
      <w:r w:rsidRPr="009E0817">
        <w:rPr>
          <w:rFonts w:cs="Times New Roman"/>
          <w:sz w:val="24"/>
          <w:szCs w:val="24"/>
        </w:rPr>
        <w:t>The studio’s contribution extends beyond paying the bill on the eventual hit. It chooses among scripts, develops projects that go nowhere, and commits resources before audience demand is known. For discussion, suppose it develops twenty pilots to find one successful series. Returns from the successful project must help support the search. This is a teaching assumption, not a numerical estimate drawn from the case. A student defending studio ownership can argue that writers keep their fees while the studio pays for the failures.</w:t>
      </w:r>
    </w:p>
    <w:p w14:paraId="7A863F2F" w14:textId="77777777" w:rsidR="000B6601" w:rsidRPr="009E0817" w:rsidRDefault="00000000">
      <w:pPr>
        <w:rPr>
          <w:rFonts w:cs="Times New Roman"/>
          <w:sz w:val="24"/>
          <w:szCs w:val="24"/>
        </w:rPr>
      </w:pPr>
      <w:r w:rsidRPr="009E0817">
        <w:rPr>
          <w:rFonts w:cs="Times New Roman"/>
          <w:sz w:val="24"/>
          <w:szCs w:val="24"/>
        </w:rPr>
        <w:t>The reply is not that those losses are fictitious. It is that bearing production risk does not by itself establish entitlement to every later use. The writer’s fee pays for labor, and the writer forgoes other assignments and the opportunity to sell the same material elsewhere. Those risks differ from the studio’s cash exposure. Ask whether the proposed creator payment compensates for risk, encourages better original work, or reserves a claim on repeated use. Each justification requires a different defense.</w:t>
      </w:r>
    </w:p>
    <w:p w14:paraId="0B32DA46" w14:textId="77777777" w:rsidR="000B6601" w:rsidRPr="009E0817" w:rsidRDefault="00000000">
      <w:pPr>
        <w:rPr>
          <w:rFonts w:cs="Times New Roman"/>
          <w:sz w:val="24"/>
          <w:szCs w:val="24"/>
        </w:rPr>
      </w:pPr>
      <w:r w:rsidRPr="009E0817">
        <w:rPr>
          <w:rFonts w:cs="Times New Roman"/>
          <w:sz w:val="24"/>
          <w:szCs w:val="24"/>
        </w:rPr>
        <w:t>Discovery also creates economic value: an excellent script with no production or audience may earn nothing. The class need not choose one party as the sole source of value. Close this section by asking what rule both sides would want before knowing which pilot succeeds. That question moves the discussion from dividing the proceeds of an observed hit to designing the next contract.</w:t>
      </w:r>
    </w:p>
    <w:p w14:paraId="38EC6DFF" w14:textId="7F3D5A19" w:rsidR="000B6601" w:rsidRPr="009E0817" w:rsidRDefault="00000000">
      <w:pPr>
        <w:pStyle w:val="Heading1"/>
        <w:rPr>
          <w:rFonts w:cs="Times New Roman"/>
          <w:sz w:val="24"/>
          <w:szCs w:val="24"/>
        </w:rPr>
      </w:pPr>
      <w:r w:rsidRPr="009E0817">
        <w:rPr>
          <w:rFonts w:cs="Times New Roman"/>
          <w:sz w:val="24"/>
          <w:szCs w:val="24"/>
        </w:rPr>
        <w:t>Part 2 Is Sharing Separated Rights Good Business for Studios</w:t>
      </w:r>
      <w:r w:rsidR="009E0817">
        <w:rPr>
          <w:rFonts w:cs="Times New Roman"/>
          <w:sz w:val="24"/>
          <w:szCs w:val="24"/>
        </w:rPr>
        <w:t xml:space="preserve"> (20 min)</w:t>
      </w:r>
    </w:p>
    <w:p w14:paraId="005ACA39" w14:textId="77777777" w:rsidR="009E0817" w:rsidRPr="009E0817" w:rsidRDefault="009E0817" w:rsidP="009E0817">
      <w:pPr>
        <w:keepNext/>
        <w:spacing w:before="100"/>
        <w:rPr>
          <w:rFonts w:cs="Times New Roman"/>
          <w:bCs/>
          <w:i/>
          <w:iCs/>
          <w:sz w:val="24"/>
          <w:szCs w:val="24"/>
        </w:rPr>
      </w:pPr>
      <w:r w:rsidRPr="009E0817">
        <w:rPr>
          <w:rFonts w:cs="Times New Roman"/>
          <w:bCs/>
          <w:i/>
          <w:iCs/>
          <w:sz w:val="24"/>
          <w:szCs w:val="24"/>
        </w:rPr>
        <w:t>Q. Do continuing rights align the writer with the studio’s long-term interest, or reward the writer when things go well while leaving the studio with the losses?</w:t>
      </w:r>
    </w:p>
    <w:p w14:paraId="3E30C4BA" w14:textId="77777777" w:rsidR="009E0817" w:rsidRPr="009E0817" w:rsidRDefault="009E0817" w:rsidP="009E0817">
      <w:pPr>
        <w:keepNext/>
        <w:spacing w:before="100"/>
        <w:rPr>
          <w:rFonts w:cs="Times New Roman"/>
          <w:bCs/>
          <w:i/>
          <w:iCs/>
          <w:sz w:val="24"/>
          <w:szCs w:val="24"/>
        </w:rPr>
      </w:pPr>
      <w:r w:rsidRPr="009E0817">
        <w:rPr>
          <w:rFonts w:cs="Times New Roman"/>
          <w:bCs/>
          <w:i/>
          <w:iCs/>
          <w:sz w:val="24"/>
          <w:szCs w:val="24"/>
        </w:rPr>
        <w:t>Q. Would you rather pay more upfront and own everything, or pay less upfront and concede defined future rights?</w:t>
      </w:r>
    </w:p>
    <w:p w14:paraId="401BAA23" w14:textId="1E54B94B" w:rsidR="009E0817" w:rsidRPr="009E0817" w:rsidRDefault="009E0817" w:rsidP="009E0817">
      <w:pPr>
        <w:keepNext/>
        <w:spacing w:before="100"/>
        <w:rPr>
          <w:rFonts w:cs="Times New Roman"/>
          <w:bCs/>
          <w:i/>
          <w:iCs/>
          <w:sz w:val="24"/>
          <w:szCs w:val="24"/>
        </w:rPr>
      </w:pPr>
      <w:r w:rsidRPr="009E0817">
        <w:rPr>
          <w:rFonts w:cs="Times New Roman"/>
          <w:bCs/>
          <w:i/>
          <w:iCs/>
          <w:sz w:val="24"/>
          <w:szCs w:val="24"/>
        </w:rPr>
        <w:t>Q. Which rights should the studio keep, and what should trigger payment or reversion?</w:t>
      </w:r>
    </w:p>
    <w:p w14:paraId="2040B4DA" w14:textId="7EEF5EFA" w:rsidR="000B6601" w:rsidRPr="009E0817" w:rsidRDefault="00000000">
      <w:pPr>
        <w:rPr>
          <w:rFonts w:cs="Times New Roman"/>
          <w:sz w:val="24"/>
          <w:szCs w:val="24"/>
        </w:rPr>
      </w:pPr>
      <w:r w:rsidRPr="009E0817">
        <w:rPr>
          <w:rFonts w:cs="Times New Roman"/>
          <w:sz w:val="24"/>
          <w:szCs w:val="24"/>
        </w:rPr>
        <w:t>Put the studio in the position of buying the next original pilot. It wants a writer to supply promising material and enough control to develop it, but it does not know whether the result will be shelved, rerun, or used to launch additional programs. The purpose here is to compare contracts that allocate those possibilities differently. A proposal should identify the behavior it improves as well as the cost it imposes.</w:t>
      </w:r>
    </w:p>
    <w:p w14:paraId="1B18E8B8" w14:textId="77777777" w:rsidR="000B6601" w:rsidRPr="009E0817" w:rsidRDefault="00000000">
      <w:pPr>
        <w:rPr>
          <w:rFonts w:cs="Times New Roman"/>
          <w:sz w:val="24"/>
          <w:szCs w:val="24"/>
        </w:rPr>
      </w:pPr>
      <w:r w:rsidRPr="009E0817">
        <w:rPr>
          <w:rFonts w:cs="Times New Roman"/>
          <w:sz w:val="24"/>
          <w:szCs w:val="24"/>
        </w:rPr>
        <w:t>One argument for continuing payments is that the writer has reason to develop a durable format rather than merely finish an assignment. A promise of payment when that format is used again can reward adaptability and the capacity to generate stories. It may also reduce the upfront payment necessary to secure the material. The studio pays more when it exercises the valuable opportunity rather than paying every writer as if every pilot will become a franchise.</w:t>
      </w:r>
    </w:p>
    <w:p w14:paraId="25A49404" w14:textId="77777777" w:rsidR="000B6601" w:rsidRPr="009E0817" w:rsidRDefault="00000000">
      <w:pPr>
        <w:rPr>
          <w:rFonts w:cs="Times New Roman"/>
          <w:sz w:val="24"/>
          <w:szCs w:val="24"/>
        </w:rPr>
      </w:pPr>
      <w:r w:rsidRPr="009E0817">
        <w:rPr>
          <w:rFonts w:cs="Times New Roman"/>
          <w:sz w:val="24"/>
          <w:szCs w:val="24"/>
        </w:rPr>
        <w:t xml:space="preserve">Students can object that the writer controls little after delivery. Casting, scheduling, network decisions, and later writing may determine whether the program succeeds. A contingent payment then makes the writer bear risks that the writer cannot manage. It can also encourage repeatable formulas rather than unusually good one-off stories. The defender should identify the initial choice the </w:t>
      </w:r>
      <w:r w:rsidRPr="009E0817">
        <w:rPr>
          <w:rFonts w:cs="Times New Roman"/>
          <w:sz w:val="24"/>
          <w:szCs w:val="24"/>
        </w:rPr>
        <w:lastRenderedPageBreak/>
        <w:t>payment rewards. If the studio wants a continuing series, durability may be precisely the quality it is buying. If later receipts mostly reflect decisions made by others, tying all compensation to those receipts would be a poor incentive for the originating writer.</w:t>
      </w:r>
    </w:p>
    <w:p w14:paraId="35CF27A2" w14:textId="77777777" w:rsidR="000B6601" w:rsidRPr="009E0817" w:rsidRDefault="00000000">
      <w:pPr>
        <w:rPr>
          <w:rFonts w:cs="Times New Roman"/>
          <w:sz w:val="24"/>
          <w:szCs w:val="24"/>
        </w:rPr>
      </w:pPr>
      <w:r w:rsidRPr="009E0817">
        <w:rPr>
          <w:rFonts w:cs="Times New Roman"/>
          <w:sz w:val="24"/>
          <w:szCs w:val="24"/>
        </w:rPr>
        <w:t>This suggests a guaranteed fee plus a limited future claim, but the instructor should resist treating that combination as a free improvement. Studios bargain over the whole package. Expected future payments can reduce the price offered today; minimum fees may limit that adjustment; some projects may no longer proceed. Alternatively, improved writing incentives or easier agreement about uncertain future uses may enlarge the surplus. Which effect dominates is a question about the contract and the market, not something established by calling the payment a right.</w:t>
      </w:r>
    </w:p>
    <w:p w14:paraId="673044F2" w14:textId="77777777" w:rsidR="000B6601" w:rsidRPr="009E0817" w:rsidRDefault="00000000">
      <w:pPr>
        <w:rPr>
          <w:rFonts w:cs="Times New Roman"/>
          <w:sz w:val="24"/>
          <w:szCs w:val="24"/>
        </w:rPr>
      </w:pPr>
      <w:r w:rsidRPr="009E0817">
        <w:rPr>
          <w:rFonts w:cs="Times New Roman"/>
          <w:sz w:val="24"/>
          <w:szCs w:val="24"/>
        </w:rPr>
        <w:t>The strongest case for studio control concerns investment after the writer’s work is complete. Once a cast has been hired and a broadcaster committed, a writer with approval authority could withhold permission to extract some of the value created by those investments. The writer faces the mirror problem: after delivering the material and assigning copyright, the studio can exploit it without returning to the writer. Anticipating that result may reduce effort on reusable elements or raise the fee demanded at the outset.</w:t>
      </w:r>
    </w:p>
    <w:p w14:paraId="41D1E29D" w14:textId="77777777" w:rsidR="000B6601" w:rsidRPr="009E0817" w:rsidRDefault="00000000">
      <w:pPr>
        <w:rPr>
          <w:rFonts w:cs="Times New Roman"/>
          <w:sz w:val="24"/>
          <w:szCs w:val="24"/>
        </w:rPr>
      </w:pPr>
      <w:r w:rsidRPr="009E0817">
        <w:rPr>
          <w:rFonts w:cs="Times New Roman"/>
          <w:sz w:val="24"/>
          <w:szCs w:val="24"/>
        </w:rPr>
        <w:t>Ask whether both problems require a veto. A scheduled payment for defined use can preserve the studio’s ability to proceed while limiting appropriation of the writer’s contribution. But that compromise works only if the writer can learn when the trigger occurs and collect what is owed. Notice, records, and impartial enforcement belong in the economic argument; a payment right that cannot be enforced offers little protection.</w:t>
      </w:r>
    </w:p>
    <w:p w14:paraId="1B4FCBD0" w14:textId="0F55204B" w:rsidR="000B6601" w:rsidRPr="00893061" w:rsidRDefault="00893061" w:rsidP="00893061">
      <w:pPr>
        <w:keepNext/>
        <w:spacing w:before="100"/>
        <w:rPr>
          <w:rFonts w:cs="Times New Roman"/>
          <w:bCs/>
          <w:sz w:val="24"/>
          <w:szCs w:val="24"/>
        </w:rPr>
      </w:pPr>
      <w:r>
        <w:rPr>
          <w:rFonts w:cs="Times New Roman"/>
          <w:bCs/>
          <w:sz w:val="24"/>
          <w:szCs w:val="24"/>
        </w:rPr>
        <w:t>Turning to question two, t</w:t>
      </w:r>
      <w:r w:rsidRPr="009E0817">
        <w:rPr>
          <w:rFonts w:cs="Times New Roman"/>
          <w:sz w:val="24"/>
          <w:szCs w:val="24"/>
        </w:rPr>
        <w:t>he strongest argument for an outright purchase is certainty. The producer can promise broadcasters and investors that the property can be developed without another clearance negotiation. A larger fee can compensate the writer for surrendering future claims. A diversified studio may be better placed than an individual writer to forecast average returns, and a writer who needs current income may prefer cash to a risky claim on one show.</w:t>
      </w:r>
    </w:p>
    <w:p w14:paraId="5F4A99FE" w14:textId="77777777" w:rsidR="000B6601" w:rsidRPr="009E0817" w:rsidRDefault="00000000">
      <w:pPr>
        <w:rPr>
          <w:rFonts w:cs="Times New Roman"/>
          <w:sz w:val="24"/>
          <w:szCs w:val="24"/>
        </w:rPr>
      </w:pPr>
      <w:r w:rsidRPr="009E0817">
        <w:rPr>
          <w:rFonts w:cs="Times New Roman"/>
          <w:sz w:val="24"/>
          <w:szCs w:val="24"/>
        </w:rPr>
        <w:t>A response is that the parties cannot readily price markets or uses that have barely emerged. The case’s account of filmed television, syndication, and movement between media illustrates why the range of uses matters. The Superman transfer, priced at $130 for the character and initial story, makes the eventual disparity vivid. It should not be used to infer that the original bargain was necessarily irrational or that all creators should receive the returns observed in exceptional successes. A contingent rule offers a way to participate in unforeseen exploitation without correctly forecasting the particular hit. [1]</w:t>
      </w:r>
    </w:p>
    <w:p w14:paraId="4C027E4A" w14:textId="77777777" w:rsidR="000B6601" w:rsidRPr="009E0817" w:rsidRDefault="00000000">
      <w:pPr>
        <w:rPr>
          <w:rFonts w:cs="Times New Roman"/>
          <w:sz w:val="24"/>
          <w:szCs w:val="24"/>
        </w:rPr>
      </w:pPr>
      <w:r w:rsidRPr="009E0817">
        <w:rPr>
          <w:rFonts w:cs="Times New Roman"/>
          <w:sz w:val="24"/>
          <w:szCs w:val="24"/>
        </w:rPr>
        <w:t>A student can press the argument further: uncertainty alone does not prevent an expected-value price. Studios routinely buy risky assets. If markets were competitive, both parties informed, and all relevant uses contractible, a buyout could be satisfactory. The case for restricting that bargain becomes stronger when writers have weak alternatives, studios know more about development plans, future uses are difficult to describe, or individual enforcement is costly. Ask which of these concerns a common Guild term addresses, and which it leaves unresolved.</w:t>
      </w:r>
    </w:p>
    <w:p w14:paraId="16B3AEA2" w14:textId="77777777" w:rsidR="000B6601" w:rsidRPr="009E0817" w:rsidRDefault="00000000">
      <w:pPr>
        <w:rPr>
          <w:rFonts w:cs="Times New Roman"/>
          <w:sz w:val="24"/>
          <w:szCs w:val="24"/>
        </w:rPr>
      </w:pPr>
      <w:r w:rsidRPr="009E0817">
        <w:rPr>
          <w:rFonts w:cs="Times New Roman"/>
          <w:sz w:val="24"/>
          <w:szCs w:val="24"/>
        </w:rPr>
        <w:t>A menu of cash and continuing payments may seem to accommodate everyone. Yet selection changes the terms on offer. Writers who privately expect valuable reuse may choose the continuing claim; studios anticipating that choice may lower its cash component. The choice may also sort by wealth rather than talent, because writers with savings can afford to wait. Confidence can convey information, but it can also reflect optimism. A common floor can preserve protection for less powerful writers while allowing better individual terms; it need not prohibit every negotiated variation.</w:t>
      </w:r>
    </w:p>
    <w:p w14:paraId="4227ECF0" w14:textId="1E41E05E" w:rsidR="000B6601" w:rsidRPr="00893061" w:rsidRDefault="00893061" w:rsidP="00893061">
      <w:pPr>
        <w:keepNext/>
        <w:spacing w:before="100"/>
        <w:rPr>
          <w:rFonts w:cs="Times New Roman"/>
          <w:bCs/>
          <w:sz w:val="24"/>
          <w:szCs w:val="24"/>
        </w:rPr>
      </w:pPr>
      <w:r>
        <w:rPr>
          <w:rFonts w:cs="Times New Roman"/>
          <w:bCs/>
          <w:sz w:val="24"/>
          <w:szCs w:val="24"/>
        </w:rPr>
        <w:lastRenderedPageBreak/>
        <w:t>When engaging students on question three, b</w:t>
      </w:r>
      <w:r w:rsidRPr="009E0817">
        <w:rPr>
          <w:rFonts w:cs="Times New Roman"/>
          <w:sz w:val="24"/>
          <w:szCs w:val="24"/>
        </w:rPr>
        <w:t>efore accepting a proposal for “separated rights,” distinguish three transactions. Record them in separate columns</w:t>
      </w:r>
      <w:r>
        <w:rPr>
          <w:rFonts w:cs="Times New Roman"/>
          <w:sz w:val="24"/>
          <w:szCs w:val="24"/>
        </w:rPr>
        <w:t xml:space="preserve"> on the board</w:t>
      </w:r>
      <w:r w:rsidRPr="009E0817">
        <w:rPr>
          <w:rFonts w:cs="Times New Roman"/>
          <w:sz w:val="24"/>
          <w:szCs w:val="24"/>
        </w:rPr>
        <w:t xml:space="preserve"> and ask what each </w:t>
      </w:r>
      <w:r>
        <w:rPr>
          <w:rFonts w:cs="Times New Roman"/>
          <w:sz w:val="24"/>
          <w:szCs w:val="24"/>
        </w:rPr>
        <w:t>eventuality reveals about the nature of this arrangement</w:t>
      </w:r>
      <w:r w:rsidRPr="009E0817">
        <w:rPr>
          <w:rFonts w:cs="Times New Roman"/>
          <w:sz w:val="24"/>
          <w:szCs w:val="24"/>
        </w:rPr>
        <w:t>.</w:t>
      </w:r>
    </w:p>
    <w:p w14:paraId="10B97F51" w14:textId="77777777" w:rsidR="000B6601" w:rsidRPr="009E0817" w:rsidRDefault="00000000">
      <w:pPr>
        <w:pStyle w:val="ListBullet"/>
        <w:rPr>
          <w:rFonts w:cs="Times New Roman"/>
          <w:sz w:val="24"/>
          <w:szCs w:val="24"/>
        </w:rPr>
      </w:pPr>
      <w:r w:rsidRPr="009E0817">
        <w:rPr>
          <w:rFonts w:cs="Times New Roman"/>
          <w:b/>
          <w:sz w:val="24"/>
          <w:szCs w:val="24"/>
        </w:rPr>
        <w:t>A pilot is never produced.</w:t>
      </w:r>
      <w:r w:rsidRPr="009E0817">
        <w:rPr>
          <w:rFonts w:cs="Times New Roman"/>
          <w:sz w:val="24"/>
          <w:szCs w:val="24"/>
        </w:rPr>
        <w:t xml:space="preserve"> The issue is an unused exclusive opportunity. The studio may have paid for time to develop it; indefinite control can also prevent a writer from taking viable material elsewhere. A specified development period followed by reversion can preserve an initial opportunity while limiting warehousing. Ask how long the period should be, what counts as use, and whether an extension requires a payment. A token production could defeat a poorly drafted trigger. Reversion also raises questions about which material returns and what happens to additions made during studio development.</w:t>
      </w:r>
    </w:p>
    <w:p w14:paraId="37560EE2" w14:textId="77777777" w:rsidR="000B6601" w:rsidRPr="009E0817" w:rsidRDefault="00000000">
      <w:pPr>
        <w:pStyle w:val="ListBullet"/>
        <w:rPr>
          <w:rFonts w:cs="Times New Roman"/>
          <w:sz w:val="24"/>
          <w:szCs w:val="24"/>
        </w:rPr>
      </w:pPr>
      <w:r w:rsidRPr="009E0817">
        <w:rPr>
          <w:rFonts w:cs="Times New Roman"/>
          <w:b/>
          <w:sz w:val="24"/>
          <w:szCs w:val="24"/>
        </w:rPr>
        <w:t>The same completed episode is shown again.</w:t>
      </w:r>
      <w:r w:rsidRPr="009E0817">
        <w:rPr>
          <w:rFonts w:cs="Times New Roman"/>
          <w:sz w:val="24"/>
          <w:szCs w:val="24"/>
        </w:rPr>
        <w:t xml:space="preserve"> A scheduled residual can price repeated exploitation without requiring new permission on every occasion. A fixed payment is relatively simple but may deter a low-value rerun; a revenue-based payment can adjust to value but requires accounting and verification. Neither form necessarily answers Huggins’s complaint about a new show. Residuals and separated rights should not be treated as interchangeable terms.</w:t>
      </w:r>
    </w:p>
    <w:p w14:paraId="7B85C060" w14:textId="77777777" w:rsidR="000B6601" w:rsidRPr="009E0817" w:rsidRDefault="00000000">
      <w:pPr>
        <w:pStyle w:val="ListBullet"/>
        <w:rPr>
          <w:rFonts w:cs="Times New Roman"/>
          <w:sz w:val="24"/>
          <w:szCs w:val="24"/>
        </w:rPr>
      </w:pPr>
      <w:r w:rsidRPr="009E0817">
        <w:rPr>
          <w:rFonts w:cs="Times New Roman"/>
          <w:b/>
          <w:sz w:val="24"/>
          <w:szCs w:val="24"/>
        </w:rPr>
        <w:t>A new episode or program uses the originating structure.</w:t>
      </w:r>
      <w:r w:rsidRPr="009E0817">
        <w:rPr>
          <w:rFonts w:cs="Times New Roman"/>
          <w:sz w:val="24"/>
          <w:szCs w:val="24"/>
        </w:rPr>
        <w:t xml:space="preserve"> A creator or sequel payment can follow a defined use while the studio retains production authority. The difficult questions concern the covered contribution and the eligible writer. Moving cities or changing names should not automatically avoid a genuine obligation, but resemblance to a familiar genre should not automatically create one. Independent adjudication must protect later writers as well as original creators.</w:t>
      </w:r>
    </w:p>
    <w:p w14:paraId="55321FA1" w14:textId="77777777" w:rsidR="000B6601" w:rsidRPr="009E0817" w:rsidRDefault="00000000">
      <w:pPr>
        <w:rPr>
          <w:rFonts w:cs="Times New Roman"/>
          <w:sz w:val="24"/>
          <w:szCs w:val="24"/>
        </w:rPr>
      </w:pPr>
      <w:r w:rsidRPr="009E0817">
        <w:rPr>
          <w:rFonts w:cs="Times New Roman"/>
          <w:sz w:val="24"/>
          <w:szCs w:val="24"/>
        </w:rPr>
        <w:t>Other-media uses add another choice. Publication or stage rights can be reserved, licensed separately, or made subject to an option. Reservation need not imply permanent fragmentation, but assembling a coordinated franchise may become more expensive if rights are dispersed. Ask students to specify the use, duration, payment or approval requirement, and means of resolving disagreement. A useful proposal explains what the studio can still do without asking again.</w:t>
      </w:r>
    </w:p>
    <w:p w14:paraId="7D5FB479" w14:textId="2DF7EDC3" w:rsidR="000B6601" w:rsidRPr="009E0817" w:rsidRDefault="00000000">
      <w:pPr>
        <w:pStyle w:val="Heading1"/>
        <w:rPr>
          <w:rFonts w:cs="Times New Roman"/>
          <w:sz w:val="24"/>
          <w:szCs w:val="24"/>
        </w:rPr>
      </w:pPr>
      <w:r w:rsidRPr="009E0817">
        <w:rPr>
          <w:rFonts w:cs="Times New Roman"/>
          <w:sz w:val="24"/>
          <w:szCs w:val="24"/>
        </w:rPr>
        <w:t>Part 3 What Should the Guild Demand</w:t>
      </w:r>
      <w:r w:rsidR="009E0817">
        <w:rPr>
          <w:rFonts w:cs="Times New Roman"/>
          <w:sz w:val="24"/>
          <w:szCs w:val="24"/>
        </w:rPr>
        <w:t xml:space="preserve"> (25 min)</w:t>
      </w:r>
    </w:p>
    <w:p w14:paraId="6CCA5E2B" w14:textId="77777777" w:rsidR="009E0817" w:rsidRDefault="009E0817">
      <w:pPr>
        <w:rPr>
          <w:rFonts w:cs="Times New Roman"/>
          <w:i/>
          <w:sz w:val="24"/>
          <w:szCs w:val="24"/>
        </w:rPr>
      </w:pPr>
      <w:r w:rsidRPr="009E0817">
        <w:rPr>
          <w:rFonts w:cs="Times New Roman"/>
          <w:i/>
          <w:sz w:val="24"/>
          <w:szCs w:val="24"/>
        </w:rPr>
        <w:t>Q. Who is better able to bear the risk of making a show? What does it mean for a writer to bet on themselves?</w:t>
      </w:r>
    </w:p>
    <w:p w14:paraId="462768D8" w14:textId="77777777" w:rsidR="009E0817" w:rsidRPr="009E0817" w:rsidRDefault="009E0817" w:rsidP="009E0817">
      <w:pPr>
        <w:keepNext/>
        <w:spacing w:before="100"/>
        <w:rPr>
          <w:rFonts w:cs="Times New Roman"/>
          <w:bCs/>
          <w:i/>
          <w:iCs/>
          <w:sz w:val="24"/>
          <w:szCs w:val="24"/>
        </w:rPr>
      </w:pPr>
      <w:r w:rsidRPr="009E0817">
        <w:rPr>
          <w:rFonts w:cs="Times New Roman"/>
          <w:bCs/>
          <w:i/>
          <w:iCs/>
          <w:sz w:val="24"/>
          <w:szCs w:val="24"/>
        </w:rPr>
        <w:t>Q. Is an individual property claim inside a collective agreement a contradiction?</w:t>
      </w:r>
    </w:p>
    <w:p w14:paraId="00DA757D" w14:textId="77777777" w:rsidR="009E0817" w:rsidRPr="009E0817" w:rsidRDefault="009E0817" w:rsidP="009E0817">
      <w:pPr>
        <w:keepNext/>
        <w:spacing w:before="100"/>
        <w:rPr>
          <w:rFonts w:cs="Times New Roman"/>
          <w:bCs/>
          <w:i/>
          <w:iCs/>
          <w:sz w:val="24"/>
          <w:szCs w:val="24"/>
        </w:rPr>
      </w:pPr>
      <w:r w:rsidRPr="009E0817">
        <w:rPr>
          <w:rFonts w:cs="Times New Roman"/>
          <w:bCs/>
          <w:i/>
          <w:iCs/>
          <w:sz w:val="24"/>
          <w:szCs w:val="24"/>
        </w:rPr>
        <w:t>Q. If the ordinary member writes episodes or short assignments, whom is Nimmer representing?</w:t>
      </w:r>
    </w:p>
    <w:p w14:paraId="11A6C6DB" w14:textId="16DEBEB7" w:rsidR="009E0817" w:rsidRPr="009E0817" w:rsidRDefault="009E0817" w:rsidP="009E0817">
      <w:pPr>
        <w:keepNext/>
        <w:spacing w:before="100"/>
        <w:rPr>
          <w:rFonts w:cs="Times New Roman"/>
          <w:bCs/>
          <w:i/>
          <w:iCs/>
          <w:sz w:val="24"/>
          <w:szCs w:val="24"/>
        </w:rPr>
      </w:pPr>
      <w:r w:rsidRPr="009E0817">
        <w:rPr>
          <w:rFonts w:cs="Times New Roman"/>
          <w:bCs/>
          <w:i/>
          <w:iCs/>
          <w:sz w:val="24"/>
          <w:szCs w:val="24"/>
        </w:rPr>
        <w:t>Q. What should Nimmer recommend putting on the table?</w:t>
      </w:r>
    </w:p>
    <w:p w14:paraId="79459B54" w14:textId="49BCD87F" w:rsidR="000B6601" w:rsidRPr="009E0817" w:rsidRDefault="00000000">
      <w:pPr>
        <w:rPr>
          <w:rFonts w:cs="Times New Roman"/>
          <w:sz w:val="24"/>
          <w:szCs w:val="24"/>
        </w:rPr>
      </w:pPr>
      <w:r w:rsidRPr="009E0817">
        <w:rPr>
          <w:rFonts w:cs="Times New Roman"/>
          <w:sz w:val="24"/>
          <w:szCs w:val="24"/>
        </w:rPr>
        <w:t>Nimmer must now choose among desirable provisions under a bargaining constraint. The instructor can divide the board into ordinary episode writers, original creators, and producers. Ask students to locate the beneficiaries and costs of their preferred proposal before recommending it. This section should culminate in a demand Nimmer could explain to members who do not expect to sell an original pilot.</w:t>
      </w:r>
    </w:p>
    <w:p w14:paraId="7C8EDAE3" w14:textId="77777777" w:rsidR="000B6601" w:rsidRPr="009E0817" w:rsidRDefault="00000000">
      <w:pPr>
        <w:rPr>
          <w:rFonts w:cs="Times New Roman"/>
          <w:sz w:val="24"/>
          <w:szCs w:val="24"/>
        </w:rPr>
      </w:pPr>
      <w:r w:rsidRPr="009E0817">
        <w:rPr>
          <w:rFonts w:cs="Times New Roman"/>
          <w:sz w:val="24"/>
          <w:szCs w:val="24"/>
        </w:rPr>
        <w:t>A diversified studio generally has more projects and access to capital than an individual writer. That supports a substantial guaranteed fee and cautions against making the writer finance production by surrendering wages. The qualification is that diversification is incomplete: studios can face common shocks and financing constraints. A portfolio of failed pilots still costs money. Its existence does not prove that a studio can absorb any additional charge without changing what it commissions.</w:t>
      </w:r>
    </w:p>
    <w:p w14:paraId="0F703805" w14:textId="77777777" w:rsidR="000B6601" w:rsidRPr="009E0817" w:rsidRDefault="00000000">
      <w:pPr>
        <w:rPr>
          <w:rFonts w:cs="Times New Roman"/>
          <w:sz w:val="24"/>
          <w:szCs w:val="24"/>
        </w:rPr>
      </w:pPr>
      <w:r w:rsidRPr="009E0817">
        <w:rPr>
          <w:rFonts w:cs="Times New Roman"/>
          <w:sz w:val="24"/>
          <w:szCs w:val="24"/>
        </w:rPr>
        <w:t xml:space="preserve">The writer who accepts a contingent claim is also betting on decisions made by the studio and the broadcaster. Confidence in one’s script is not confidence in every complementary decision. A writer </w:t>
      </w:r>
      <w:r w:rsidRPr="009E0817">
        <w:rPr>
          <w:rFonts w:cs="Times New Roman"/>
          <w:sz w:val="24"/>
          <w:szCs w:val="24"/>
        </w:rPr>
        <w:lastRenderedPageBreak/>
        <w:t>with little savings can rationally prefer cash even when the expected value of a continuing payment is higher. Students should therefore distinguish an argument for retaining some participation in reuse from an argument for replacing secure compensation with entrepreneurial risk.</w:t>
      </w:r>
    </w:p>
    <w:p w14:paraId="5F21CD8A" w14:textId="77777777" w:rsidR="000B6601" w:rsidRPr="009E0817" w:rsidRDefault="00000000">
      <w:pPr>
        <w:rPr>
          <w:rFonts w:cs="Times New Roman"/>
          <w:sz w:val="24"/>
          <w:szCs w:val="24"/>
        </w:rPr>
      </w:pPr>
      <w:r w:rsidRPr="009E0817">
        <w:rPr>
          <w:rFonts w:cs="Times New Roman"/>
          <w:sz w:val="24"/>
          <w:szCs w:val="24"/>
        </w:rPr>
        <w:t>The assertion that no one should share upside without sharing losses is too broad. Compensation can reward a contribution without requiring the worker to underwrite production. But rejecting that assertion does not prove that every continuing payment is efficient. A student defending the payment should say whether it improves original effort, protects against weak bargaining power, or implements a principle about compensation for reuse. A distributional principle can be defended on its own terms; it should not be presented as proof that both sides become better off.</w:t>
      </w:r>
    </w:p>
    <w:p w14:paraId="0AA8F27C" w14:textId="2CAB5F4A" w:rsidR="000B6601" w:rsidRPr="00893061" w:rsidRDefault="00893061">
      <w:pPr>
        <w:rPr>
          <w:rFonts w:cs="Times New Roman"/>
          <w:bCs/>
          <w:sz w:val="24"/>
          <w:szCs w:val="24"/>
        </w:rPr>
      </w:pPr>
      <w:r>
        <w:rPr>
          <w:rFonts w:cs="Times New Roman"/>
          <w:bCs/>
          <w:sz w:val="24"/>
          <w:szCs w:val="24"/>
        </w:rPr>
        <w:t>When turning to question two, o</w:t>
      </w:r>
      <w:r w:rsidRPr="009E0817">
        <w:rPr>
          <w:rFonts w:cs="Times New Roman"/>
          <w:sz w:val="24"/>
          <w:szCs w:val="24"/>
        </w:rPr>
        <w:t>ne argument is that a common agreement can create individual entitlements, just as it establishes minimum compensation for each writer. The benefit need not be pooled to be collectively negotiated. A writer who has not yet produced a hit gains a rule before success reveals the value of the work. Influential creators may also have more reason to support a Guild whose agreement protects the assets most important to them.</w:t>
      </w:r>
    </w:p>
    <w:p w14:paraId="0E6B3227" w14:textId="77777777" w:rsidR="000B6601" w:rsidRPr="009E0817" w:rsidRDefault="00000000">
      <w:pPr>
        <w:rPr>
          <w:rFonts w:cs="Times New Roman"/>
          <w:sz w:val="24"/>
          <w:szCs w:val="24"/>
        </w:rPr>
      </w:pPr>
      <w:r w:rsidRPr="009E0817">
        <w:rPr>
          <w:rFonts w:cs="Times New Roman"/>
          <w:sz w:val="24"/>
          <w:szCs w:val="24"/>
        </w:rPr>
        <w:t>The objection concerns incidence rather than formal consistency. A format right primarily benefits members who create qualifying original material. Episode writers, adapters, and writers on short assignments may receive little directly. An equal rule does not create equal opportunity to benefit: access, reputation, and assignments affect who can sell a pilot. The promise that every junior writer might one day become a creator is incomplete unless the prospect is meaningful enough to justify present sacrifices.</w:t>
      </w:r>
    </w:p>
    <w:p w14:paraId="416FB100" w14:textId="77777777" w:rsidR="000B6601" w:rsidRPr="009E0817" w:rsidRDefault="00000000">
      <w:pPr>
        <w:rPr>
          <w:rFonts w:cs="Times New Roman"/>
          <w:sz w:val="24"/>
          <w:szCs w:val="24"/>
        </w:rPr>
      </w:pPr>
      <w:r w:rsidRPr="009E0817">
        <w:rPr>
          <w:rFonts w:cs="Times New Roman"/>
          <w:sz w:val="24"/>
          <w:szCs w:val="24"/>
        </w:rPr>
        <w:t>A further defense is that successful creators supply bargaining strength and resources that help secure broader gains. The instructor should ask how that connection would work. Does the common right actually keep stars in the coalition, or would they obtain private terms anyway? Conversely, a majority could repeatedly trade away a productive minority’s interests. Neither the median member’s preference nor the creator’s special contribution supplies a complete account of a fair agreement. The Guild needs a package members can understand and a credible reason for accepting its distribution.</w:t>
      </w:r>
    </w:p>
    <w:p w14:paraId="39B25734" w14:textId="45735E98" w:rsidR="000B6601" w:rsidRPr="009E0817" w:rsidRDefault="00000000">
      <w:pPr>
        <w:rPr>
          <w:rFonts w:cs="Times New Roman"/>
          <w:sz w:val="24"/>
          <w:szCs w:val="24"/>
        </w:rPr>
      </w:pPr>
      <w:r w:rsidRPr="009E0817">
        <w:rPr>
          <w:rFonts w:cs="Times New Roman"/>
          <w:sz w:val="24"/>
          <w:szCs w:val="24"/>
        </w:rPr>
        <w:t>An ordinary writer can reasonably prefer higher minimums, payment for all assigned work, and residuals on completed episodes. These provisions reach a wider set of assignments and may produce income sooner. A strike over creator rights imposes immediate losses on members who may never qualify. This is not necessarily shortsightedness: freelancers with little financial reserve face a different cost of waiting from well-established creators.</w:t>
      </w:r>
    </w:p>
    <w:p w14:paraId="09C84354" w14:textId="77777777" w:rsidR="000B6601" w:rsidRPr="009E0817" w:rsidRDefault="00000000">
      <w:pPr>
        <w:rPr>
          <w:rFonts w:cs="Times New Roman"/>
          <w:sz w:val="24"/>
          <w:szCs w:val="24"/>
        </w:rPr>
      </w:pPr>
      <w:r w:rsidRPr="009E0817">
        <w:rPr>
          <w:rFonts w:cs="Times New Roman"/>
          <w:sz w:val="24"/>
          <w:szCs w:val="24"/>
        </w:rPr>
        <w:t>The case also gives producers a source of patience in film libraries and stockpiled material. Ask how the relative costs of delay change over time. Stockpiles can run down, while writers’ ability to endure lost income can deteriorate. Neither side’s nominal resources establish who can sustain a particular strike. Nimmer needs to weigh the expected additional gain from holding out against the losses members incur to obtain it. [1]</w:t>
      </w:r>
    </w:p>
    <w:p w14:paraId="62CBB465" w14:textId="77777777" w:rsidR="000B6601" w:rsidRPr="009E0817" w:rsidRDefault="00000000">
      <w:pPr>
        <w:rPr>
          <w:rFonts w:cs="Times New Roman"/>
          <w:sz w:val="24"/>
          <w:szCs w:val="24"/>
        </w:rPr>
      </w:pPr>
      <w:r w:rsidRPr="009E0817">
        <w:rPr>
          <w:rFonts w:cs="Times New Roman"/>
          <w:sz w:val="24"/>
          <w:szCs w:val="24"/>
        </w:rPr>
        <w:t>A package can combine broad minimums and residuals with creator protections. That may build a coalition, but adding every constituency’s preferred demand does not establish affordability or negotiating feasibility. Ask what the studio would receive in exchange and which demand the Guild would relinquish first. If a valuable general residual is traded for a benefit concentrated among a few creators, the distribution should be explicit even if aggregate expected writer income rises.</w:t>
      </w:r>
    </w:p>
    <w:p w14:paraId="403BD1CE" w14:textId="259AD98C" w:rsidR="000B6601" w:rsidRPr="009E0817" w:rsidRDefault="00000000">
      <w:pPr>
        <w:rPr>
          <w:rFonts w:cs="Times New Roman"/>
          <w:sz w:val="24"/>
          <w:szCs w:val="24"/>
        </w:rPr>
      </w:pPr>
      <w:r w:rsidRPr="009E0817">
        <w:rPr>
          <w:rFonts w:cs="Times New Roman"/>
          <w:sz w:val="24"/>
          <w:szCs w:val="24"/>
        </w:rPr>
        <w:t xml:space="preserve">Individual contracts provide another test. A proven creator may obtain terms the Guild cannot win for everyone. Such deals can reveal workable arrangements and reward unusual value. They can also let producers draw influential writers away from a common demand. The later Huggins contract illustrates the potential of individual leverage; it does not establish that an unknown writer in 1959 </w:t>
      </w:r>
      <w:r w:rsidRPr="009E0817">
        <w:rPr>
          <w:rFonts w:cs="Times New Roman"/>
          <w:sz w:val="24"/>
          <w:szCs w:val="24"/>
        </w:rPr>
        <w:lastRenderedPageBreak/>
        <w:t>had the same option. A defensible collective floor can leave room for better individual bargains without relying on them to protect the whole membership.</w:t>
      </w:r>
    </w:p>
    <w:p w14:paraId="66D0695A" w14:textId="4E569BDB" w:rsidR="000B6601" w:rsidRPr="009E0817" w:rsidRDefault="00000000">
      <w:pPr>
        <w:pStyle w:val="Heading1"/>
        <w:rPr>
          <w:rFonts w:cs="Times New Roman"/>
          <w:sz w:val="24"/>
          <w:szCs w:val="24"/>
        </w:rPr>
      </w:pPr>
      <w:r w:rsidRPr="009E0817">
        <w:rPr>
          <w:rFonts w:cs="Times New Roman"/>
          <w:sz w:val="24"/>
          <w:szCs w:val="24"/>
        </w:rPr>
        <w:t>Part 4 Attribution and Reuse in AI Assisted Work</w:t>
      </w:r>
      <w:r w:rsidR="009E0817">
        <w:rPr>
          <w:rFonts w:cs="Times New Roman"/>
          <w:sz w:val="24"/>
          <w:szCs w:val="24"/>
        </w:rPr>
        <w:t xml:space="preserve"> (15 min)</w:t>
      </w:r>
    </w:p>
    <w:p w14:paraId="6F446FA8" w14:textId="7BD722C6" w:rsidR="009E0817" w:rsidRPr="009E0817" w:rsidRDefault="009E0817" w:rsidP="009E0817">
      <w:pPr>
        <w:keepNext/>
        <w:spacing w:before="100"/>
        <w:rPr>
          <w:rFonts w:cs="Times New Roman"/>
          <w:bCs/>
          <w:i/>
          <w:iCs/>
          <w:sz w:val="24"/>
          <w:szCs w:val="24"/>
        </w:rPr>
      </w:pPr>
      <w:r w:rsidRPr="009E0817">
        <w:rPr>
          <w:rFonts w:cs="Times New Roman"/>
          <w:bCs/>
          <w:i/>
          <w:iCs/>
          <w:sz w:val="24"/>
          <w:szCs w:val="24"/>
        </w:rPr>
        <w:t>Q. Who counts as a creator, and what would credit certify?</w:t>
      </w:r>
    </w:p>
    <w:p w14:paraId="57E0727D" w14:textId="77777777" w:rsidR="009E0817" w:rsidRPr="009E0817" w:rsidRDefault="009E0817" w:rsidP="009E0817">
      <w:pPr>
        <w:keepNext/>
        <w:spacing w:before="100"/>
        <w:rPr>
          <w:rFonts w:cs="Times New Roman"/>
          <w:bCs/>
          <w:i/>
          <w:iCs/>
          <w:sz w:val="24"/>
          <w:szCs w:val="24"/>
        </w:rPr>
      </w:pPr>
      <w:r w:rsidRPr="009E0817">
        <w:rPr>
          <w:rFonts w:cs="Times New Roman"/>
          <w:bCs/>
          <w:i/>
          <w:iCs/>
          <w:sz w:val="24"/>
          <w:szCs w:val="24"/>
        </w:rPr>
        <w:t>Q. Where does value reside—in the inputs, the system’s development, or its use on a client assignment?</w:t>
      </w:r>
    </w:p>
    <w:p w14:paraId="147CFAC0" w14:textId="77777777" w:rsidR="009E0817" w:rsidRPr="009E0817" w:rsidRDefault="009E0817" w:rsidP="009E0817">
      <w:pPr>
        <w:keepNext/>
        <w:spacing w:before="100"/>
        <w:rPr>
          <w:rFonts w:cs="Times New Roman"/>
          <w:bCs/>
          <w:i/>
          <w:iCs/>
          <w:sz w:val="24"/>
          <w:szCs w:val="24"/>
        </w:rPr>
      </w:pPr>
      <w:r w:rsidRPr="009E0817">
        <w:rPr>
          <w:rFonts w:cs="Times New Roman"/>
          <w:bCs/>
          <w:i/>
          <w:iCs/>
          <w:sz w:val="24"/>
          <w:szCs w:val="24"/>
        </w:rPr>
        <w:t>Q. What collective agreement could recognize contributions while allowing the firm to deploy the system?</w:t>
      </w:r>
    </w:p>
    <w:p w14:paraId="64668A5E" w14:textId="2F7C7778" w:rsidR="000B6601" w:rsidRPr="009E0817" w:rsidRDefault="000B6601">
      <w:pPr>
        <w:keepNext/>
        <w:rPr>
          <w:rFonts w:cs="Times New Roman"/>
          <w:sz w:val="24"/>
          <w:szCs w:val="24"/>
        </w:rPr>
      </w:pPr>
    </w:p>
    <w:p w14:paraId="4CD72ED6" w14:textId="37A79BE1" w:rsidR="000B6601" w:rsidRPr="009E0817" w:rsidRDefault="00893061">
      <w:pPr>
        <w:rPr>
          <w:rFonts w:cs="Times New Roman"/>
          <w:sz w:val="24"/>
          <w:szCs w:val="24"/>
        </w:rPr>
      </w:pPr>
      <w:r>
        <w:rPr>
          <w:rFonts w:cs="Times New Roman"/>
          <w:sz w:val="24"/>
          <w:szCs w:val="24"/>
        </w:rPr>
        <w:t>You can start by posing this</w:t>
      </w:r>
      <w:r w:rsidRPr="009E0817">
        <w:rPr>
          <w:rFonts w:cs="Times New Roman"/>
          <w:sz w:val="24"/>
          <w:szCs w:val="24"/>
        </w:rPr>
        <w:t xml:space="preserve"> hypothetical </w:t>
      </w:r>
      <w:r>
        <w:rPr>
          <w:rFonts w:cs="Times New Roman"/>
          <w:sz w:val="24"/>
          <w:szCs w:val="24"/>
        </w:rPr>
        <w:t>to the room:</w:t>
      </w:r>
      <w:r w:rsidRPr="009E0817">
        <w:rPr>
          <w:rFonts w:cs="Times New Roman"/>
          <w:sz w:val="24"/>
          <w:szCs w:val="24"/>
        </w:rPr>
        <w:t xml:space="preserve"> </w:t>
      </w:r>
      <w:r>
        <w:rPr>
          <w:rFonts w:cs="Times New Roman"/>
          <w:sz w:val="24"/>
          <w:szCs w:val="24"/>
        </w:rPr>
        <w:t>a</w:t>
      </w:r>
      <w:r w:rsidRPr="009E0817">
        <w:rPr>
          <w:rFonts w:cs="Times New Roman"/>
          <w:sz w:val="24"/>
          <w:szCs w:val="24"/>
        </w:rPr>
        <w:t xml:space="preserve"> consulting firm builds an internal AI system using prior project documents, an employee’s reusable analytical template, managers’ corrections, and junior staff’s work-in-progress notes. The firm pays for development, testing, and deployment. After the template’s author leaves, colleagues use the system on new client assignments. The system sometimes reproduces a recognizable component and sometimes generates new work that cannot be traced to a single source. This is an economic analogy, not a question about the legal rights that any current AI contract or statute provides.</w:t>
      </w:r>
    </w:p>
    <w:p w14:paraId="27A1B56D" w14:textId="77777777" w:rsidR="000B6601" w:rsidRPr="009E0817" w:rsidRDefault="00000000">
      <w:pPr>
        <w:rPr>
          <w:rFonts w:cs="Times New Roman"/>
          <w:sz w:val="24"/>
          <w:szCs w:val="24"/>
        </w:rPr>
      </w:pPr>
      <w:r w:rsidRPr="009E0817">
        <w:rPr>
          <w:rFonts w:cs="Times New Roman"/>
          <w:sz w:val="24"/>
          <w:szCs w:val="24"/>
        </w:rPr>
        <w:t>The firm can argue that no employee independently created the useful system. Collecting examples, correcting failures, testing outputs, and integrating the tool into client work are productive activities. Central control avoids obtaining consent from every contributor whenever the system is used. That is a strong argument for deployment authority, but it does not establish that the firm must retain every financial benefit or every public acknowledgment.</w:t>
      </w:r>
    </w:p>
    <w:p w14:paraId="01B9DB9C" w14:textId="77777777" w:rsidR="000B6601" w:rsidRPr="009E0817" w:rsidRDefault="00000000">
      <w:pPr>
        <w:rPr>
          <w:rFonts w:cs="Times New Roman"/>
          <w:sz w:val="24"/>
          <w:szCs w:val="24"/>
        </w:rPr>
      </w:pPr>
      <w:r w:rsidRPr="009E0817">
        <w:rPr>
          <w:rFonts w:cs="Times New Roman"/>
          <w:sz w:val="24"/>
          <w:szCs w:val="24"/>
        </w:rPr>
        <w:t>A junior employee can point to a reusable template while a manager takes credit for the resulting client product. The career-information problem from Part A survives even if ownership is undisputed. Yet attributing the template to one visible author can overlook colleagues who supplied expertise or repaired errors. The instructor can ask what record would distinguish origination, substantive revision, validation, and responsibility for the final advice.</w:t>
      </w:r>
    </w:p>
    <w:p w14:paraId="522AAE50" w14:textId="77777777" w:rsidR="000B6601" w:rsidRPr="009E0817" w:rsidRDefault="00000000">
      <w:pPr>
        <w:rPr>
          <w:rFonts w:cs="Times New Roman"/>
          <w:sz w:val="24"/>
          <w:szCs w:val="24"/>
        </w:rPr>
      </w:pPr>
      <w:r w:rsidRPr="009E0817">
        <w:rPr>
          <w:rFonts w:cs="Times New Roman"/>
          <w:sz w:val="24"/>
          <w:szCs w:val="24"/>
        </w:rPr>
        <w:t>Managers’ selection and correction may be important, but managerial authority is not evidence of substantive contribution. Conversely, listing all inputs does not explain who made them useful. Credit should answer a defined question: who supplied the method, who adapted it, or who stands behind the client recommendation? Different claims can warrant different acknowledgments and compensation. No single label needs to certify all of them.</w:t>
      </w:r>
    </w:p>
    <w:p w14:paraId="4A6E0736" w14:textId="77777777" w:rsidR="000B6601" w:rsidRPr="009E0817" w:rsidRDefault="00000000">
      <w:pPr>
        <w:rPr>
          <w:rFonts w:cs="Times New Roman"/>
          <w:sz w:val="24"/>
          <w:szCs w:val="24"/>
        </w:rPr>
      </w:pPr>
      <w:r w:rsidRPr="009E0817">
        <w:rPr>
          <w:rFonts w:cs="Times New Roman"/>
          <w:sz w:val="24"/>
          <w:szCs w:val="24"/>
        </w:rPr>
        <w:t>Records can improve both attribution and knowledge transfer. They can also favor people who produce polished documents over those who teach orally or correct others’ work. Paying for document counts would encourage documentation whether or not it adds value. Ask what evidence of adoption, improvement, or peer validation would make the record more informative, and what useful contributions would remain invisible.</w:t>
      </w:r>
    </w:p>
    <w:p w14:paraId="7A176C6B" w14:textId="6FCE8F85" w:rsidR="000B6601" w:rsidRPr="009E0817" w:rsidRDefault="00893061">
      <w:pPr>
        <w:keepNext/>
        <w:spacing w:before="100"/>
        <w:rPr>
          <w:rFonts w:cs="Times New Roman"/>
          <w:bCs/>
          <w:i/>
          <w:iCs/>
          <w:sz w:val="24"/>
          <w:szCs w:val="24"/>
        </w:rPr>
      </w:pPr>
      <w:r>
        <w:rPr>
          <w:rFonts w:cs="Times New Roman"/>
          <w:bCs/>
          <w:sz w:val="24"/>
          <w:szCs w:val="24"/>
        </w:rPr>
        <w:t xml:space="preserve">So, then, </w:t>
      </w:r>
      <w:r>
        <w:rPr>
          <w:rFonts w:cs="Times New Roman"/>
          <w:bCs/>
          <w:i/>
          <w:iCs/>
          <w:sz w:val="24"/>
          <w:szCs w:val="24"/>
        </w:rPr>
        <w:t>who counts as the creator?</w:t>
      </w:r>
    </w:p>
    <w:p w14:paraId="6FA741D9" w14:textId="77777777" w:rsidR="000B6601" w:rsidRPr="009E0817" w:rsidRDefault="00000000">
      <w:pPr>
        <w:rPr>
          <w:rFonts w:cs="Times New Roman"/>
          <w:sz w:val="24"/>
          <w:szCs w:val="24"/>
        </w:rPr>
      </w:pPr>
      <w:r w:rsidRPr="009E0817">
        <w:rPr>
          <w:rFonts w:cs="Times New Roman"/>
          <w:sz w:val="24"/>
          <w:szCs w:val="24"/>
        </w:rPr>
        <w:t>The employee’s reusable method resembles a series framework when it continues to organize new work after the employee leaves. The firm can respond that it already paid for that method and that a collection of documents is not a functioning system. Development, evaluation, integration, and client judgment supply additional value. Both accounts can be true. The relevant design question is whether a different bargain would improve effort, disclosure, retention, or the distribution of returns.</w:t>
      </w:r>
    </w:p>
    <w:p w14:paraId="7E962122" w14:textId="77777777" w:rsidR="000B6601" w:rsidRPr="009E0817" w:rsidRDefault="00000000">
      <w:pPr>
        <w:rPr>
          <w:rFonts w:cs="Times New Roman"/>
          <w:sz w:val="24"/>
          <w:szCs w:val="24"/>
        </w:rPr>
      </w:pPr>
      <w:r w:rsidRPr="009E0817">
        <w:rPr>
          <w:rFonts w:cs="Times New Roman"/>
          <w:sz w:val="24"/>
          <w:szCs w:val="24"/>
        </w:rPr>
        <w:lastRenderedPageBreak/>
        <w:t>A marginal-contribution approach does not necessarily resolve the issue. Removing a source after several similar sources have been added can make it appear dispensable, even if it was initially essential. Comparing the final product with and without one input also depends on what substitutes are allowed. Complementary contributions need not admit a unique causal division of revenue. Equal sharing avoids some attribution disputes but creates others about the eligible group and unequal effort.</w:t>
      </w:r>
    </w:p>
    <w:p w14:paraId="60820691" w14:textId="77777777" w:rsidR="000B6601" w:rsidRPr="009E0817" w:rsidRDefault="00000000">
      <w:pPr>
        <w:rPr>
          <w:rFonts w:cs="Times New Roman"/>
          <w:sz w:val="24"/>
          <w:szCs w:val="24"/>
        </w:rPr>
      </w:pPr>
      <w:r w:rsidRPr="009E0817">
        <w:rPr>
          <w:rFonts w:cs="Times New Roman"/>
          <w:sz w:val="24"/>
          <w:szCs w:val="24"/>
        </w:rPr>
        <w:t>The historical distinctions remain useful, but their limits should be made explicit. If an identifiable template is retained and never used, a reservation or release of exclusivity might matter. If the firm repeatedly reproduces a specific slide or tool, an observable-use payment may be feasible. If a general method influences new deliverables without recognizable copying, individual tracing becomes harder and a collective arrangement may be more workable. These examples identify different possible contract triggers; they do not establish that the corresponding television rules apply.</w:t>
      </w:r>
    </w:p>
    <w:p w14:paraId="7742D432" w14:textId="77777777" w:rsidR="000B6601" w:rsidRPr="009E0817" w:rsidRDefault="00000000">
      <w:pPr>
        <w:rPr>
          <w:rFonts w:cs="Times New Roman"/>
          <w:sz w:val="24"/>
          <w:szCs w:val="24"/>
        </w:rPr>
      </w:pPr>
      <w:r w:rsidRPr="009E0817">
        <w:rPr>
          <w:rFonts w:cs="Times New Roman"/>
          <w:sz w:val="24"/>
          <w:szCs w:val="24"/>
        </w:rPr>
        <w:t>Reversion is especially difficult when the contribution cannot be separated from the system or from confidential client information. Returning an unproduced script can restore a writer’s opportunity to sell it elsewhere. Removing one employee’s influence from a jointly developed system may not restore any comparable asset. Ask what problem the employee is trying to solve: lost outside opportunities, uncompensated reuse, misleading credit, disclosure, or implied endorsement. A payment cannot answer every one of those concerns.</w:t>
      </w:r>
    </w:p>
    <w:p w14:paraId="65193E6E" w14:textId="6C799738" w:rsidR="009E0817" w:rsidRPr="00893061" w:rsidRDefault="00893061">
      <w:pPr>
        <w:rPr>
          <w:rFonts w:cs="Times New Roman"/>
          <w:bCs/>
          <w:sz w:val="24"/>
          <w:szCs w:val="24"/>
        </w:rPr>
      </w:pPr>
      <w:r>
        <w:rPr>
          <w:rFonts w:cs="Times New Roman"/>
          <w:bCs/>
          <w:sz w:val="24"/>
          <w:szCs w:val="24"/>
        </w:rPr>
        <w:t>Students may propose permutations of the the following agreements in response:</w:t>
      </w:r>
    </w:p>
    <w:p w14:paraId="204058B7" w14:textId="21EEE6CE" w:rsidR="000B6601" w:rsidRPr="009E0817" w:rsidRDefault="00000000">
      <w:pPr>
        <w:rPr>
          <w:rFonts w:cs="Times New Roman"/>
          <w:sz w:val="24"/>
          <w:szCs w:val="24"/>
        </w:rPr>
      </w:pPr>
      <w:r w:rsidRPr="009E0817">
        <w:rPr>
          <w:rFonts w:cs="Times New Roman"/>
          <w:sz w:val="24"/>
          <w:szCs w:val="24"/>
        </w:rPr>
        <w:t>A narrow proposal could preserve firm deployment authority while requiring notice, records, and attribution for identifiable reusable tools. It could attach compensation to defined uses and provide confidential review when a contributor disputes them. The objection is that transformation may retain a method’s value while making its source difficult to recognize. A narrow rule gains administrability by leaving some contributions uncovered.</w:t>
      </w:r>
    </w:p>
    <w:p w14:paraId="5F981808" w14:textId="77777777" w:rsidR="000B6601" w:rsidRPr="009E0817" w:rsidRDefault="00000000">
      <w:pPr>
        <w:rPr>
          <w:rFonts w:cs="Times New Roman"/>
          <w:sz w:val="24"/>
          <w:szCs w:val="24"/>
        </w:rPr>
      </w:pPr>
      <w:r w:rsidRPr="009E0817">
        <w:rPr>
          <w:rFonts w:cs="Times New Roman"/>
          <w:sz w:val="24"/>
          <w:szCs w:val="24"/>
        </w:rPr>
        <w:t>A pooled payment or benefit fund could address diffuse collective contributions without pricing every source. The objection is that the distribution rule remains contestable: equal shares, tenure, salary, and measured contribution reward different things. A hybrid can recognize identifiable exceptional contributions while supporting a broader pool, but brings additional governance costs. Ask students to defend the distribution they choose rather than assume that pooling resolves fairness.</w:t>
      </w:r>
    </w:p>
    <w:p w14:paraId="68DEC38B" w14:textId="2DDE9816" w:rsidR="000B6601" w:rsidRPr="009E0817" w:rsidRDefault="00893061">
      <w:pPr>
        <w:rPr>
          <w:rFonts w:cs="Times New Roman"/>
          <w:sz w:val="24"/>
          <w:szCs w:val="24"/>
        </w:rPr>
      </w:pPr>
      <w:r>
        <w:rPr>
          <w:rFonts w:cs="Times New Roman"/>
          <w:sz w:val="24"/>
          <w:szCs w:val="24"/>
        </w:rPr>
        <w:t>Probe students when</w:t>
      </w:r>
      <w:r w:rsidRPr="009E0817">
        <w:rPr>
          <w:rFonts w:cs="Times New Roman"/>
          <w:sz w:val="24"/>
          <w:szCs w:val="24"/>
        </w:rPr>
        <w:t xml:space="preserve"> ask</w:t>
      </w:r>
      <w:r>
        <w:rPr>
          <w:rFonts w:cs="Times New Roman"/>
          <w:sz w:val="24"/>
          <w:szCs w:val="24"/>
        </w:rPr>
        <w:t>ing</w:t>
      </w:r>
      <w:r w:rsidRPr="009E0817">
        <w:rPr>
          <w:rFonts w:cs="Times New Roman"/>
          <w:sz w:val="24"/>
          <w:szCs w:val="24"/>
        </w:rPr>
        <w:t xml:space="preserve"> who can verify use. The firm may hold the relevant records and have legitimate confidentiality constraints. Independent inspection with limited disclosure may reconcile those interests, but a process that accepts untestable assertions about deployment cannot enforce a contingent claim. Notice alone is not a remedy. Require the proposed agreement to specify what follows from the information it provides.</w:t>
      </w:r>
    </w:p>
    <w:p w14:paraId="4500A721" w14:textId="77777777" w:rsidR="000B6601" w:rsidRPr="009E0817" w:rsidRDefault="00000000">
      <w:pPr>
        <w:rPr>
          <w:rFonts w:cs="Times New Roman"/>
          <w:sz w:val="24"/>
          <w:szCs w:val="24"/>
        </w:rPr>
      </w:pPr>
      <w:r w:rsidRPr="009E0817">
        <w:rPr>
          <w:rFonts w:cs="Times New Roman"/>
          <w:sz w:val="24"/>
          <w:szCs w:val="24"/>
        </w:rPr>
        <w:t>Close this section by returning to Nimmer: the useful comparison is the problem of organizing claims on durable contributions within collaborative production. Differences in traceability, separability, and the nature of reuse may justify different terms. A strong answer identifies both the similarity on which its proposal depends and the difference that could defeat it.</w:t>
      </w:r>
    </w:p>
    <w:p w14:paraId="45186B97" w14:textId="2DC5A1E1" w:rsidR="000B6601" w:rsidRPr="009E0817" w:rsidRDefault="00000000">
      <w:pPr>
        <w:pStyle w:val="Heading1"/>
        <w:rPr>
          <w:rFonts w:cs="Times New Roman"/>
          <w:sz w:val="24"/>
          <w:szCs w:val="24"/>
        </w:rPr>
      </w:pPr>
      <w:r w:rsidRPr="009E0817">
        <w:rPr>
          <w:rFonts w:cs="Times New Roman"/>
          <w:sz w:val="24"/>
          <w:szCs w:val="24"/>
        </w:rPr>
        <w:t>Conclusion</w:t>
      </w:r>
      <w:r w:rsidR="009E0817">
        <w:rPr>
          <w:rFonts w:cs="Times New Roman"/>
          <w:sz w:val="24"/>
          <w:szCs w:val="24"/>
        </w:rPr>
        <w:t xml:space="preserve"> (5 min)</w:t>
      </w:r>
    </w:p>
    <w:p w14:paraId="235E6C6E" w14:textId="008E4109" w:rsidR="000B6601" w:rsidRPr="009E0817" w:rsidRDefault="00000000">
      <w:pPr>
        <w:rPr>
          <w:rFonts w:cs="Times New Roman"/>
          <w:sz w:val="24"/>
          <w:szCs w:val="24"/>
        </w:rPr>
      </w:pPr>
      <w:r w:rsidRPr="009E0817">
        <w:rPr>
          <w:rFonts w:cs="Times New Roman"/>
          <w:sz w:val="24"/>
          <w:szCs w:val="24"/>
        </w:rPr>
        <w:t xml:space="preserve">The instructor can now </w:t>
      </w:r>
      <w:r w:rsidR="00893061">
        <w:rPr>
          <w:rFonts w:cs="Times New Roman"/>
          <w:sz w:val="24"/>
          <w:szCs w:val="24"/>
        </w:rPr>
        <w:t>turn to</w:t>
      </w:r>
      <w:r w:rsidRPr="009E0817">
        <w:rPr>
          <w:rFonts w:cs="Times New Roman"/>
          <w:sz w:val="24"/>
          <w:szCs w:val="24"/>
        </w:rPr>
        <w:t xml:space="preserve"> the case postscript. It describes Nimmer’s role in expanding separated rights while producers retained copyright and initial production control. This development built on earlier provisions rather than replacing an entirely unregulated bargain. The Guild’s historical account places the 1960 settlement alongside broader gains in residuals and benefits, reinforcing the importance of viewing creator protections within a collective package. [1–2]</w:t>
      </w:r>
    </w:p>
    <w:p w14:paraId="7872734D" w14:textId="77777777" w:rsidR="000B6601" w:rsidRPr="009E0817" w:rsidRDefault="00000000">
      <w:pPr>
        <w:rPr>
          <w:rFonts w:cs="Times New Roman"/>
          <w:sz w:val="24"/>
          <w:szCs w:val="24"/>
        </w:rPr>
      </w:pPr>
      <w:r w:rsidRPr="009E0817">
        <w:rPr>
          <w:rFonts w:cs="Times New Roman"/>
          <w:sz w:val="24"/>
          <w:szCs w:val="24"/>
        </w:rPr>
        <w:lastRenderedPageBreak/>
        <w:t>The historical outcome should not be treated as proof that every proposed carve-out was efficient or that other priorities were indefensible. The discussion has made the conditions visible: a defined reusable contribution, a payment or reservation suited to its use, preserved incentives for later investment, and an institution able to produce and enforce an eligible claim. Part A’s credit rule supplied part of that institution. Part B shows why the distribution attached to its decisions makes governing it more demanding.</w:t>
      </w:r>
    </w:p>
    <w:sectPr w:rsidR="000B6601" w:rsidRPr="009E0817" w:rsidSect="00034616">
      <w:footerReference w:type="default" r:id="rId8"/>
      <w:pgSz w:w="12240" w:h="15840"/>
      <w:pgMar w:top="1008" w:right="1224" w:bottom="1008" w:left="1224"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B44923" w14:textId="77777777" w:rsidR="00043D64" w:rsidRDefault="00043D64">
      <w:pPr>
        <w:spacing w:after="0" w:line="240" w:lineRule="auto"/>
      </w:pPr>
      <w:r>
        <w:separator/>
      </w:r>
    </w:p>
  </w:endnote>
  <w:endnote w:type="continuationSeparator" w:id="0">
    <w:p w14:paraId="5A864474" w14:textId="77777777" w:rsidR="00043D64" w:rsidRDefault="00043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96252D" w14:textId="77777777" w:rsidR="000B6601" w:rsidRDefault="00000000">
    <w:pPr>
      <w:pStyle w:val="Footer"/>
      <w:jc w:val="right"/>
    </w:pPr>
    <w:r>
      <w:fldChar w:fldCharType="begin"/>
    </w:r>
    <w:r>
      <w:instrText>PAGE</w:instrText>
    </w:r>
    <w:r>
      <w:fldChar w:fldCharType="separate"/>
    </w:r>
    <w:r w:rsidR="00B5742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417613" w14:textId="77777777" w:rsidR="00043D64" w:rsidRDefault="00043D64">
      <w:pPr>
        <w:spacing w:after="0" w:line="240" w:lineRule="auto"/>
      </w:pPr>
      <w:r>
        <w:separator/>
      </w:r>
    </w:p>
  </w:footnote>
  <w:footnote w:type="continuationSeparator" w:id="0">
    <w:p w14:paraId="3AC60168" w14:textId="77777777" w:rsidR="00043D64" w:rsidRDefault="00043D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0790542">
    <w:abstractNumId w:val="8"/>
  </w:num>
  <w:num w:numId="2" w16cid:durableId="1304697453">
    <w:abstractNumId w:val="6"/>
  </w:num>
  <w:num w:numId="3" w16cid:durableId="1179657722">
    <w:abstractNumId w:val="5"/>
  </w:num>
  <w:num w:numId="4" w16cid:durableId="1776515904">
    <w:abstractNumId w:val="4"/>
  </w:num>
  <w:num w:numId="5" w16cid:durableId="10616928">
    <w:abstractNumId w:val="7"/>
  </w:num>
  <w:num w:numId="6" w16cid:durableId="2143883102">
    <w:abstractNumId w:val="3"/>
  </w:num>
  <w:num w:numId="7" w16cid:durableId="1698385782">
    <w:abstractNumId w:val="2"/>
  </w:num>
  <w:num w:numId="8" w16cid:durableId="907617645">
    <w:abstractNumId w:val="1"/>
  </w:num>
  <w:num w:numId="9" w16cid:durableId="5703163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D64"/>
    <w:rsid w:val="0006063C"/>
    <w:rsid w:val="000B6601"/>
    <w:rsid w:val="0015074B"/>
    <w:rsid w:val="0015729E"/>
    <w:rsid w:val="0029639D"/>
    <w:rsid w:val="002C73CB"/>
    <w:rsid w:val="00326F90"/>
    <w:rsid w:val="004365EF"/>
    <w:rsid w:val="006561FC"/>
    <w:rsid w:val="00893061"/>
    <w:rsid w:val="009E0817"/>
    <w:rsid w:val="00A02745"/>
    <w:rsid w:val="00AA1D8D"/>
    <w:rsid w:val="00B47730"/>
    <w:rsid w:val="00B57424"/>
    <w:rsid w:val="00BC75D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30952C"/>
  <w14:defaultImageDpi w14:val="300"/>
  <w15:docId w15:val="{2CE91B5A-5EF7-2C47-B46B-57E5513FE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7"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80" w:after="14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b/>
      <w:bCs/>
      <w:color w:val="365F91" w:themeColor="accent1" w:themeShade="BF"/>
      <w:sz w:val="28"/>
      <w:szCs w:val="28"/>
    </w:rPr>
  </w:style>
  <w:style w:type="character" w:customStyle="1" w:styleId="Heading2Char">
    <w:name w:val="Heading 2 Char"/>
    <w:basedOn w:val="DefaultParagraphFont"/>
    <w:link w:val="Heading2"/>
    <w:uiPriority w:val="9"/>
    <w:rsid w:val="00FC693F"/>
    <w:rPr>
      <w:b/>
      <w:bCs/>
      <w:color w:val="4F81BD" w:themeColor="accent1"/>
      <w:sz w:val="26"/>
      <w:szCs w:val="26"/>
    </w:rPr>
  </w:style>
  <w:style w:type="character" w:customStyle="1" w:styleId="Heading3Char">
    <w:name w:val="Heading 3 Char"/>
    <w:basedOn w:val="DefaultParagraphFont"/>
    <w:link w:val="Heading3"/>
    <w:uiPriority w:val="9"/>
    <w:rsid w:val="00FC693F"/>
    <w:rPr>
      <w:b/>
      <w:bCs/>
      <w:color w:val="4F81BD" w:themeColor="accent1"/>
    </w:rPr>
  </w:style>
  <w:style w:type="paragraph" w:styleId="Title">
    <w:name w:val="Title"/>
    <w:basedOn w:val="Normal"/>
    <w:next w:val="Normal"/>
    <w:link w:val="TitleChar"/>
    <w:uiPriority w:val="10"/>
    <w:qFormat/>
    <w:rsid w:val="00FC693F"/>
    <w:pPr>
      <w:keepNext/>
      <w:spacing w:before="80" w:after="80" w:line="240" w:lineRule="auto"/>
      <w:contextualSpacing/>
    </w:pPr>
    <w:rPr>
      <w:b/>
      <w:spacing w:val="5"/>
      <w:kern w:val="28"/>
      <w:sz w:val="42"/>
      <w:szCs w:val="52"/>
    </w:rPr>
  </w:style>
  <w:style w:type="character" w:customStyle="1" w:styleId="TitleChar">
    <w:name w:val="Title Char"/>
    <w:basedOn w:val="DefaultParagraphFont"/>
    <w:link w:val="Title"/>
    <w:uiPriority w:val="10"/>
    <w:rsid w:val="00FC693F"/>
    <w:rP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259" w:hanging="187"/>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b/>
      <w:bCs/>
      <w:i/>
      <w:iCs/>
      <w:color w:val="4F81BD" w:themeColor="accent1"/>
    </w:rPr>
  </w:style>
  <w:style w:type="character" w:customStyle="1" w:styleId="Heading5Char">
    <w:name w:val="Heading 5 Char"/>
    <w:basedOn w:val="DefaultParagraphFont"/>
    <w:link w:val="Heading5"/>
    <w:uiPriority w:val="9"/>
    <w:semiHidden/>
    <w:rsid w:val="00FC693F"/>
    <w:rPr>
      <w:color w:val="243F60" w:themeColor="accent1" w:themeShade="7F"/>
    </w:rPr>
  </w:style>
  <w:style w:type="character" w:customStyle="1" w:styleId="Heading6Char">
    <w:name w:val="Heading 6 Char"/>
    <w:basedOn w:val="DefaultParagraphFont"/>
    <w:link w:val="Heading6"/>
    <w:uiPriority w:val="9"/>
    <w:semiHidden/>
    <w:rsid w:val="00FC693F"/>
    <w:rPr>
      <w:i/>
      <w:iCs/>
      <w:color w:val="243F60" w:themeColor="accent1" w:themeShade="7F"/>
    </w:rPr>
  </w:style>
  <w:style w:type="character" w:customStyle="1" w:styleId="Heading7Char">
    <w:name w:val="Heading 7 Char"/>
    <w:basedOn w:val="DefaultParagraphFont"/>
    <w:link w:val="Heading7"/>
    <w:uiPriority w:val="9"/>
    <w:semiHidden/>
    <w:rsid w:val="00FC693F"/>
    <w:rPr>
      <w:i/>
      <w:iCs/>
      <w:color w:val="404040" w:themeColor="text1" w:themeTint="BF"/>
    </w:rPr>
  </w:style>
  <w:style w:type="character" w:customStyle="1" w:styleId="Heading8Char">
    <w:name w:val="Heading 8 Char"/>
    <w:basedOn w:val="DefaultParagraphFont"/>
    <w:link w:val="Heading8"/>
    <w:uiPriority w:val="9"/>
    <w:semiHidden/>
    <w:rsid w:val="00FC693F"/>
    <w:rPr>
      <w:color w:val="4F81BD" w:themeColor="accent1"/>
      <w:sz w:val="20"/>
      <w:szCs w:val="20"/>
    </w:rPr>
  </w:style>
  <w:style w:type="character" w:customStyle="1" w:styleId="Heading9Char">
    <w:name w:val="Heading 9 Char"/>
    <w:basedOn w:val="DefaultParagraphFont"/>
    <w:link w:val="Heading9"/>
    <w:uiPriority w:val="9"/>
    <w:semiHidden/>
    <w:rsid w:val="00FC693F"/>
    <w:rP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5008</Words>
  <Characters>28547</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Screen Writers Guild B Teaching Note</dc:title>
  <dc:subject>The Fight for Separated Rights</dc:subject>
  <dc:creator>Huml, Zazie</dc:creator>
  <cp:keywords/>
  <dc:description>generated by python-docx</dc:description>
  <cp:lastModifiedBy>Cullen, Zoe</cp:lastModifiedBy>
  <cp:revision>2</cp:revision>
  <dcterms:created xsi:type="dcterms:W3CDTF">2026-09-30T18:22:00Z</dcterms:created>
  <dcterms:modified xsi:type="dcterms:W3CDTF">2026-09-30T18:22:00Z</dcterms:modified>
  <cp:category/>
</cp:coreProperties>
</file>