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文件类型</w:t>
              <w:br/>
            </w:r>
            <w:r>
              <w:t>Document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开发文档</w:t>
              <w:br/>
            </w:r>
            <w:r>
              <w:t>R&amp;D Document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保密密级</w:t>
              <w:br/>
            </w:r>
            <w:r>
              <w:t>Confidentiality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机密</w:t>
              <w:br/>
            </w:r>
            <w:r>
              <w:t>Confidential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文件编号</w:t>
              <w:br/>
            </w:r>
            <w:r>
              <w:t>Document No.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KF-CGM-1-0001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文件版本</w:t>
              <w:br/>
            </w:r>
            <w:r>
              <w:t>Document Version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V1.0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适用范围</w:t>
              <w:br/>
            </w:r>
            <w:r>
              <w:t>Applicable Scope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贴敷式胰岛素泵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/>
            <w:r>
              <w:rPr>
                <w:b/>
              </w:rPr>
              <w:t>项目开发计划书</w:t>
            </w:r>
          </w:p>
        </w:tc>
      </w:tr>
      <w:tr>
        <w:tc>
          <w:tcPr>
            <w:tcW w:type="dxa" w:w="8640"/>
            <w:gridSpan w:val="4"/>
          </w:tcPr>
          <w:p>
            <w:r/>
            <w:r>
              <w:rPr>
                <w:b/>
              </w:rPr>
              <w:t>相关文档</w:t>
              <w:br/>
            </w:r>
            <w:r>
              <w:t>Related Documents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文件编号</w:t>
              <w:br/>
            </w:r>
            <w:r>
              <w:t>Document No.</w:t>
            </w:r>
          </w:p>
        </w:tc>
        <w:tc>
          <w:tcPr>
            <w:tcW w:type="dxa" w:w="4320"/>
            <w:gridSpan w:val="2"/>
          </w:tcPr>
          <w:p>
            <w:r/>
            <w:r>
              <w:rPr>
                <w:b/>
              </w:rPr>
              <w:t>文件名称</w:t>
              <w:br/>
            </w:r>
            <w:r>
              <w:t>Document 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版本</w:t>
              <w:br/>
            </w:r>
            <w:r>
              <w:t>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编制人员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编制人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审核人员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审核人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批准人员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批准人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2026.08.26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修订记录</w:t>
      </w:r>
    </w:p>
    <w:p>
      <w:pPr>
        <w:jc w:val="center"/>
      </w:pPr>
      <w:r>
        <w:rPr>
          <w:b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版本</w:t>
              <w:br/>
            </w:r>
            <w: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ECN/PCN/TCN/CR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修订内容概述</w:t>
              <w:br/>
            </w:r>
            <w: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修订人</w:t>
              <w:br/>
            </w:r>
            <w:r>
              <w:t>Revised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生效日期</w:t>
              <w:br/>
            </w:r>
            <w:r>
              <w:t>Effective 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新增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编制人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2026.08.26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（目录将在打开文档时自动更新）</w:t>
        <w:fldChar w:fldCharType="end"/>
      </w:r>
    </w:p>
    <w:p>
      <w:r>
        <w:br w:type="page"/>
      </w:r>
    </w:p>
    <w:p>
      <w:pPr>
        <w:pStyle w:val="Heading1"/>
      </w:pPr>
      <w:r>
        <w:t>第1章 概述 Introduction</w:t>
      </w:r>
    </w:p>
    <w:p>
      <w:pPr>
        <w:pStyle w:val="Heading2"/>
      </w:pPr>
      <w:r>
        <w:t>1.1 项目基本信息、目的与范围</w:t>
      </w:r>
    </w:p>
    <w:p>
      <w:r>
        <w:t>FlexiPod V1 贴敷式胰岛素泵项目计划书（KF-FP-1-0001 V1.0）于 2026 年 5 月 29 日发布。</w:t>
      </w:r>
    </w:p>
    <w:p>
      <w:pPr>
        <w:pStyle w:val="Heading3"/>
      </w:pPr>
      <w:r>
        <w:t>1.1.1 目的</w:t>
      </w:r>
    </w:p>
    <w:p>
      <w:r>
        <w:t>本文档规划 FlexiPod V1 贴敷式胰岛素泵全生命周期开发，明确任务、资源及里程碑，控制风险并满足医疗器械质量管理体系对设计策划的强制性要求。</w:t>
      </w:r>
    </w:p>
    <w:p>
      <w:pPr>
        <w:pStyle w:val="Heading3"/>
      </w:pPr>
      <w:r>
        <w:t>1.1.2 适用范围</w:t>
      </w:r>
    </w:p>
    <w:p>
      <w:r>
        <w:t>本项目开发一次性贴敷式无管路无线胰岛素泵系统，含硬件、储药组件、底座及 APP，覆盖概念至转产全流程。不含独立血糖监测研发，仅支持第三方 CGM 设备联动。</w:t>
      </w:r>
    </w:p>
    <w:p>
      <w:pPr>
        <w:pStyle w:val="Heading3"/>
      </w:pPr>
      <w:r>
        <w:t>1.1.3 产品定义</w:t>
      </w:r>
    </w:p>
    <w:p>
      <w:r>
        <w:t>本产品用于18–75岁成人糖尿病患者皮下输注U-100速效/短效胰岛素。由泵体、3mL储药器、含针底座及锂锰电池组成，支持蓝牙APP控制基础率与大剂量。软件符合IEC 62304 Class C标准，失效可致严重伤害或死亡。</w:t>
      </w:r>
    </w:p>
    <w:p>
      <w:pPr>
        <w:pStyle w:val="Heading2"/>
      </w:pPr>
      <w:r>
        <w:t>1.2 项目核心目标与关键指标</w:t>
      </w:r>
    </w:p>
    <w:p>
      <w:r>
        <w:t>本项目遵循 ISO 13485 及 GB 9706.224-2021，确保设计开发全程合规可控。</w:t>
      </w:r>
    </w:p>
    <w:p>
      <w:pPr>
        <w:pStyle w:val="Heading3"/>
      </w:pPr>
      <w:r>
        <w:t>1.2.1 技术性能目标</w:t>
      </w:r>
    </w:p>
    <w:p>
      <w:r>
        <w:t>本项目设定关键设计输入：泵体尺寸≤50.9 mm×32 mm×14.1 mm，重量≤20 g；基础率误差≤±5%，大剂量误差≤±3%；续航≥72 小时（电池170mAh）；防水IPX8（水下2m/30min）；蓝牙连接成功率≥99%，贴敷3天脱落率≤1%。上述指标将作为设计验证基准，确保产品满足微型化、轻量化及高可靠性要求。</w:t>
      </w:r>
    </w:p>
    <w:p>
      <w:pPr>
        <w:pStyle w:val="Heading3"/>
      </w:pPr>
      <w:r>
        <w:t>1.2.2 合规与质量目标</w:t>
      </w:r>
    </w:p>
    <w:p>
      <w:r>
        <w:t>本项目严格遵循 NMPA《医疗器械监督管理条例》。软件经 IEC 62304 Class C 验证且网络安全达标；接触部件符合 ISO 10993 系列标准，无致敏刺激；产品环氧乙烷灭菌（SAL ≤ 10⁻⁶）提供。综合剩余风险可控，受益大于风险。</w:t>
      </w:r>
    </w:p>
    <w:p>
      <w:pPr>
        <w:pStyle w:val="Heading2"/>
      </w:pPr>
      <w:r>
        <w:t>1.3 术语定义与缩写</w:t>
      </w:r>
    </w:p>
    <w:p>
      <w:r>
        <w:t>本项目严格遵循 ISO 13485 及 GB 9706.224-2021 标准研发，确保产品合规上市。</w:t>
      </w:r>
    </w:p>
    <w:p>
      <w:pPr>
        <w:pStyle w:val="Heading3"/>
      </w:pPr>
      <w:r>
        <w:t>1.3.1 专业术语</w:t>
      </w:r>
    </w:p>
    <w:p>
      <w:r>
        <w:rPr>
          <w:b/>
        </w:rPr>
        <w:t>FlexiPod V1</w:t>
      </w:r>
      <w:r>
        <w:t>为贴敷式胰岛素泵型号；</w:t>
      </w:r>
      <w:r>
        <w:rPr>
          <w:b/>
        </w:rPr>
        <w:t>SAL</w:t>
      </w:r>
      <w:r>
        <w:t>指灭菌后活微生物存在概率；</w:t>
      </w:r>
      <w:r>
        <w:rPr>
          <w:b/>
        </w:rPr>
        <w:t>CGM</w:t>
      </w:r>
      <w:r>
        <w:t>系支持数据联动的连续血糖监测系统；</w:t>
      </w:r>
      <w:r>
        <w:rPr>
          <w:b/>
        </w:rPr>
        <w:t>DMR</w:t>
      </w:r>
      <w:r>
        <w:t>即包含规格、图纸及工艺等全套生产文件的器械主记录。上述术语定义明确，确保项目开发过程规范统一，满足法规对关键概念界定的要求。</w:t>
      </w:r>
    </w:p>
    <w:p>
      <w:pPr>
        <w:pStyle w:val="Heading3"/>
      </w:pPr>
      <w:r>
        <w:t>1.3.2 常用缩写</w:t>
      </w:r>
    </w:p>
    <w:p>
      <w:r>
        <w:t>APP 为配套移动应用；BLE 指蓝牙低功耗协议；EMC 涵盖抗干扰与发射测试；FMEA 系失效模式分析，用于风险控制。</w:t>
      </w:r>
    </w:p>
    <w:p>
      <w:pPr>
        <w:pStyle w:val="Heading2"/>
      </w:pPr>
      <w:r>
        <w:t>1.4 文档结构与编写说明</w:t>
      </w:r>
    </w:p>
    <w:p>
      <w:r>
        <w:t>本章概述项目背景、目标及术语定义；第二章至第八章分别详述组织架构、交付物审批、假设约束、时间表、符合性策略、部门计划及风险管理要求。本计划书作为设计开发策划纲领文件，指导后续技术文档编写与评审。若项目范围或关键约束发生重大变更，须重新评审并更新版本。</w:t>
      </w:r>
    </w:p>
    <w:p>
      <w:pPr>
        <w:pStyle w:val="Heading1"/>
      </w:pPr>
      <w:r>
        <w:t>第2章 项目组织架构和沟通交流 Project Organization and Communication</w:t>
      </w:r>
    </w:p>
    <w:p>
      <w:pPr>
        <w:pStyle w:val="Heading2"/>
      </w:pPr>
      <w:r>
        <w:t>2.1 核心团队成员 Core Team Members</w:t>
      </w:r>
    </w:p>
    <w:p>
      <w:r>
        <w:t>本项目设立跨职能专项组，统筹研发、质量、法规及供应链资源。</w:t>
      </w:r>
      <w:r>
        <w:rPr>
          <w:b/>
        </w:rPr>
        <w:t>杨帆</w:t>
      </w:r>
      <w:r>
        <w:t>任项目经理负责整体进度；</w:t>
      </w:r>
      <w:r>
        <w:rPr>
          <w:b/>
        </w:rPr>
        <w:t>陈志敏</w:t>
      </w:r>
      <w:r>
        <w:t>任质量代表主导合规审查。研发部下设结构、电子、软件小组，针对Class C级软件配置专职架构师与安全测试工程师。法规组负责NMPA申报及临床评价策略；供应链团队负责关键物料选型与无菌包材采购；生产转化组负责工艺验证、洁净室确认及灭菌开发。</w:t>
      </w:r>
    </w:p>
    <w:p>
      <w:r>
        <w:t>主要角色职责与交付物如下表所示：</w:t>
      </w:r>
    </w:p>
    <w:p>
      <w:pPr>
        <w:pStyle w:val="Heading2"/>
      </w:pPr>
      <w:r>
        <w:t>2.2 项目人力资源 Project Resource</w:t>
      </w:r>
    </w:p>
    <w:p>
      <w:r>
        <w:t>本项目分五阶段投入资源：概念期3人/周完成调研；计划期5人/周输出设计输入；开发期40人/周实施结构、电路及Class C级软件编码；验证期25人/周执行精度、EMC及系统验证；确认期15人/周开展临床评价与灭菌包装确认。具体人力分配如下表：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开发阶段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机械结构 (人/天)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嵌入式软件 (人/天)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电子硬件 (人/天)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质量法规 (人/天)</w:t>
            </w:r>
          </w:p>
        </w:tc>
      </w:tr>
      <w:tr>
        <w:tc>
          <w:tcPr>
            <w:tcW w:type="dxa" w:w="1728"/>
          </w:tcPr>
          <w:p>
            <w:r>
              <w:t>概念阶段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计划阶段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开发阶段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验证阶段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确认阶段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/>
    <w:p>
      <w:r>
        <w:t>资源保障上，配置2名资深嵌入式工程师专注开环控制与网络安全；配2名结构工程师负责微型泵体、低敏胶贴及无菌屏障设计。各阶段结束前组织跨部门评审，重点审查软件安全等级符合性及生物相容性数据，确保合规推进。</w:t>
      </w:r>
    </w:p>
    <w:p>
      <w:pPr>
        <w:pStyle w:val="Heading2"/>
      </w:pPr>
      <w:r>
        <w:t>2.3 项目仪器设备 Project Instrument and Equipment</w:t>
      </w:r>
    </w:p>
    <w:p>
      <w:r>
        <w:t>本项目配置高精度丝网印刷机（定位精度≥5μm）用于柔性电路图案化；配备CO2激光切割机（速度≥300mm/s，最小线宽0.1mm）加工结构件。部署电化学工作站（电位±10V，分辨率1pA）验证灵敏度与稳定性；引入生物相容性分析仪执行ISO 10993系列标准测试。配置医用泄漏电流测试仪（精度±1%），依据GB 9706.1检测漏电流安全限值；配备EMC系统（频率9kHz-6GHz）验证辐射发射与抗扰度符合性。主要设备如下表所示：</w:t>
      </w:r>
    </w:p>
    <w:p>
      <w:pPr>
        <w:pStyle w:val="Heading2"/>
      </w:pPr>
      <w:r>
        <w:t>2.5 项目沟通交流 Project Communication</w:t>
      </w:r>
    </w:p>
    <w:p>
      <w:r>
        <w:t>本项目建立周例会制度，由项目经理杨帆主持，召集研发、质量、法规及供应链代表参加。会议重点跟踪跨职能接口问题，特别是软件 Class C 级安全控制与硬件开环逻辑的协同验证，并通报贴敷底座生物相容性（ISO 10993）与无菌包装确认等关键路径进度。在系统联调、注册检前准备阶段启动每日站会或作战室模式；作战室期间实行问题“日清日结”机制，确保输注精度偏差、蓝牙通信丢包等高风险项即时闭环。所有沟通记录及决策事项须形成会议纪要，纳入项目配置管理系统进行版本受控管理。主要会议安排如下表所示：</w:t>
      </w:r>
    </w:p>
    <w:p>
      <w:pPr>
        <w:pStyle w:val="Heading1"/>
      </w:pPr>
      <w:r>
        <w:t>第3章 项目交付物批准权威 Project Deliverable Approval Authority</w:t>
      </w:r>
    </w:p>
    <w:p>
      <w:pPr>
        <w:pStyle w:val="Heading2"/>
      </w:pPr>
      <w:r>
        <w:t>3.1 交付物定义与范围</w:t>
      </w:r>
    </w:p>
    <w:p>
      <w:r>
        <w:t>本项目交付物涵盖 FlexiPod V1 整机系统、配套移动软件、蓝牙协议文档、一次性无菌包装验证报告、设计历史文件（DHF）及生产主记录（DMR）。主要分类如下：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交付物类别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关键内容项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**设计输入**</w:t>
            </w:r>
          </w:p>
        </w:tc>
        <w:tc>
          <w:tcPr>
            <w:tcW w:type="dxa" w:w="2160"/>
          </w:tcPr>
          <w:p>
            <w:r>
              <w:t>用户需求说明书、系统需求规格书</w:t>
            </w:r>
          </w:p>
        </w:tc>
        <w:tc>
          <w:tcPr>
            <w:tcW w:type="dxa" w:w="2160"/>
          </w:tcPr>
          <w:p>
            <w:r>
              <w:t>计划/开发</w:t>
            </w:r>
          </w:p>
        </w:tc>
        <w:tc>
          <w:tcPr>
            <w:tcW w:type="dxa" w:w="2160"/>
          </w:tcPr>
          <w:p>
            <w:r>
              <w:t>含软件 Class C 安全要求</w:t>
            </w:r>
          </w:p>
        </w:tc>
      </w:tr>
      <w:tr>
        <w:tc>
          <w:tcPr>
            <w:tcW w:type="dxa" w:w="2160"/>
          </w:tcPr>
          <w:p>
            <w:r>
              <w:t>**设计输出**</w:t>
            </w:r>
          </w:p>
        </w:tc>
        <w:tc>
          <w:tcPr>
            <w:tcW w:type="dxa" w:w="2160"/>
          </w:tcPr>
          <w:p>
            <w:r>
              <w:t>图纸、BOM、源码、工艺文件</w:t>
            </w:r>
          </w:p>
        </w:tc>
        <w:tc>
          <w:tcPr>
            <w:tcW w:type="dxa" w:w="2160"/>
          </w:tcPr>
          <w:p>
            <w:r>
              <w:t>开发阶段</w:t>
            </w:r>
          </w:p>
        </w:tc>
        <w:tc>
          <w:tcPr>
            <w:tcW w:type="dxa" w:w="2160"/>
          </w:tcPr>
          <w:p>
            <w:r>
              <w:t>含无菌屏障系统设计</w:t>
            </w:r>
          </w:p>
        </w:tc>
      </w:tr>
      <w:tr>
        <w:tc>
          <w:tcPr>
            <w:tcW w:type="dxa" w:w="2160"/>
          </w:tcPr>
          <w:p>
            <w:r>
              <w:t>**验证报告**</w:t>
            </w:r>
          </w:p>
        </w:tc>
        <w:tc>
          <w:tcPr>
            <w:tcW w:type="dxa" w:w="2160"/>
          </w:tcPr>
          <w:p>
            <w:r>
              <w:t>安规/EMC/生物相容性/输注精度测试</w:t>
            </w:r>
          </w:p>
        </w:tc>
        <w:tc>
          <w:tcPr>
            <w:tcW w:type="dxa" w:w="2160"/>
          </w:tcPr>
          <w:p>
            <w:r>
              <w:t>验证阶段</w:t>
            </w:r>
          </w:p>
        </w:tc>
        <w:tc>
          <w:tcPr>
            <w:tcW w:type="dxa" w:w="2160"/>
          </w:tcPr>
          <w:p>
            <w:r>
              <w:t>覆盖 IPX8 防水及开环控制</w:t>
            </w:r>
          </w:p>
        </w:tc>
      </w:tr>
      <w:tr>
        <w:tc>
          <w:tcPr>
            <w:tcW w:type="dxa" w:w="2160"/>
          </w:tcPr>
          <w:p>
            <w:r>
              <w:t>**确认报告**</w:t>
            </w:r>
          </w:p>
        </w:tc>
        <w:tc>
          <w:tcPr>
            <w:tcW w:type="dxa" w:w="2160"/>
          </w:tcPr>
          <w:p>
            <w:r>
              <w:t>临床评价、可用性工程报告</w:t>
            </w:r>
          </w:p>
        </w:tc>
        <w:tc>
          <w:tcPr>
            <w:tcW w:type="dxa" w:w="2160"/>
          </w:tcPr>
          <w:p>
            <w:r>
              <w:t>确认阶段</w:t>
            </w:r>
          </w:p>
        </w:tc>
        <w:tc>
          <w:tcPr>
            <w:tcW w:type="dxa" w:w="2160"/>
          </w:tcPr>
          <w:p>
            <w:r>
              <w:t>含模拟与真实场景数据</w:t>
            </w:r>
          </w:p>
        </w:tc>
      </w:tr>
      <w:tr>
        <w:tc>
          <w:tcPr>
            <w:tcW w:type="dxa" w:w="2160"/>
          </w:tcPr>
          <w:p>
            <w:r>
              <w:t>**风险管理**</w:t>
            </w:r>
          </w:p>
        </w:tc>
        <w:tc>
          <w:tcPr>
            <w:tcW w:type="dxa" w:w="2160"/>
          </w:tcPr>
          <w:p>
            <w:r>
              <w:t>风险分析计划、FMEA、报告</w:t>
            </w:r>
          </w:p>
        </w:tc>
        <w:tc>
          <w:tcPr>
            <w:tcW w:type="dxa" w:w="2160"/>
          </w:tcPr>
          <w:p>
            <w:r>
              <w:t>全生命周期</w:t>
            </w:r>
          </w:p>
        </w:tc>
        <w:tc>
          <w:tcPr>
            <w:tcW w:type="dxa" w:w="2160"/>
          </w:tcPr>
          <w:p>
            <w:r>
              <w:t>依据 ISO 14971 执行</w:t>
            </w:r>
          </w:p>
        </w:tc>
      </w:tr>
      <w:tr>
        <w:tc>
          <w:tcPr>
            <w:tcW w:type="dxa" w:w="2160"/>
          </w:tcPr>
          <w:p>
            <w:r>
              <w:t>**注册资料**</w:t>
            </w:r>
          </w:p>
        </w:tc>
        <w:tc>
          <w:tcPr>
            <w:tcW w:type="dxa" w:w="2160"/>
          </w:tcPr>
          <w:p>
            <w:r>
              <w:t>产品技术要求、说明书、标签样稿</w:t>
            </w:r>
          </w:p>
        </w:tc>
        <w:tc>
          <w:tcPr>
            <w:tcW w:type="dxa" w:w="2160"/>
          </w:tcPr>
          <w:p>
            <w:r>
              <w:t>注册申报</w:t>
            </w:r>
          </w:p>
        </w:tc>
        <w:tc>
          <w:tcPr>
            <w:tcW w:type="dxa" w:w="2160"/>
          </w:tcPr>
          <w:p>
            <w:r>
              <w:t>符合 NMPA III 类要求</w:t>
            </w:r>
          </w:p>
        </w:tc>
      </w:tr>
    </w:tbl>
    <w:p/>
    <w:p>
      <w:pPr>
        <w:pStyle w:val="Heading2"/>
      </w:pPr>
      <w:r>
        <w:t>3.2 批准流程与权限</w:t>
      </w:r>
    </w:p>
    <w:p>
      <w:r>
        <w:t>所有设计开发交付物须由项目团队编制，经指定专家批准后生效。本项目严格遵循《设计控制程序》执行评审与审批。针对软件安全等级C级，需求、架构及测试报告须经独立于开发组的专家复核；涉及无菌屏障、灭菌工艺及生物相容性的关键交付物，需质量部与法规部双重签字。任何设计变更必须启动《变更控制程序》，经影响评估、验证确认及授权人批准后实施。</w:t>
      </w:r>
    </w:p>
    <w:p>
      <w:r>
        <w:t>主要交付物的审批职责与特殊要求如下表所示：</w:t>
      </w:r>
    </w:p>
    <w:p>
      <w:pPr>
        <w:pStyle w:val="Heading1"/>
      </w:pPr>
      <w:r>
        <w:t>第4章 关键假设、依赖和约束 Key Assumptions, Dependency and Constraint</w:t>
      </w:r>
    </w:p>
    <w:p>
      <w:pPr>
        <w:pStyle w:val="Heading2"/>
      </w:pPr>
      <w:r>
        <w:t>4.1 需求与时间依赖</w:t>
      </w:r>
    </w:p>
    <w:p>
      <w:r>
        <w:t>本项目假设产品锁定为成人皮下输注速效/短效胰岛素（U-100），开发期无根本变更。贴敷式结构、开环控制逻辑及 Class C 软件安全等级冻结后保持恒定。ID 造型须于概念阶段第 4 周前评审，否则任务顺延；系统架构依赖 ID 确认，若延期超 5 个工作日，硬件 PCB 与固件开发自动后移。关键依赖包括配套移动 APP（BLE 协议）与泵体主板同步联调，接口文档需在计划阶段第 6 周前锁定。无菌屏障包装设计与 EO 灭菌工艺验证依赖结构最终尺寸确认，ID 变更将导致包材模具重开及周期延长。主要依赖项及其影响如下表所示：</w:t>
      </w:r>
    </w:p>
    <w:p>
      <w:pPr>
        <w:pStyle w:val="Heading2"/>
      </w:pPr>
      <w:r>
        <w:t>4.2 资源与职能约束</w:t>
      </w:r>
    </w:p>
    <w:p>
      <w:r>
        <w:t>本项目受供应链、人力及法规资源严格约束。长周期物料（如定制微电机）需提前6个月备料，关键外购件交期控制在30天内，电池容量锁定为170mAh。软件团队须配置至少2名具备IEC 62304 Class C经验的全职工程师，严禁兼职开发核心算法。质量与法规代表需在概念、输入、输出及验证各阶段全程参与评审；注册检验前须完成全项内部审核并预留3周整改时间。临床评价方案须在计划阶段定稿，依赖第三方CRO配合进度。测试设备需提前预约生物相容性及EMC实验室档期。若关键物料缺货或资源未到位，将立即触发风险升级机制。所有跨部门协作任务需在周例会明确责任人及交付节点。设计转换阶段必须确保生产人员培训完成，否则禁止转入试产环节。职能部门须按阶段计划足额投入资源，严禁因兼职导致开发延期。</w:t>
      </w:r>
    </w:p>
    <w:p>
      <w:pPr>
        <w:pStyle w:val="Heading1"/>
      </w:pPr>
      <w:r>
        <w:t>第5章 项目时间表 Project Schedule</w:t>
      </w:r>
    </w:p>
    <w:p>
      <w:pPr>
        <w:pStyle w:val="Heading2"/>
      </w:pPr>
      <w:r>
        <w:t>5.1 阶段划分与里程碑</w:t>
      </w:r>
    </w:p>
    <w:p>
      <w:r>
        <w:t>本项目按五阶段推进：概念阶段完成调研与可行性分析；计划阶段确立设计输入基线并制定风险预案；开发阶段执行硬件、结构、Class C 软件编码及无菌工艺设计；确认阶段开展临床或性能评价以验证预期用途；上市阶段完成注册申报、获证并启动规模化生产。关键节点及交付物如下表所示：</w:t>
      </w:r>
    </w:p>
    <w:p>
      <w:pPr>
        <w:pStyle w:val="Heading2"/>
      </w:pPr>
      <w:r>
        <w:t>5.2 产品集成与验证路径</w:t>
      </w:r>
    </w:p>
    <w:p>
      <w:r>
        <w:t>原理样机（EVT）用于功能可行性评估与核心算法验证，不用于临床；试产样机（DVT/PVT）基于定型模具制造，专用于注册检验及临床试验。关键路径锁定为：需求冻结→软硬件集成→EMC/安规预测试→型式检验→临床评价。软件集成严格遵循 IEC 62304 Class C 要求，每轮迭代须完成单元测试与静态代码分析。开环控制策略验证重点覆盖基础率精度、大剂量响应时间及阻塞报警触发逻辑。无菌组件在洁净环境下最终组装，确保环氧乙烷灭菌前包装完整。各阶段样机类型、数量及核心任务如下表所示：</w:t>
      </w:r>
    </w:p>
    <w:p>
      <w:pPr>
        <w:pStyle w:val="Heading1"/>
      </w:pPr>
      <w:r>
        <w:t>第6章 符合性管理 Conformity Management</w:t>
      </w:r>
    </w:p>
    <w:p>
      <w:pPr>
        <w:pStyle w:val="Heading2"/>
      </w:pPr>
      <w:r>
        <w:t>6.1 通用符合性控制</w:t>
      </w:r>
    </w:p>
    <w:p>
      <w:r>
        <w:t>本项目建立全生命周期设计控制程序，构建需求追溯矩阵（RTM），在概念至确认各节点实施阶段评审。针对贴敷式胰岛素泵特性，重点管控开环逻辑、软件 Class C 安全等级及无菌屏障。所有变更须经影响分析、风险评估及重新验证，确保受控且记录完整。</w:t>
      </w:r>
    </w:p>
    <w:p>
      <w:r>
        <w:t>主要阶段活动与评审要求如下表所示：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关键活动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交付物示例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评审/批准要求</w:t>
            </w:r>
          </w:p>
        </w:tc>
      </w:tr>
      <w:tr>
        <w:tc>
          <w:tcPr>
            <w:tcW w:type="dxa" w:w="2160"/>
          </w:tcPr>
          <w:p>
            <w:r>
              <w:t>策划</w:t>
            </w:r>
          </w:p>
        </w:tc>
        <w:tc>
          <w:tcPr>
            <w:tcW w:type="dxa" w:w="2160"/>
          </w:tcPr>
          <w:p>
            <w:r>
              <w:t>制定项目与风险管理计划</w:t>
            </w:r>
          </w:p>
        </w:tc>
        <w:tc>
          <w:tcPr>
            <w:tcW w:type="dxa" w:w="2160"/>
          </w:tcPr>
          <w:p>
            <w:r>
              <w:t>设计开发计划书、风险管理计划</w:t>
            </w:r>
          </w:p>
        </w:tc>
        <w:tc>
          <w:tcPr>
            <w:tcW w:type="dxa" w:w="2160"/>
          </w:tcPr>
          <w:p>
            <w:r>
              <w:t>项目经理批准，质量部备案</w:t>
            </w:r>
          </w:p>
        </w:tc>
      </w:tr>
      <w:tr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转化用户需求为技术规格</w:t>
            </w:r>
          </w:p>
        </w:tc>
        <w:tc>
          <w:tcPr>
            <w:tcW w:type="dxa" w:w="2160"/>
          </w:tcPr>
          <w:p>
            <w:r>
              <w:t>产品技术要求、设计输入评审报告</w:t>
            </w:r>
          </w:p>
        </w:tc>
        <w:tc>
          <w:tcPr>
            <w:tcW w:type="dxa" w:w="2160"/>
          </w:tcPr>
          <w:p>
            <w:r>
              <w:t>跨部门评审，法规/质量签字确认</w:t>
            </w:r>
          </w:p>
        </w:tc>
      </w:tr>
      <w:tr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完成图纸、代码及工艺文件</w:t>
            </w:r>
          </w:p>
        </w:tc>
        <w:tc>
          <w:tcPr>
            <w:tcW w:type="dxa" w:w="2160"/>
          </w:tcPr>
          <w:p>
            <w:r>
              <w:t>DMR 初稿、软件需求规格书 (SRS)</w:t>
            </w:r>
          </w:p>
        </w:tc>
        <w:tc>
          <w:tcPr>
            <w:tcW w:type="dxa" w:w="2160"/>
          </w:tcPr>
          <w:p>
            <w:r>
              <w:t>研发负责人批准，关联追溯性检查</w:t>
            </w:r>
          </w:p>
        </w:tc>
      </w:tr>
      <w:tr>
        <w:tc>
          <w:tcPr>
            <w:tcW w:type="dxa" w:w="2160"/>
          </w:tcPr>
          <w:p>
            <w:r>
              <w:t>验证</w:t>
            </w:r>
          </w:p>
        </w:tc>
        <w:tc>
          <w:tcPr>
            <w:tcW w:type="dxa" w:w="2160"/>
          </w:tcPr>
          <w:p>
            <w:r>
              <w:t>执行单元与集成测试及安规预检</w:t>
            </w:r>
          </w:p>
        </w:tc>
        <w:tc>
          <w:tcPr>
            <w:tcW w:type="dxa" w:w="2160"/>
          </w:tcPr>
          <w:p>
            <w:r>
              <w:t>设计验证报告、EMC/安规预检记录</w:t>
            </w:r>
          </w:p>
        </w:tc>
        <w:tc>
          <w:tcPr>
            <w:tcW w:type="dxa" w:w="2160"/>
          </w:tcPr>
          <w:p>
            <w:r>
              <w:t>独立工程师复核</w:t>
            </w:r>
          </w:p>
        </w:tc>
      </w:tr>
      <w:tr>
        <w:tc>
          <w:tcPr>
            <w:tcW w:type="dxa" w:w="2160"/>
          </w:tcPr>
          <w:p>
            <w:r>
              <w:t>确认</w:t>
            </w:r>
          </w:p>
        </w:tc>
        <w:tc>
          <w:tcPr>
            <w:tcW w:type="dxa" w:w="2160"/>
          </w:tcPr>
          <w:p>
            <w:r>
              <w:t>开展临床或性能评价</w:t>
            </w:r>
          </w:p>
        </w:tc>
        <w:tc>
          <w:tcPr>
            <w:tcW w:type="dxa" w:w="2160"/>
          </w:tcPr>
          <w:p>
            <w:r>
              <w:t>设计确认报告、临床评价资料</w:t>
            </w:r>
          </w:p>
        </w:tc>
        <w:tc>
          <w:tcPr>
            <w:tcW w:type="dxa" w:w="2160"/>
          </w:tcPr>
          <w:p>
            <w:r>
              <w:t>医学专家及法规代表联合批准</w:t>
            </w:r>
          </w:p>
        </w:tc>
      </w:tr>
    </w:tbl>
    <w:p/>
    <w:p>
      <w:pPr>
        <w:pStyle w:val="Heading2"/>
      </w:pPr>
      <w:r>
        <w:t>6.2 软件专项管理</w:t>
      </w:r>
    </w:p>
    <w:p>
      <w:r>
        <w:t>本项目针对 Class C 级软件全生命周期执行专项开发计划，覆盖需求、设计、编码及测试环节。通过独立网络安全风险评估识别威胁；实施静态代码分析与动态模糊测试，确保固件无缓冲区溢出。定义缺陷分级标准（致命/严重/一般）并规定响应时限与修复要求。严格执行配置管理，对源代码、工具链及第三方组件进行唯一标识与受控变更。主要管控活动及交付物如下表所示：</w:t>
      </w:r>
    </w:p>
    <w:p>
      <w:pPr>
        <w:pStyle w:val="Heading1"/>
      </w:pPr>
      <w:r>
        <w:t>第7章 资源规划 Resource Planning</w:t>
      </w:r>
    </w:p>
    <w:p>
      <w:pPr>
        <w:pStyle w:val="Heading2"/>
      </w:pPr>
      <w:r>
        <w:t>7.1 概述 Overview</w:t>
      </w:r>
    </w:p>
    <w:p>
      <w:r>
        <w:t>本章针对贴敷式胰岛素泵（型号：KF-GS1 Plus-1-0002），规划人力、场地、设备及检验四大要素。鉴于本产品属三类有源器械，具备软件安全等级C级、依赖高精度开环算法及无菌提供等特征，资源配置须严格满足NMPA注册申报及GMP体系标准。本规划通过量化各阶段资源投入阈值，确保人员资质、场地洁净度、工艺精度及检测灵敏度达标，旨在消除因资源瓶颈导致的设计延期或验证失效风险，保障产品从概念设计至批量生产的顺利转化。</w:t>
      </w:r>
    </w:p>
    <w:p>
      <w:pPr>
        <w:pStyle w:val="Heading2"/>
      </w:pPr>
      <w:r>
        <w:t>7.2 人力资源需求 Human Resource Requirements</w:t>
      </w:r>
    </w:p>
    <w:p>
      <w:r>
        <w:t>针对贴敷式胰岛素泵的高技术壁垒，项目组组建18人跨学科专职团队，严格遵循“能力匹配、职责清晰”原则，重点强化软件算法、精密机械及无菌工艺领域配置。研发端配备2名资深嵌入式软件工程师（精通C/C++及RTOS），负责开环控制算法编写与验证，确保输注精度误差控制在±5%以内；另设1名专职网络安全工程师，依据IEC 62304标准开展软件架构设计与威胁建模。结构与工艺端配置2名具备微流控或微型泵设计经验的精密机械设计师，以及1名灭菌工艺工程师，主导EO/辐照灭菌验证及药液相容性研究。质量与法规团队包含1名熟悉三类器械申报流程的注册专员、1名QA经理及2名测试工程师，负责全生命周期合规管控。所有关键岗位人员须持有相关内审员证书或具备3年以上同类产品开发经验，并在项目启动前完成针对电池热失控、药液结晶堵塞等特定风险点的专项培训与考核，确保团队胜任力满足三类医疗器械开发的高标准要求。</w:t>
      </w:r>
    </w:p>
    <w:p>
      <w:r>
        <w:t>主要岗位配置及职责如下表所示：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岗位角色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核心职责描述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资质/经验要求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项目经理 (PM)</w:t>
            </w:r>
          </w:p>
        </w:tc>
        <w:tc>
          <w:tcPr>
            <w:tcW w:type="dxa" w:w="1728"/>
          </w:tcPr>
          <w:p>
            <w:r>
              <w:t>统筹项目进度、资源协调、风险管理及跨部门沟通，对交付质量负总责。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PMP认证，5年以上三类有源器械项目管理经验，熟悉NMPA法规。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系统架构师</w:t>
            </w:r>
          </w:p>
        </w:tc>
        <w:tc>
          <w:tcPr>
            <w:tcW w:type="dxa" w:w="1728"/>
          </w:tcPr>
          <w:p>
            <w:r>
              <w:t>定义系统需求、软硬件接口协议、开环控制逻辑框架及网络安全策略。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硕士及以上学历，精通医疗器械系统工程，具备C级软件架构设计经验。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嵌入式软件工程师</w:t>
            </w:r>
          </w:p>
        </w:tc>
        <w:tc>
          <w:tcPr>
            <w:tcW w:type="dxa" w:w="1728"/>
          </w:tcPr>
          <w:p>
            <w:r>
              <w:t>负责电机驱动算法、蓝牙通信协议栈开发、低功耗设计及代码静态分析。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5年以上MCU开发经验，熟悉RTOS，掌握IEC 62304标准及ASPICE流程。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硬件电子工程师</w:t>
            </w:r>
          </w:p>
        </w:tc>
        <w:tc>
          <w:tcPr>
            <w:tcW w:type="dxa" w:w="1728"/>
          </w:tcPr>
          <w:p>
            <w:r>
              <w:t>负责PCB设计（含射频天线布局）、电源管理电路设计及EMC整改方案。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7.3 生产场地需求 Production Site Requirements</w:t>
      </w:r>
    </w:p>
    <w:p>
      <w:r>
        <w:t>本项目生产场地严格遵循《医疗器械生产质量管理规范》附录无菌要求，划分为一般控制区（D级）与洁净核心区（B级背景下的A级层流）。总占地约1200平方米，含300平方米研发试制车间及900平方米量产车间。精密组装区设局部百级（ISO 5）层流罩，压差≥10Pa；灭菌前暂存与包装区维持B级背景下的C级环境（ISO 7）；无菌屏障测试区为独立恒温恒湿空间（20-24℃，45%-60%），用于EO残留检测；仓储区分设原料、半成品及成品库，原料库具备阴凉储存条件（10-30℃）并配自动记录系统。</w:t>
      </w:r>
    </w:p>
    <w:p>
      <w:r>
        <w:t>全场布局遵循人流物流分离原则，设置缓冲间与更衣室，严格执行人员净化程序。地面采用环氧树脂自流平，墙面使用彩钢板，确保无死角且易清洁。针对贴敷式胰岛素泵电池安全特性，生产区配备独立防爆电气设施及气体灭火系统以应对锂电池风险。各区域具体参数与功能规划如下表所示：</w:t>
      </w:r>
    </w:p>
    <w:p>
      <w:pPr>
        <w:pStyle w:val="Heading2"/>
      </w:pPr>
      <w:r>
        <w:t>7.4 生产设备需求 Production Equipment Requirements</w:t>
      </w:r>
    </w:p>
    <w:p>
      <w:r>
        <w:t>为满足贴敷式胰岛素泵高精度制造与无菌保障要求，生产设备及工装须具备极高稳定性与可追溯性。核心设备包括：精密点胶系统用于药液流道密封及结构件粘接，需具备微米级精度（重复定位±0.01mm）并配备视觉对位以防污染；自动化组装线集成机械手与传感器，实现泵体、电机及控制板自动装配，节拍控制在30秒/台以内且具防错功能；激光焊接设备用于外壳密封，配置实时熔深监控以确保焊缝气密性满足IPX7防水要求。</w:t>
      </w:r>
    </w:p>
    <w:p>
      <w:r>
        <w:t>灭菌环节采用环氧乙烷（EO）灭菌柜或委托资质第三方进行辐照灭菌。若自建EO线，须配置解析室确保残留量&lt;10μg/g。老化测试设备配备多通道老化架，模拟电池充放电及电机工况，执行72小时连续筛选以剔除早期失效品。所有关键设备均需建立档案、实施预防性维护并定期计量校准。针对开环控制特性，需配置专用软件烧录与校验工装，确保固件版本一致且通过完整性校验。</w:t>
      </w:r>
    </w:p>
    <w:p>
      <w:r>
        <w:t>主要生产设备清单如下表所示：</w:t>
      </w:r>
    </w:p>
    <w:p>
      <w:pPr>
        <w:pStyle w:val="Heading2"/>
      </w:pPr>
      <w:r>
        <w:t>7.5 检验设备需求 Inspection Equipment Requirements</w:t>
      </w:r>
    </w:p>
    <w:p>
      <w:r>
        <w:t>为确保贴敷式胰岛素泵符合三类医疗器械严苛标准，检验资源配置需覆盖电气安全、机械性能、软件功能及生物安全性四大维度。重点配置以下关键设备：高精度输注精度测试仪，流量范围0.1-50 mL/h，分辨率0.001 mL/h，精度优于±0.2%，用于验证开环控制下的基础率与波速输注准确性；医用电气安规综合测试仪，符合GB 9706.1-2020标准，具备漏电流、介电强度及接地电阻自动测试功能；电磁兼容（EMC）测试系统，包含静电放电模拟器（ESD）、射频辐射抗扰度测试仪及传导骚扰接收机，确保复杂电磁环境下稳定运行；气相色谱仪 (GC)，配备顶空进样器与FID检测器，检出限&lt;0.1ppm，专用于环氧乙烷残留量检测及材料析出物分析；环境可靠性试验箱，宽温范围-20℃~80℃，湿度控制10%~95% RH，具备振动、跌落模拟功能；软件自动化测试平台，支持单元测试、集成测试及回归测试，代码覆盖率≥90%，满足C级软件开发验证要求。</w:t>
      </w:r>
    </w:p>
    <w:p>
      <w:r>
        <w:t>所有检验设备均纳入公司计量管理体系，定期由第三方机构校准并张贴状态标识。针对输注精度等关键指标，建立内部比对机制以确保数据准确可追溯。主要资源配置如下表所示：</w:t>
      </w:r>
    </w:p>
    <w:p>
      <w:pPr>
        <w:pStyle w:val="Heading2"/>
      </w:pPr>
      <w:r>
        <w:t>7.6 总结 Summary</w:t>
      </w:r>
    </w:p>
    <w:p>
      <w:r>
        <w:t>本章节针对贴敷式胰岛素泵（KF-GS1 Plus-1-0002），从人力、场地、生产及检验四维度量化配置资源。通过引入C级软件架构人才、构建ISO 5/7洁净环境、采购微米级设备及建立灭菌验证体系，确保项目具备应对三类器械高风险特性的能力。规划覆盖设计输入至注册申报全流程，针对开环控制精度、无菌保障及电磁兼容等瓶颈制定专项措施，为顺利通过NMPA审查奠定基础。</w:t>
      </w:r>
    </w:p>
    <w:p>
      <w:r>
        <w:rPr>
          <w:b/>
        </w:rPr>
        <w:t>7.2 人力资源需求</w:t>
      </w:r>
    </w:p>
    <w:p>
      <w:r>
        <w:t>配置9个关键岗位：项目经理（5年以上三类有源器械经验）、系统架构师（精通RTOS及C级软件标准）、网络安全工程师（熟悉ISO/IEC 81001-5-1），以及硬件、软件、工艺、灭菌、质量与注册专员。各岗位协同保障产品全生命周期合规。</w:t>
      </w:r>
    </w:p>
    <w:p>
      <w:r>
        <w:rPr>
          <w:b/>
        </w:rPr>
        <w:t>7.3 生产场地需求</w:t>
      </w:r>
    </w:p>
    <w:p>
      <w:r>
        <w:t>生产区划分为ISO 5级核心组装区与ISO 7级辅助区，总面积满足产能。环境控制严格执行：温度20-24℃、相对湿度45%-65%、压差梯度≥10Pa。布局遵循人流物流分离原则，防止交叉污染。</w:t>
      </w:r>
    </w:p>
    <w:p>
      <w:r>
        <w:rPr>
          <w:b/>
        </w:rPr>
        <w:t>7.4 生产设备需求</w:t>
      </w:r>
    </w:p>
    <w:p>
      <w:r>
        <w:t>关键设备清单及参数如下表所示：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规格型号/性能指标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用途说明</w:t>
            </w:r>
          </w:p>
        </w:tc>
      </w:tr>
      <w:tr>
        <w:tc>
          <w:tcPr>
            <w:tcW w:type="dxa" w:w="2160"/>
          </w:tcPr>
          <w:p>
            <w:r>
              <w:t>视觉点胶机</w:t>
            </w:r>
          </w:p>
        </w:tc>
        <w:tc>
          <w:tcPr>
            <w:tcW w:type="dxa" w:w="2160"/>
          </w:tcPr>
          <w:p>
            <w:r>
              <w:t>定位精度±0.01mm，重复精度±0.005mm</w:t>
            </w:r>
          </w:p>
        </w:tc>
        <w:tc>
          <w:tcPr>
            <w:tcW w:type="dxa" w:w="2160"/>
          </w:tcPr>
          <w:p>
            <w:r>
              <w:t>2台</w:t>
            </w:r>
          </w:p>
        </w:tc>
        <w:tc>
          <w:tcPr>
            <w:tcW w:type="dxa" w:w="2160"/>
          </w:tcPr>
          <w:p>
            <w:r>
              <w:t>精密组件粘接与密封</w:t>
            </w:r>
          </w:p>
        </w:tc>
      </w:tr>
      <w:tr>
        <w:tc>
          <w:tcPr>
            <w:tcW w:type="dxa" w:w="2160"/>
          </w:tcPr>
          <w:p>
            <w:r>
              <w:t>激光焊接机</w:t>
            </w:r>
          </w:p>
        </w:tc>
        <w:tc>
          <w:tcPr>
            <w:tcW w:type="dxa" w:w="2160"/>
          </w:tcPr>
          <w:p>
            <w:r>
              <w:t>功率稳定性±1%，焊缝宽度0.1-0.3mm可调</w:t>
            </w:r>
          </w:p>
        </w:tc>
        <w:tc>
          <w:tcPr>
            <w:tcW w:type="dxa" w:w="2160"/>
          </w:tcPr>
          <w:p>
            <w:r>
              <w:t>1台</w:t>
            </w:r>
          </w:p>
        </w:tc>
        <w:tc>
          <w:tcPr>
            <w:tcW w:type="dxa" w:w="2160"/>
          </w:tcPr>
          <w:p>
            <w:r>
              <w:t>外壳气密性焊接</w:t>
            </w:r>
          </w:p>
        </w:tc>
      </w:tr>
      <w:tr>
        <w:tc>
          <w:tcPr>
            <w:tcW w:type="dxa" w:w="2160"/>
          </w:tcPr>
          <w:p>
            <w:r>
              <w:t>自动化组装线</w:t>
            </w:r>
          </w:p>
        </w:tc>
        <w:tc>
          <w:tcPr>
            <w:tcW w:type="dxa" w:w="2160"/>
          </w:tcPr>
          <w:p>
            <w:r>
              <w:t>节拍≤45秒/件，良率≥98%</w:t>
            </w:r>
          </w:p>
        </w:tc>
        <w:tc>
          <w:tcPr>
            <w:tcW w:type="dxa" w:w="2160"/>
          </w:tcPr>
          <w:p>
            <w:r>
              <w:t>1条</w:t>
            </w:r>
          </w:p>
        </w:tc>
        <w:tc>
          <w:tcPr>
            <w:tcW w:type="dxa" w:w="2160"/>
          </w:tcPr>
          <w:p>
            <w:r>
              <w:t>核心模块自动化装配</w:t>
            </w:r>
          </w:p>
        </w:tc>
      </w:tr>
    </w:tbl>
    <w:p/>
    <w:p>
      <w:r>
        <w:rPr>
          <w:b/>
        </w:rPr>
        <w:t>7.5 检验设备需求</w:t>
      </w:r>
    </w:p>
    <w:p>
      <w:r>
        <w:t>检测设备聚焦开环控制验证与生物安全性评价。</w:t>
      </w:r>
    </w:p>
    <w:p>
      <w:pPr>
        <w:pStyle w:val="Heading1"/>
      </w:pPr>
      <w:r>
        <w:t>第8章 风险分析与应对 Risk Analysis and Response</w:t>
      </w:r>
    </w:p>
    <w:p>
      <w:pPr>
        <w:pStyle w:val="Heading2"/>
      </w:pPr>
      <w:r>
        <w:t>8.1 概述</w:t>
      </w:r>
    </w:p>
    <w:p>
      <w:r>
        <w:t>本章构建贴敷式胰岛素泵（型号：KF-GS1 Plus-1-0002）全生命周期风险管控体系，聚焦技术、知识产权及临床应用维度。针对软件安全等级C级开环有源且无菌提供的特性，管理深入算法鲁棒性、电机冗余及无菌屏障完整性。本章采用量化参数（发生概率P、严重度S、风险值RPN）与工程控制措施，确立从设计到上市后监测的动态闭环。遵循“预防优于检测”策略，针对输注精度偏差、电池失效、软件逻辑错误及临床误操作制定指标：输注偏差≤±5%、阻塞响应&lt;30秒。确保关键风险在研发早期识别并降至可接受水平，为产品安全有效上市提供决策依据。</w:t>
      </w:r>
    </w:p>
    <w:p>
      <w:pPr>
        <w:pStyle w:val="Heading2"/>
      </w:pPr>
      <w:r>
        <w:t>8.2 技术风险 (Technical Risk)</w:t>
      </w:r>
    </w:p>
    <w:p>
      <w:r>
        <w:t>技术风险聚焦于硬件驱动、软件算法、电气安全及无菌工艺等工程实现的不确定性。鉴于贴敷式胰岛素泵“开环控制”特性，微小剂量误差或设备停摆可能引发低血糖昏迷等严重后果。本小节将风险细分为输注精度、电源可靠性、软件C级安全性及无菌屏障完整性四大领域，采用失效模式与影响分析（FMEA）进行量化评估。针对高风险项（RPN≥20），实施硬件冗余或软件多重校验；中风险项通过设计优化降低发生概率。电机驱动引入霍尔传感器双重反馈以消除失步；软件逻辑执行静态代码分析与故障注入测试。所有措施均经严格验证与确认（V&amp;V），确保在-10℃至45℃极端环境及全生命周期内满足设计要求。</w:t>
      </w:r>
    </w:p>
    <w:p>
      <w:r>
        <w:t>主要技术风险分析、控制策略及具体技术指标如下表所示：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发生概率 P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严重度 S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风险值 RPN (P×S)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控制措施与具体技术指标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234"/>
          </w:tcPr>
          <w:p>
            <w:r>
              <w:t>**T01**</w:t>
            </w:r>
          </w:p>
        </w:tc>
        <w:tc>
          <w:tcPr>
            <w:tcW w:type="dxa" w:w="1234"/>
          </w:tcPr>
          <w:p>
            <w:r>
              <w:t>**输注剂量偏差超标**：因电机失步、管路气泡或算法错误，导致实际输注量与设定值偏差超过±10%，引发低血糖或酮症酸中毒。</w:t>
            </w:r>
          </w:p>
        </w:tc>
        <w:tc>
          <w:tcPr>
            <w:tcW w:type="dxa" w:w="1234"/>
          </w:tcPr>
          <w:p>
            <w:r>
              <w:t>3 (偶尔)</w:t>
            </w:r>
          </w:p>
        </w:tc>
        <w:tc>
          <w:tcPr>
            <w:tcW w:type="dxa" w:w="1234"/>
          </w:tcPr>
          <w:p>
            <w:r>
              <w:t>5 (灾难性)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**设计控制**：采用闭环反馈步进电机系统，集成霍尔传感器实时监测转子位置并双重校验；软件增加“剂量 - 时间”逻辑校验及突变值过滤。&lt;br&gt;**验证指标**：全量程（0.02U/h-80U/h）输注精度偏差≤±5%；气泡体积≥0.5μL时可靠报警；阻塞检测响应时间&lt;30秒。</w:t>
            </w:r>
          </w:p>
        </w:tc>
        <w:tc>
          <w:tcPr>
            <w:tcW w:type="dxa" w:w="1234"/>
          </w:tcPr>
          <w:p>
            <w:r>
              <w:t>硬件研发经理&lt;br&gt;软件架构师</w:t>
            </w:r>
          </w:p>
        </w:tc>
      </w:tr>
      <w:tr>
        <w:tc>
          <w:tcPr>
            <w:tcW w:type="dxa" w:w="1234"/>
          </w:tcPr>
          <w:p>
            <w:r>
              <w:t>**T02**</w:t>
            </w:r>
          </w:p>
        </w:tc>
        <w:tc>
          <w:tcPr>
            <w:tcW w:type="dxa" w:w="1234"/>
          </w:tcPr>
          <w:p>
            <w:r>
              <w:t>**电池续航失效与意外断电**：因电量耗尽、接触不良或低温导致设备停止工作，造成胰岛素中断输注超过1小时，引发高血糖危象。</w:t>
            </w:r>
          </w:p>
        </w:tc>
        <w:tc>
          <w:tcPr>
            <w:tcW w:type="dxa" w:w="1234"/>
          </w:tcPr>
          <w:p>
            <w:r>
              <w:t>3 (偶尔)</w:t>
            </w:r>
          </w:p>
        </w:tc>
        <w:tc>
          <w:tcPr>
            <w:tcW w:type="dxa" w:w="1234"/>
          </w:tcPr>
          <w:p>
            <w:r>
              <w:t>4 (严重)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**设计控制**：采用大容量锂电池配合低功耗架构，确保满负荷运行续航≥72小时；设置三级电量预警（30%/15%/5%），提前48小时报警。&lt;br&gt;**验证指标**：在-20℃至55℃环境下，寿命末期电池容量保持率≥80%；模拟断电后系统自动保存状态并切换安全模式。</w:t>
            </w:r>
          </w:p>
        </w:tc>
        <w:tc>
          <w:tcPr>
            <w:tcW w:type="dxa" w:w="1234"/>
          </w:tcPr>
          <w:p>
            <w:r>
              <w:t>电源工程师&lt;br&gt;嵌入式软件负责人</w:t>
            </w:r>
          </w:p>
        </w:tc>
      </w:tr>
      <w:tr>
        <w:tc>
          <w:tcPr>
            <w:tcW w:type="dxa" w:w="1234"/>
          </w:tcPr>
          <w:p>
            <w:r>
              <w:t>**T03**</w:t>
            </w:r>
          </w:p>
        </w:tc>
        <w:tc>
          <w:tcPr>
            <w:tcW w:type="dxa" w:w="1234"/>
          </w:tcPr>
          <w:p>
            <w:r>
              <w:t>**软件C级逻辑缺陷与死机**：因代码错误、EMC干扰导致数据位翻转或看门狗失效，造成设备持续输注（过量）或停止输注。</w:t>
            </w:r>
          </w:p>
        </w:tc>
        <w:tc>
          <w:tcPr>
            <w:tcW w:type="dxa" w:w="1234"/>
          </w:tcPr>
          <w:p>
            <w:r>
              <w:t>2 (很少)</w:t>
            </w:r>
          </w:p>
        </w:tc>
        <w:tc>
          <w:tcPr>
            <w:tcW w:type="dxa" w:w="1234"/>
          </w:tcPr>
          <w:p>
            <w:r>
              <w:t>5 (灾难性)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**设计控制**：遵循IEC 62304 C级标准，实施静态代码分析、形式化验证及双核冗余架构；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8.3 专利风险 (Patent Risk)</w:t>
      </w:r>
    </w:p>
    <w:p>
      <w:r>
        <w:t>专利风险涉及核心技术、结构创新及算法逻辑可能侵犯他人专利权，或自身成果未获保护导致竞争力丧失。鉴于贴敷式胰岛素泵市场竞争激烈，涵盖精密机械传动、无线通讯协议及血糖控制算法等高密集技术领域，本项目采取“防御与进攻并重”策略：启动前开展全面 FTO（自由实施）分析，排查微型泵体结构、快速换针机构及关键算法的专利壁垒；研发中建立动态监控机制，实时跟踪竞品技术路线并调整规避方案；针对独特贴敷固定结构、低功耗通讯协议及自适应输注算法等创新点，制定分阶段专利申请计划，确保上市前完成布局。所有风险由法务与研发负责人共同评估，高风险项须启动替代设计或寻求授权，确保合规推进。</w:t>
      </w:r>
    </w:p>
    <w:p>
      <w:r>
        <w:t>具体控制措施、参数指标及责任分工如下表所示：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发生概率 P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严重度 S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风险值 RPN (P×S)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控制措施与执行策略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234"/>
          </w:tcPr>
          <w:p>
            <w:r>
              <w:t>**P01**</w:t>
            </w:r>
          </w:p>
        </w:tc>
        <w:tc>
          <w:tcPr>
            <w:tcW w:type="dxa" w:w="1234"/>
          </w:tcPr>
          <w:p>
            <w:r>
              <w:t>**核心结构专利侵权**：微型步进电机驱动或快速换针装置落入他人专利范围，导致无法上市或被诉。</w:t>
            </w:r>
          </w:p>
        </w:tc>
        <w:tc>
          <w:tcPr>
            <w:tcW w:type="dxa" w:w="1234"/>
          </w:tcPr>
          <w:p>
            <w:r>
              <w:t>3 (偶尔)</w:t>
            </w:r>
          </w:p>
        </w:tc>
        <w:tc>
          <w:tcPr>
            <w:tcW w:type="dxa" w:w="1234"/>
          </w:tcPr>
          <w:p>
            <w:r>
              <w:t>5 (灾难性)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**规避设计**：立项前完成 FTO 分析，针对齿轮传动比、卡扣结构等高风险点仿真并制定替代方案；建立规避数据库。&lt;br&gt;**指标**：关键结构检索覆盖率 100%；高风险规避方案通过率≥95%。</w:t>
            </w:r>
          </w:p>
        </w:tc>
        <w:tc>
          <w:tcPr>
            <w:tcW w:type="dxa" w:w="1234"/>
          </w:tcPr>
          <w:p>
            <w:r>
              <w:t>知识产权专员&lt;br&gt;结构研发经理</w:t>
            </w:r>
          </w:p>
        </w:tc>
      </w:tr>
      <w:tr>
        <w:tc>
          <w:tcPr>
            <w:tcW w:type="dxa" w:w="1234"/>
          </w:tcPr>
          <w:p>
            <w:r>
              <w:t>**P02**</w:t>
            </w:r>
          </w:p>
        </w:tc>
        <w:tc>
          <w:tcPr>
            <w:tcW w:type="dxa" w:w="1234"/>
          </w:tcPr>
          <w:p>
            <w:r>
              <w:t>**算法逻辑侵权风险**：血糖控制算法、剂量模型或通讯加密协议侵犯他人著作权或方法专利，导致审查不通过或被禁售。</w:t>
            </w:r>
          </w:p>
        </w:tc>
        <w:tc>
          <w:tcPr>
            <w:tcW w:type="dxa" w:w="1234"/>
          </w:tcPr>
          <w:p>
            <w:r>
              <w:t>2 (很少)</w:t>
            </w:r>
          </w:p>
        </w:tc>
        <w:tc>
          <w:tcPr>
            <w:tcW w:type="dxa" w:w="1234"/>
          </w:tcPr>
          <w:p>
            <w:r>
              <w:t>4 (严重)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**自主开发**：核心算法自研，严禁引用受限开源模块；关键逻辑经第三方独立审计。&lt;br&gt;**指标**：代码原创性声明覆盖率 100%；申请软件专利≥3 项（含流程、数据结构）。</w:t>
            </w:r>
          </w:p>
        </w:tc>
        <w:tc>
          <w:tcPr>
            <w:tcW w:type="dxa" w:w="1234"/>
          </w:tcPr>
          <w:p>
            <w:r>
              <w:t>软件架构师&lt;br&gt;法务经理</w:t>
            </w:r>
          </w:p>
        </w:tc>
      </w:tr>
      <w:tr>
        <w:tc>
          <w:tcPr>
            <w:tcW w:type="dxa" w:w="1234"/>
          </w:tcPr>
          <w:p>
            <w:r>
              <w:t>**P03**</w:t>
            </w:r>
          </w:p>
        </w:tc>
        <w:tc>
          <w:tcPr>
            <w:tcW w:type="dxa" w:w="1234"/>
          </w:tcPr>
          <w:p>
            <w:r>
              <w:t>**核心技术泄露与未保护**：因人员流动或管理不当导致图纸、源码泄露，或被竞品抢先申请。</w:t>
            </w:r>
          </w:p>
        </w:tc>
        <w:tc>
          <w:tcPr>
            <w:tcW w:type="dxa" w:w="1234"/>
          </w:tcPr>
          <w:p>
            <w:r>
              <w:t>2 (很少)</w:t>
            </w:r>
          </w:p>
        </w:tc>
        <w:tc>
          <w:tcPr>
            <w:tcW w:type="dxa" w:w="1234"/>
          </w:tcPr>
          <w:p>
            <w:r>
              <w:t>4 (严重)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**保密机制**：实施分级权限，核心资料加密存储；全员签署竞业限制及保密协议（NDA）。&lt;br&gt;**指标**：专利申请早于发布前 6 个月提交；文档访问日志审计覆盖率 100%。</w:t>
            </w:r>
          </w:p>
        </w:tc>
        <w:tc>
          <w:tcPr>
            <w:tcW w:type="dxa" w:w="1234"/>
          </w:tcPr>
          <w:p>
            <w:r>
              <w:t>研发总监&lt;br&gt;信息安全专员</w:t>
            </w:r>
          </w:p>
        </w:tc>
      </w:tr>
    </w:tbl>
    <w:p/>
    <w:p>
      <w:pPr>
        <w:pStyle w:val="Heading2"/>
      </w:pPr>
      <w:r>
        <w:t>8.4 临床风险 (Clinical Risk)</w:t>
      </w:r>
    </w:p>
    <w:p>
      <w:r>
        <w:t>临床风险聚焦真实医疗场景安全性，涵盖误操作、适应症偏差、特殊人群适用性及人机交互缺陷。作为患者自管的“开环”设备，贴敷式胰岛素泵缺乏实时干预，对易用性与容错性要求极高。本小节重点分析因教育不足、界面误导或环境干扰导致的剂量错误风险。依据人因工程原则，将通过可用性测试识别潜在使用错误，并制定防误触设计、强化报警逻辑及优化说明书等控制措施。同时评估儿童、老年人及皮肤敏感者的贴敷舒适度与过敏风险。所有措施需结合模拟使用测试和临床试验验证，确保受益显著大于残留风险。</w:t>
      </w:r>
    </w:p>
    <w:p>
      <w:r>
        <w:t>主要临床风险分析与控制策略如下表所示：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发生概率 P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严重度 S (1-5)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风险值 RPN (P×S)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控制措施与具体执行策略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234"/>
          </w:tcPr>
          <w:p>
            <w:r>
              <w:t>**C01**</w:t>
            </w:r>
          </w:p>
        </w:tc>
        <w:tc>
          <w:tcPr>
            <w:tcW w:type="dxa" w:w="1234"/>
          </w:tcPr>
          <w:p>
            <w:r>
              <w:t>**用户误操作导致剂量错误**：因界面复杂、按键混淆或忽视报警，致输注速率或基础率设置错误，引发低/高血糖。</w:t>
            </w:r>
          </w:p>
        </w:tc>
        <w:tc>
          <w:tcPr>
            <w:tcW w:type="dxa" w:w="1234"/>
          </w:tcPr>
          <w:p>
            <w:r>
              <w:t>3 (偶尔)</w:t>
            </w:r>
          </w:p>
        </w:tc>
        <w:tc>
          <w:tcPr>
            <w:tcW w:type="dxa" w:w="1234"/>
          </w:tcPr>
          <w:p>
            <w:r>
              <w:t>5 (灾难性)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**人因工程优化**：简化 UI 流程，关键参数修改需二次确认；设计防误触物理及逻辑锁。&lt;br&gt;**验证指标**：严重使用错误率&lt;1%；报警响应时间≤30 秒。</w:t>
            </w:r>
          </w:p>
        </w:tc>
        <w:tc>
          <w:tcPr>
            <w:tcW w:type="dxa" w:w="1234"/>
          </w:tcPr>
          <w:p>
            <w:r>
              <w:t>临床专家&lt;br&gt;UX/UI设计师</w:t>
            </w:r>
          </w:p>
        </w:tc>
      </w:tr>
      <w:tr>
        <w:tc>
          <w:tcPr>
            <w:tcW w:type="dxa" w:w="1234"/>
          </w:tcPr>
          <w:p>
            <w:r>
              <w:t>**C02**</w:t>
            </w:r>
          </w:p>
        </w:tc>
        <w:tc>
          <w:tcPr>
            <w:tcW w:type="dxa" w:w="1234"/>
          </w:tcPr>
          <w:p>
            <w:r>
              <w:t>**贴敷部位皮肤过敏与感染**：因胶粘剂致敏、长时间佩戴致浸渍或穿刺针移位，引发接触性皮炎或局部脓肿。</w:t>
            </w:r>
          </w:p>
        </w:tc>
        <w:tc>
          <w:tcPr>
            <w:tcW w:type="dxa" w:w="1234"/>
          </w:tcPr>
          <w:p>
            <w:r>
              <w:t>4 (很可能)</w:t>
            </w:r>
          </w:p>
        </w:tc>
        <w:tc>
          <w:tcPr>
            <w:tcW w:type="dxa" w:w="1234"/>
          </w:tcPr>
          <w:p>
            <w:r>
              <w:t>3 (中度)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**材料筛选与验证**：选用低致敏医用级硅胶/压敏胶；设计透气孔减少浸渍。&lt;br&gt;**验证指标**：斑贴试验（ISO 10993-10）无致敏反应；连续佩戴 72 小时皮肤红肿发生率&lt;5%。</w:t>
            </w:r>
          </w:p>
        </w:tc>
        <w:tc>
          <w:tcPr>
            <w:tcW w:type="dxa" w:w="1234"/>
          </w:tcPr>
          <w:p>
            <w:r>
              <w:t>临床专家&lt;br&gt;材料工程师</w:t>
            </w:r>
          </w:p>
        </w:tc>
      </w:tr>
      <w:tr>
        <w:tc>
          <w:tcPr>
            <w:tcW w:type="dxa" w:w="1234"/>
          </w:tcPr>
          <w:p>
            <w:r>
              <w:t>**C03**</w:t>
            </w:r>
          </w:p>
        </w:tc>
        <w:tc>
          <w:tcPr>
            <w:tcW w:type="dxa" w:w="1234"/>
          </w:tcPr>
          <w:p>
            <w:r>
              <w:t>**特殊人群适用性风险**：儿童、老年人或认知障碍者因理解力不足，无法正确操作或识别报警，导致治疗失败。</w:t>
            </w:r>
          </w:p>
        </w:tc>
        <w:tc>
          <w:tcPr>
            <w:tcW w:type="dxa" w:w="1234"/>
          </w:tcPr>
          <w:p>
            <w:r>
              <w:t>2 (很少)</w:t>
            </w:r>
          </w:p>
        </w:tc>
        <w:tc>
          <w:tcPr>
            <w:tcW w:type="dxa" w:w="1234"/>
          </w:tcPr>
          <w:p>
            <w:r>
              <w:t>4 (严重)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**分级指导与监护**：开发“儿童模式”限制最大剂量；提供图文简易说明书及视频教程；支持远程监护。&lt;br&gt;**验证指标**：目标人群可用性测试通过率≥90%；监护人远程报警接收成功率 100%。</w:t>
            </w:r>
          </w:p>
        </w:tc>
        <w:tc>
          <w:tcPr>
            <w:tcW w:type="dxa" w:w="1234"/>
          </w:tcPr>
          <w:p>
            <w:r>
              <w:t>临床专家&lt;br&gt;软件产品经理</w:t>
            </w:r>
          </w:p>
        </w:tc>
      </w:tr>
    </w:tbl>
    <w:p/>
    <w:p>
      <w:pPr>
        <w:pStyle w:val="Heading2"/>
      </w:pPr>
      <w:r>
        <w:t>8.5 风险管理活动计划与里程碑</w:t>
      </w:r>
    </w:p>
    <w:p>
      <w:r>
        <w:t>为确保技术、专利及临床风险有效管控，本项目将风险管理深度嵌入开发全生命周期。从启动阶段的初步危害分析（PHA），到设计输出阶段的详细 FMEA，再到试生产前的剩余风险评估，各关键节点均设评审点。小组定期审查措施有效性并动态更新记录；软件 C 级开发同步进行代码级风险分析；临床评价阶段重点验证人因工程控制措施。所有风险文档将作为注册申报核心资料，确保数据链完整可追溯。</w:t>
      </w:r>
    </w:p>
    <w:p>
      <w:r>
        <w:t>各阶段任务、周期及输出如下：</w:t>
      </w:r>
    </w:p>
    <w:p>
      <w:pPr>
        <w:pStyle w:val="Heading2"/>
      </w:pPr>
      <w:r>
        <w:t>8.6 综合剩余风险评价与总结</w:t>
      </w:r>
    </w:p>
    <w:p>
      <w:r>
        <w:t>完成技术、专利及临床风险控制措施验证后，项目组将组织管理者代表、研发总监、质量负责人及外部专家组成评审委员会，对综合剩余风险进行最终评价。评价核心依据包括：单个风险是否降至可接受水平（RPN&lt;8 或 S×P 落入“可接受区”）；控制措施是否引入新风险；以及产品临床受益是否显著大于残留风险。针对贴敷式胰岛素泵，重点审查输注精度、电池安全、无菌保障及人因工程四大指标。若判定为可接受，将形成《风险管理报告》，并在说明书中明确告知用户必要的剩余风险信息（如低电量报警含义、阻塞处理步骤等）。</w:t>
      </w:r>
    </w:p>
    <w:p>
      <w:r>
        <w:t>本章严格遵循 YY/T 0316 标准精神，确保技术安全性并为 NMPA 注册申报提供完整证据链。章节重组为六个部分：8.1 概述、8.2 技术风险、8.3 专利风险、8.4 临床风险、8.5 风险管理活动计划与里程碑及 8.6 综合剩余风险评价与总结。所有风险项采用参数化呈现，通过表格列明发生概率 P（1-5）、严重度 S（1-5）及风险值 RPN。</w:t>
      </w:r>
    </w:p>
    <w:p>
      <w:r>
        <w:t>技术风险方面，新增输注精度偏差、电池续航、软件 C 级安全及无菌屏障等具体项，设定明确指标：输注精度控制在±5% 以内，系统响应时间小于 30 秒，灭菌保证水平 SAL≤10^-6。专利风险涵盖核心结构侵权、算法逻辑侵权及外观冲突，制定 FTO 分析、自主开发及专利申请布局策略。临床风险聚焦用户误操作、皮肤过敏及特殊人群适用性，结合人因工程提出防误触设计及可用性测试指标。每个风险项均指定具体责任岗位（如软件架构师、知识产权专员、临床专家），确保职责落实。内容深度对标 NMPA 注册申报要求，特别强调开环控制、C 级软件及无菌提供的特殊风险分析，确保上市前充分识别并控制所有合理可预见的风险。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</w:t>
    </w:r>
    <w:r>
      <w:fldChar w:fldCharType="begin"/>
      <w:instrText xml:space="preserve">PAGE</w:instrText>
      <w:fldChar w:fldCharType="separate"/>
      <w:t>1</w:t>
      <w:fldChar w:fldCharType="end"/>
    </w:r>
    <w:r>
      <w:t>页共</w:t>
    </w:r>
    <w:r>
      <w:fldChar w:fldCharType="begin"/>
      <w:instrText xml:space="preserve"> = </w:instrText>
    </w:r>
    <w:r>
      <w:fldChar w:fldCharType="begin"/>
      <w:instrText xml:space="preserve"> NUMPAGES </w:instrText>
      <w:fldChar w:fldCharType="separate"/>
      <w:t>1</w:t>
      <w:fldChar w:fldCharType="end"/>
    </w:r>
    <w:r>
      <w:instrText xml:space="preserve"> - 1 </w:instrText>
      <w:fldChar w:fldCharType="separate"/>
      <w:t>1</w:t>
      <w:fldChar w:fldCharType="end"/>
    </w:r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