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after="200" w:line="25" w:lineRule="atLeast"/>
        <w:jc w:val="left"/>
        <w:rPr>
          <w:b/>
          <w:bCs/>
          <w:color w:val="auto"/>
          <w:sz w:val="24"/>
          <w:szCs w:val="24"/>
          <w:lang w:val="en-US" w:eastAsia="zh-CN" w:bidi="en-US"/>
        </w:rPr>
      </w:pPr>
      <w:bookmarkStart w:id="0" w:name="_Hlk97191453"/>
      <w:bookmarkEnd w:id="0"/>
      <w:r>
        <w:rPr>
          <w:rFonts w:hint="eastAsia"/>
          <w:b/>
          <w:bCs/>
          <w:color w:val="auto"/>
          <w:sz w:val="24"/>
          <w:szCs w:val="24"/>
          <w:lang w:val="en-US" w:eastAsia="zh-CN" w:bidi="en-US"/>
        </w:rPr>
        <w:t>医疗器械技术产品要求编号：</w:t>
      </w:r>
    </w:p>
    <w:p>
      <w:pPr>
        <w:pStyle w:val="11"/>
        <w:spacing w:after="200" w:line="25" w:lineRule="atLeast"/>
        <w:jc w:val="left"/>
        <w:rPr>
          <w:b/>
          <w:bCs/>
          <w:color w:val="auto"/>
          <w:sz w:val="24"/>
          <w:szCs w:val="24"/>
          <w:lang w:val="en-US" w:eastAsia="zh-CN" w:bidi="en-US"/>
        </w:rPr>
      </w:pPr>
    </w:p>
    <w:p>
      <w:pPr>
        <w:spacing w:line="25" w:lineRule="atLeast"/>
        <w:jc w:val="center"/>
        <w:rPr>
          <w:b/>
          <w:bCs/>
          <w:lang w:bidi="en-US"/>
        </w:rPr>
      </w:pPr>
      <w:bookmarkStart w:id="1" w:name="_Hlk107320615"/>
      <w:r>
        <w:rPr>
          <w:rFonts w:hint="eastAsia"/>
          <w:b/>
          <w:bCs/>
          <w:sz w:val="36"/>
          <w:szCs w:val="36"/>
        </w:rPr>
        <w:t>一次性使用</w:t>
      </w:r>
      <w:bookmarkEnd w:id="1"/>
      <w:r>
        <w:rPr>
          <w:rFonts w:hint="eastAsia"/>
          <w:b/>
          <w:bCs/>
          <w:sz w:val="36"/>
          <w:szCs w:val="36"/>
        </w:rPr>
        <w:t>气管插管</w:t>
      </w:r>
    </w:p>
    <w:p>
      <w:pPr>
        <w:spacing w:line="460" w:lineRule="exact"/>
        <w:rPr>
          <w:rFonts w:ascii="宋体" w:hAnsi="宋体" w:eastAsia="宋体" w:cs="宋体"/>
          <w:b/>
          <w:bCs/>
          <w:kern w:val="0"/>
        </w:rPr>
      </w:pPr>
      <w:r>
        <w:rPr>
          <w:rFonts w:hint="eastAsia" w:ascii="宋体" w:hAnsi="宋体" w:eastAsia="宋体" w:cs="宋体"/>
          <w:b/>
          <w:bCs/>
          <w:kern w:val="0"/>
        </w:rPr>
        <w:t>1 产品型号/规格及其划分说明</w:t>
      </w:r>
    </w:p>
    <w:p>
      <w:pPr>
        <w:pStyle w:val="11"/>
        <w:spacing w:after="160" w:line="25" w:lineRule="atLeast"/>
        <w:jc w:val="left"/>
        <w:rPr>
          <w:color w:val="auto"/>
          <w:sz w:val="24"/>
          <w:szCs w:val="24"/>
          <w:lang w:val="en-US" w:eastAsia="zh-CN" w:bidi="en-US"/>
        </w:rPr>
      </w:pPr>
      <w:r>
        <w:rPr>
          <w:rFonts w:hint="eastAsia"/>
          <w:color w:val="auto"/>
          <w:sz w:val="24"/>
          <w:szCs w:val="24"/>
          <w:lang w:val="en-US" w:eastAsia="zh-CN" w:bidi="en-US"/>
        </w:rPr>
        <w:t>1.1型号</w:t>
      </w:r>
    </w:p>
    <w:p>
      <w:pPr>
        <w:pStyle w:val="11"/>
        <w:spacing w:after="160" w:line="25" w:lineRule="atLeast"/>
        <w:jc w:val="left"/>
        <w:rPr>
          <w:color w:val="auto"/>
          <w:sz w:val="24"/>
          <w:szCs w:val="24"/>
          <w:lang w:val="en-US" w:eastAsia="zh-CN" w:bidi="en-US"/>
        </w:rPr>
      </w:pPr>
      <w:r>
        <w:rPr>
          <w:rFonts w:hint="eastAsia"/>
          <w:color w:val="auto"/>
          <w:sz w:val="24"/>
          <w:szCs w:val="24"/>
          <w:lang w:val="en-US" w:eastAsia="zh-CN" w:bidi="en-US"/>
        </w:rPr>
        <w:t>1.1.1型号划分说明:</w:t>
      </w:r>
    </w:p>
    <w:p>
      <w:pPr>
        <w:pStyle w:val="11"/>
        <w:spacing w:after="200" w:line="25" w:lineRule="atLeast"/>
        <w:jc w:val="left"/>
        <w:rPr>
          <w:rFonts w:asciiTheme="minorEastAsia" w:hAnsiTheme="minorEastAsia" w:eastAsiaTheme="minorEastAsia" w:cstheme="minorEastAsia"/>
          <w:color w:val="auto"/>
          <w:sz w:val="24"/>
          <w:szCs w:val="24"/>
          <w:lang w:val="en-US" w:eastAsia="zh-CN"/>
        </w:rPr>
      </w:pPr>
      <w:r>
        <w:rPr>
          <w:rFonts w:hint="eastAsia"/>
          <w:color w:val="auto"/>
          <w:sz w:val="24"/>
          <w:szCs w:val="24"/>
          <w:lang w:val="en-US" w:eastAsia="zh-CN"/>
        </w:rPr>
        <w:t>1.2</w:t>
      </w:r>
      <w:r>
        <w:rPr>
          <w:rFonts w:hint="eastAsia" w:asciiTheme="minorEastAsia" w:hAnsiTheme="minorEastAsia" w:eastAsiaTheme="minorEastAsia" w:cstheme="minorEastAsia"/>
          <w:color w:val="auto"/>
          <w:sz w:val="24"/>
          <w:szCs w:val="24"/>
          <w:lang w:val="en-US" w:eastAsia="zh-CN"/>
        </w:rPr>
        <w:t>产品规格</w:t>
      </w:r>
    </w:p>
    <w:p>
      <w:pPr>
        <w:pStyle w:val="11"/>
        <w:spacing w:after="160" w:line="25" w:lineRule="atLeast"/>
        <w:jc w:val="left"/>
        <w:rPr>
          <w:color w:val="auto"/>
          <w:sz w:val="24"/>
          <w:szCs w:val="24"/>
          <w:lang w:val="en-US" w:eastAsia="zh-CN"/>
        </w:rPr>
      </w:pPr>
      <w:r>
        <w:rPr>
          <w:rFonts w:hint="eastAsia"/>
          <w:color w:val="auto"/>
          <w:sz w:val="24"/>
          <w:szCs w:val="24"/>
          <w:lang w:val="en-US" w:eastAsia="zh-CN"/>
        </w:rPr>
        <w:t>1.3组成</w:t>
      </w:r>
    </w:p>
    <w:p/>
    <w:p>
      <w:pPr>
        <w:spacing w:line="25" w:lineRule="atLeast"/>
      </w:pPr>
      <w:r>
        <w:rPr>
          <w:rFonts w:hint="eastAsia"/>
        </w:rPr>
        <w:t>1.4与患者接触部分材料</w:t>
      </w:r>
    </w:p>
    <w:p>
      <w:pPr>
        <w:pStyle w:val="11"/>
        <w:spacing w:before="240" w:after="200" w:line="25" w:lineRule="atLeast"/>
        <w:jc w:val="left"/>
        <w:rPr>
          <w:b/>
          <w:bCs/>
          <w:color w:val="auto"/>
          <w:sz w:val="24"/>
          <w:szCs w:val="24"/>
        </w:rPr>
      </w:pPr>
      <w:r>
        <w:rPr>
          <w:rFonts w:hint="eastAsia"/>
          <w:b/>
          <w:bCs/>
          <w:color w:val="auto"/>
          <w:sz w:val="24"/>
          <w:szCs w:val="24"/>
          <w:lang w:val="en-US" w:eastAsia="zh-CN" w:bidi="en-US"/>
        </w:rPr>
        <w:t xml:space="preserve">2 </w:t>
      </w:r>
      <w:r>
        <w:rPr>
          <w:rFonts w:hint="eastAsia"/>
          <w:b/>
          <w:bCs/>
          <w:color w:val="auto"/>
          <w:sz w:val="24"/>
          <w:szCs w:val="24"/>
        </w:rPr>
        <w:t>性能指标</w:t>
      </w:r>
    </w:p>
    <w:p>
      <w:pPr>
        <w:spacing w:line="300" w:lineRule="auto"/>
      </w:pPr>
      <w:r>
        <w:rPr>
          <w:rFonts w:hint="eastAsia"/>
        </w:rPr>
        <w:t>2.1物理性能</w:t>
      </w:r>
    </w:p>
    <w:p>
      <w:pPr>
        <w:spacing w:line="300" w:lineRule="auto"/>
        <w:rPr>
          <w:rFonts w:hint="eastAsia" w:eastAsiaTheme="minorEastAsia"/>
          <w:lang w:val="en-US" w:eastAsia="zh-CN"/>
        </w:rPr>
      </w:pPr>
      <w:r>
        <w:rPr>
          <w:rFonts w:hint="eastAsia"/>
        </w:rPr>
        <w:t>2.1.1</w:t>
      </w:r>
      <w:r>
        <w:rPr>
          <w:rFonts w:hint="eastAsia"/>
          <w:lang w:val="en-US" w:eastAsia="zh-CN"/>
        </w:rPr>
        <w:t>尺寸</w:t>
      </w:r>
    </w:p>
    <w:p>
      <w:pPr>
        <w:spacing w:line="300" w:lineRule="auto"/>
      </w:pPr>
      <w:r>
        <w:rPr>
          <w:rFonts w:hint="eastAsia"/>
        </w:rPr>
        <w:t>2.1.2接头</w:t>
      </w:r>
    </w:p>
    <w:p>
      <w:pPr>
        <w:spacing w:line="300" w:lineRule="auto"/>
      </w:pPr>
      <w:r>
        <w:rPr>
          <w:rFonts w:hint="eastAsia"/>
        </w:rPr>
        <w:t>2.1.2.</w:t>
      </w:r>
      <w:r>
        <w:rPr>
          <w:lang w:val="zh-CN"/>
        </w:rPr>
        <w:t>1</w:t>
      </w:r>
      <w:r>
        <w:rPr>
          <w:rFonts w:hint="eastAsia"/>
        </w:rPr>
        <w:t>最小长度</w:t>
      </w:r>
    </w:p>
    <w:p>
      <w:pPr>
        <w:spacing w:line="300" w:lineRule="auto"/>
        <w:ind w:firstLine="480" w:firstLineChars="200"/>
      </w:pPr>
      <w:r>
        <w:rPr>
          <w:rFonts w:hint="eastAsia"/>
        </w:rPr>
        <w:t>应符合表2中A的要求。</w:t>
      </w:r>
    </w:p>
    <w:p>
      <w:pPr>
        <w:spacing w:line="300" w:lineRule="auto"/>
      </w:pPr>
      <w:r>
        <w:rPr>
          <w:rFonts w:hint="eastAsia"/>
        </w:rPr>
        <w:t>2.1.2.</w:t>
      </w:r>
      <w:r>
        <w:t>2</w:t>
      </w:r>
      <w:r>
        <w:rPr>
          <w:rFonts w:hint="eastAsia"/>
        </w:rPr>
        <w:t>标称规格</w:t>
      </w:r>
    </w:p>
    <w:p>
      <w:pPr>
        <w:spacing w:line="300" w:lineRule="auto"/>
        <w:ind w:firstLine="480" w:firstLineChars="200"/>
      </w:pPr>
      <w:r>
        <w:rPr>
          <w:rFonts w:hint="eastAsia"/>
        </w:rPr>
        <w:t>当气管插管配有一气管插管接头时，接头的标称规格不应小于其所配气管插管的标称规格。</w:t>
      </w:r>
    </w:p>
    <w:p>
      <w:pPr>
        <w:spacing w:line="300" w:lineRule="auto"/>
      </w:pPr>
      <w:r>
        <w:rPr>
          <w:rFonts w:hint="eastAsia"/>
        </w:rPr>
        <w:t>2.1.2.</w:t>
      </w:r>
      <w:r>
        <w:t>3</w:t>
      </w:r>
      <w:r>
        <w:rPr>
          <w:rFonts w:hint="eastAsia"/>
        </w:rPr>
        <w:t>机器端要求</w:t>
      </w:r>
    </w:p>
    <w:p>
      <w:pPr>
        <w:spacing w:line="300" w:lineRule="auto"/>
        <w:ind w:firstLine="480" w:firstLineChars="200"/>
      </w:pPr>
      <w:r>
        <w:rPr>
          <w:rFonts w:hint="eastAsia"/>
        </w:rPr>
        <w:t>气管插管接头的机器端应是一符合YY/T 1040.1-2015《麻醉和呼吸设备圆锥接头第1部分:锥头与锥套》规定的15mm锥头。（锥形）机器端的内径不小于表2规定病人端的内径。其内径应平稳过度，以有助于一根吸引导管通过。</w:t>
      </w:r>
    </w:p>
    <w:p>
      <w:pPr>
        <w:spacing w:line="300" w:lineRule="auto"/>
      </w:pPr>
      <w:r>
        <w:rPr>
          <w:rFonts w:hint="eastAsia"/>
        </w:rPr>
        <w:t>2.1.2.</w:t>
      </w:r>
      <w:r>
        <w:t>4</w:t>
      </w:r>
      <w:r>
        <w:rPr>
          <w:rFonts w:hint="eastAsia"/>
        </w:rPr>
        <w:t>病人端端口</w:t>
      </w:r>
    </w:p>
    <w:p>
      <w:pPr>
        <w:spacing w:line="300" w:lineRule="auto"/>
        <w:ind w:firstLine="480" w:firstLineChars="200"/>
      </w:pPr>
      <w:r>
        <w:rPr>
          <w:rFonts w:hint="eastAsia"/>
        </w:rPr>
        <w:t>病人端的端口应与接头的轴向成90°±5°。</w:t>
      </w:r>
    </w:p>
    <w:p>
      <w:pPr>
        <w:spacing w:line="300" w:lineRule="auto"/>
      </w:pPr>
      <w:r>
        <w:rPr>
          <w:rFonts w:hint="eastAsia"/>
        </w:rPr>
        <w:t>2.1.2.</w:t>
      </w:r>
      <w:r>
        <w:t>5</w:t>
      </w:r>
      <w:r>
        <w:rPr>
          <w:rFonts w:hint="eastAsia"/>
        </w:rPr>
        <w:t>内径</w:t>
      </w:r>
    </w:p>
    <w:p>
      <w:pPr>
        <w:spacing w:line="300" w:lineRule="auto"/>
        <w:ind w:firstLine="480" w:firstLineChars="200"/>
      </w:pPr>
      <w:r>
        <w:rPr>
          <w:rFonts w:hint="eastAsia"/>
        </w:rPr>
        <w:t>应符合表2中</w:t>
      </w:r>
      <w:r>
        <w:t>C</w:t>
      </w:r>
      <w:r>
        <w:rPr>
          <w:rFonts w:hint="eastAsia"/>
        </w:rPr>
        <w:t>的要求。</w:t>
      </w:r>
    </w:p>
    <w:p>
      <w:pPr>
        <w:spacing w:line="300" w:lineRule="auto"/>
      </w:pPr>
      <w:r>
        <w:rPr>
          <w:rFonts w:hint="eastAsia"/>
        </w:rPr>
        <w:t>2.1.3斜面</w:t>
      </w:r>
    </w:p>
    <w:p>
      <w:pPr>
        <w:spacing w:line="300" w:lineRule="auto"/>
        <w:ind w:firstLine="480" w:firstLineChars="200"/>
      </w:pPr>
      <w:r>
        <w:rPr>
          <w:rFonts w:hint="eastAsia"/>
        </w:rPr>
        <w:t>气管插管病人端端部有一个38°±10°的斜面角。</w:t>
      </w:r>
    </w:p>
    <w:p>
      <w:pPr>
        <w:spacing w:line="300" w:lineRule="auto"/>
      </w:pPr>
      <w:r>
        <w:rPr>
          <w:rFonts w:hint="eastAsia"/>
        </w:rPr>
        <w:t>2.1.4套囊</w:t>
      </w:r>
    </w:p>
    <w:p>
      <w:pPr>
        <w:spacing w:line="300" w:lineRule="auto"/>
      </w:pPr>
      <w:r>
        <w:rPr>
          <w:rFonts w:hint="eastAsia"/>
        </w:rPr>
        <w:t>2.1.4.1套囊要求</w:t>
      </w:r>
    </w:p>
    <w:p>
      <w:pPr>
        <w:spacing w:line="300" w:lineRule="auto"/>
        <w:ind w:firstLine="480" w:firstLineChars="200"/>
      </w:pPr>
      <w:r>
        <w:rPr>
          <w:rFonts w:hint="eastAsia"/>
        </w:rPr>
        <w:t>套囊应与管身紧密连为一体。</w:t>
      </w:r>
    </w:p>
    <w:p>
      <w:pPr>
        <w:spacing w:line="300" w:lineRule="auto"/>
      </w:pPr>
      <w:r>
        <w:rPr>
          <w:rFonts w:hint="eastAsia"/>
        </w:rPr>
        <w:t>2.1.4.2充起直径</w:t>
      </w:r>
    </w:p>
    <w:p>
      <w:pPr>
        <w:spacing w:line="300" w:lineRule="auto"/>
        <w:ind w:firstLine="480" w:firstLineChars="200"/>
      </w:pPr>
      <w:r>
        <w:rPr>
          <w:rFonts w:hint="eastAsia"/>
        </w:rPr>
        <w:t>气管插管当按YY 0337.1-2002《气管插管第1部分：常用型插管及接头》中附录A测定时，套囊充起直径应为标称</w:t>
      </w:r>
      <w:r>
        <w:rPr>
          <w:rFonts w:hint="eastAsia"/>
          <w:lang w:val="zh-CN"/>
        </w:rPr>
        <w:t>值土标</w:t>
      </w:r>
      <w:r>
        <w:rPr>
          <w:rFonts w:hint="eastAsia"/>
        </w:rPr>
        <w:t>称值的15%。</w:t>
      </w:r>
    </w:p>
    <w:p>
      <w:pPr>
        <w:spacing w:line="300" w:lineRule="auto"/>
      </w:pPr>
      <w:r>
        <w:rPr>
          <w:rFonts w:hint="eastAsia"/>
        </w:rPr>
        <w:t>2.1.4.3缩陷试验</w:t>
      </w:r>
    </w:p>
    <w:p>
      <w:pPr>
        <w:spacing w:line="300" w:lineRule="auto"/>
        <w:ind w:firstLine="480" w:firstLineChars="200"/>
      </w:pPr>
      <w:r>
        <w:rPr>
          <w:rFonts w:hint="eastAsia"/>
        </w:rPr>
        <w:t>当套囊按YY 0337.1-2002《气管插管第1部分：常用型插管及接头》中附录B给定方法进行缩陷试验时，钢球应能自由通过插管。</w:t>
      </w:r>
    </w:p>
    <w:p>
      <w:pPr>
        <w:spacing w:line="300" w:lineRule="auto"/>
      </w:pPr>
      <w:r>
        <w:rPr>
          <w:rFonts w:hint="eastAsia"/>
        </w:rPr>
        <w:t>2.1.4.4突出试验</w:t>
      </w:r>
    </w:p>
    <w:p>
      <w:pPr>
        <w:spacing w:line="300" w:lineRule="auto"/>
        <w:ind w:firstLine="480" w:firstLineChars="200"/>
      </w:pPr>
      <w:r>
        <w:rPr>
          <w:rFonts w:hint="eastAsia"/>
        </w:rPr>
        <w:t>按YY 0337.1-2002 《气管插管第1部分：常用型插管及接头》中附录C给定方法进行突出试验时，充起后的套囊的任何部分不应超过斜面的最近边缘。</w:t>
      </w:r>
    </w:p>
    <w:p>
      <w:pPr>
        <w:spacing w:line="300" w:lineRule="auto"/>
      </w:pPr>
      <w:r>
        <w:rPr>
          <w:rFonts w:hint="eastAsia"/>
        </w:rPr>
        <w:t>2.1.5套囊充气管</w:t>
      </w:r>
    </w:p>
    <w:p>
      <w:pPr>
        <w:spacing w:line="300" w:lineRule="auto"/>
      </w:pPr>
      <w:r>
        <w:rPr>
          <w:rFonts w:hint="eastAsia"/>
        </w:rPr>
        <w:t>2.1.5.1 外径：≤3.0mm。</w:t>
      </w:r>
    </w:p>
    <w:p>
      <w:pPr>
        <w:spacing w:line="300" w:lineRule="auto"/>
      </w:pPr>
      <w:r>
        <w:rPr>
          <w:rFonts w:hint="eastAsia"/>
        </w:rPr>
        <w:t>2.1.5.2充气腔要求</w:t>
      </w:r>
    </w:p>
    <w:p>
      <w:pPr>
        <w:spacing w:line="300" w:lineRule="auto"/>
        <w:ind w:firstLine="480" w:firstLineChars="200"/>
      </w:pPr>
      <w:r>
        <w:rPr>
          <w:rFonts w:hint="eastAsia"/>
        </w:rPr>
        <w:t>其分离点应位于气管插管的凹面方向。充气腔周围的管壁不应占去气管插管腔内径的10%以上。</w:t>
      </w:r>
    </w:p>
    <w:p>
      <w:pPr>
        <w:spacing w:line="300" w:lineRule="auto"/>
      </w:pPr>
      <w:r>
        <w:rPr>
          <w:rFonts w:hint="eastAsia"/>
        </w:rPr>
        <w:t>2.1.5.3 充气管在分理处与气管插管间的夹角夹角：≤45°</w:t>
      </w:r>
    </w:p>
    <w:p>
      <w:pPr>
        <w:spacing w:line="300" w:lineRule="auto"/>
      </w:pPr>
      <w:r>
        <w:rPr>
          <w:rFonts w:hint="eastAsia"/>
        </w:rPr>
        <w:t>2.1.5.4指示球囊</w:t>
      </w:r>
    </w:p>
    <w:p>
      <w:pPr>
        <w:spacing w:line="300" w:lineRule="auto"/>
        <w:ind w:firstLine="480" w:firstLineChars="200"/>
      </w:pPr>
      <w:r>
        <w:rPr>
          <w:rFonts w:hint="eastAsia"/>
        </w:rPr>
        <w:t>应有一指示球囊和/或其他指示套囊充起/扁瘪的装置。</w:t>
      </w:r>
    </w:p>
    <w:p>
      <w:pPr>
        <w:spacing w:line="300" w:lineRule="auto"/>
      </w:pPr>
      <w:r>
        <w:rPr>
          <w:rFonts w:hint="eastAsia"/>
        </w:rPr>
        <w:t>2.1.5.5单向阀</w:t>
      </w:r>
    </w:p>
    <w:p>
      <w:pPr>
        <w:spacing w:line="300" w:lineRule="auto"/>
        <w:ind w:firstLine="480" w:firstLineChars="200"/>
      </w:pPr>
      <w:r>
        <w:rPr>
          <w:rFonts w:hint="eastAsia"/>
        </w:rPr>
        <w:t>当要放岀套囊内的气体时，充气管、充气阀门或其他任何用做单向阀的关闭装置不应阻碍其放气。</w:t>
      </w:r>
    </w:p>
    <w:p>
      <w:pPr>
        <w:spacing w:line="300" w:lineRule="auto"/>
      </w:pPr>
      <w:r>
        <w:rPr>
          <w:rFonts w:hint="eastAsia"/>
        </w:rPr>
        <w:t>2.1.5.</w:t>
      </w:r>
      <w:r>
        <w:t>6</w:t>
      </w:r>
      <w:r>
        <w:rPr>
          <w:rFonts w:hint="eastAsia"/>
        </w:rPr>
        <w:t>自由端</w:t>
      </w:r>
    </w:p>
    <w:p>
      <w:pPr>
        <w:spacing w:line="300" w:lineRule="auto"/>
        <w:ind w:firstLine="480" w:firstLineChars="200"/>
      </w:pPr>
      <w:r>
        <w:rPr>
          <w:rFonts w:hint="eastAsia"/>
        </w:rPr>
        <w:t>应能与符合GB/T 1962.1-2015《注射器、注射针及其他医疗器械6%（鲁尔）圆锥接头第1部分：通用要求》的6% （鲁尔）外圆锥接头配合。</w:t>
      </w:r>
    </w:p>
    <w:p>
      <w:pPr>
        <w:spacing w:line="300" w:lineRule="auto"/>
      </w:pPr>
      <w:r>
        <w:rPr>
          <w:rFonts w:hint="eastAsia"/>
        </w:rPr>
        <w:t>2.1.6插管弧度</w:t>
      </w:r>
    </w:p>
    <w:p>
      <w:pPr>
        <w:spacing w:line="300" w:lineRule="auto"/>
      </w:pPr>
      <w:r>
        <w:rPr>
          <w:rFonts w:hint="eastAsia"/>
        </w:rPr>
        <w:t>2.1.6.1形状</w:t>
      </w:r>
    </w:p>
    <w:p>
      <w:pPr>
        <w:spacing w:line="300" w:lineRule="auto"/>
        <w:ind w:firstLine="480" w:firstLineChars="200"/>
      </w:pPr>
      <w:r>
        <w:rPr>
          <w:rFonts w:hint="eastAsia"/>
        </w:rPr>
        <w:t>气管插管可以是直形也可是弧形。</w:t>
      </w:r>
    </w:p>
    <w:p>
      <w:pPr>
        <w:spacing w:line="300" w:lineRule="auto"/>
      </w:pPr>
      <w:r>
        <w:rPr>
          <w:rFonts w:hint="eastAsia"/>
        </w:rPr>
        <w:t>2.1.6.2圆弧半径</w:t>
      </w:r>
    </w:p>
    <w:p>
      <w:pPr>
        <w:spacing w:line="300" w:lineRule="auto"/>
        <w:ind w:firstLine="480" w:firstLineChars="200"/>
      </w:pPr>
      <w:r>
        <w:rPr>
          <w:rFonts w:hint="eastAsia"/>
        </w:rPr>
        <w:t>如果气管插管为“Magill”型，规格大于或等于6.5的插管的圆弧半径应为 140±20mmo</w:t>
      </w:r>
    </w:p>
    <w:p>
      <w:pPr>
        <w:spacing w:line="300" w:lineRule="auto"/>
      </w:pPr>
      <w:r>
        <w:rPr>
          <w:rFonts w:hint="eastAsia"/>
        </w:rPr>
        <w:t>2.1.7墨菲孔眼</w:t>
      </w:r>
    </w:p>
    <w:p>
      <w:pPr>
        <w:spacing w:line="300" w:lineRule="auto"/>
      </w:pPr>
      <w:r>
        <w:rPr>
          <w:rFonts w:hint="eastAsia"/>
        </w:rPr>
        <w:t>2.1.7.1应位于斜面的对侧。</w:t>
      </w:r>
    </w:p>
    <w:p>
      <w:pPr>
        <w:spacing w:line="300" w:lineRule="auto"/>
      </w:pPr>
      <w:r>
        <w:rPr>
          <w:rFonts w:hint="eastAsia"/>
        </w:rPr>
        <w:t>2.1.7.2面积应不小于插管的内径截面积的80%。</w:t>
      </w:r>
    </w:p>
    <w:p>
      <w:pPr>
        <w:spacing w:line="300" w:lineRule="auto"/>
      </w:pPr>
      <w:r>
        <w:rPr>
          <w:rFonts w:hint="eastAsia"/>
        </w:rPr>
        <w:t>2.1.7.3孔眼距病人端应符合表一要求L10。</w:t>
      </w:r>
    </w:p>
    <w:p>
      <w:pPr>
        <w:spacing w:line="300" w:lineRule="auto"/>
      </w:pPr>
      <w:r>
        <w:rPr>
          <w:rFonts w:hint="eastAsia"/>
        </w:rPr>
        <w:t>2.1.8外观</w:t>
      </w:r>
    </w:p>
    <w:p>
      <w:pPr>
        <w:spacing w:line="300" w:lineRule="auto"/>
      </w:pPr>
      <w:r>
        <w:rPr>
          <w:rFonts w:hint="eastAsia"/>
        </w:rPr>
        <w:t>2.1.8.1气管插管管胚表面应光洁、印刷清晰、牢固；套囊壁厚均匀，光滑无飞边；充气管应光洁无异物，有良好的柔韧性；标准接头外观应光洁无毛刺，与管胚颜色不同。</w:t>
      </w:r>
    </w:p>
    <w:p>
      <w:pPr>
        <w:spacing w:line="300" w:lineRule="auto"/>
      </w:pPr>
      <w:r>
        <w:rPr>
          <w:rFonts w:hint="eastAsia"/>
        </w:rPr>
        <w:t>2.1.8.2气管插管病人端的应有一个斜面，斜面应圆滑，孔口不应有锐边。</w:t>
      </w:r>
    </w:p>
    <w:p>
      <w:pPr>
        <w:spacing w:line="300" w:lineRule="auto"/>
      </w:pPr>
      <w:r>
        <w:rPr>
          <w:rFonts w:hint="eastAsia"/>
        </w:rPr>
        <w:t>2.1.8.3套囊应与管身紧密连为一体。</w:t>
      </w:r>
    </w:p>
    <w:p>
      <w:pPr>
        <w:spacing w:line="300" w:lineRule="auto"/>
      </w:pPr>
      <w:r>
        <w:rPr>
          <w:rFonts w:hint="eastAsia"/>
        </w:rPr>
        <w:t>2.1.8.4墨菲孔眼应位于斜面的对侧，孔眼表面应光滑、无飞边。</w:t>
      </w:r>
    </w:p>
    <w:p>
      <w:pPr>
        <w:spacing w:line="300" w:lineRule="auto"/>
      </w:pPr>
      <w:r>
        <w:rPr>
          <w:rFonts w:hint="eastAsia"/>
        </w:rPr>
        <w:t>2.1.8.5气管插管的规格标记应符合YY 0337.1-2002《气管插管第1部分：常用型插管及接头》和YY 0337.2-2002《气管插管第2部分：柯尔（Cole）型插管》的要求。</w:t>
      </w:r>
    </w:p>
    <w:p>
      <w:pPr>
        <w:spacing w:line="300" w:lineRule="auto"/>
      </w:pPr>
      <w:r>
        <w:rPr>
          <w:rFonts w:hint="eastAsia"/>
        </w:rPr>
        <w:t>2.1.9温度传感器</w:t>
      </w:r>
    </w:p>
    <w:p>
      <w:pPr>
        <w:spacing w:line="300" w:lineRule="auto"/>
      </w:pPr>
      <w:r>
        <w:rPr>
          <w:rFonts w:hint="eastAsia"/>
        </w:rPr>
        <w:t>2.1.9.</w:t>
      </w:r>
      <w:r>
        <w:t>1</w:t>
      </w:r>
      <w:r>
        <w:rPr>
          <w:rFonts w:hint="eastAsia"/>
        </w:rPr>
        <w:t>外观与机械安全性</w:t>
      </w:r>
    </w:p>
    <w:p>
      <w:pPr>
        <w:spacing w:line="300" w:lineRule="auto"/>
      </w:pPr>
      <w:r>
        <w:rPr>
          <w:rFonts w:hint="eastAsia"/>
        </w:rPr>
        <w:t>2.1.9.</w:t>
      </w:r>
      <w:r>
        <w:t>1</w:t>
      </w:r>
      <w:r>
        <w:rPr>
          <w:rFonts w:hint="eastAsia"/>
        </w:rPr>
        <w:t>.1线材外观应圆实平滑，颜色均匀，线材外表面无明显破损、划伤、变形等缺陷。</w:t>
      </w:r>
    </w:p>
    <w:p>
      <w:pPr>
        <w:spacing w:line="300" w:lineRule="auto"/>
      </w:pPr>
      <w:r>
        <w:rPr>
          <w:rFonts w:hint="eastAsia"/>
        </w:rPr>
        <w:t>2.1.9.</w:t>
      </w:r>
      <w:r>
        <w:t>1</w:t>
      </w:r>
      <w:r>
        <w:rPr>
          <w:rFonts w:hint="eastAsia"/>
        </w:rPr>
        <w:t>.2探头表面圆滑，以防止使用过程中造成组织损伤。</w:t>
      </w:r>
    </w:p>
    <w:p>
      <w:pPr>
        <w:spacing w:line="300" w:lineRule="auto"/>
      </w:pPr>
      <w:r>
        <w:rPr>
          <w:rFonts w:hint="eastAsia"/>
        </w:rPr>
        <w:t>2.1.9.</w:t>
      </w:r>
      <w:r>
        <w:t>2</w:t>
      </w:r>
      <w:r>
        <w:rPr>
          <w:rFonts w:hint="eastAsia"/>
        </w:rPr>
        <w:t xml:space="preserve"> 测量范围</w:t>
      </w:r>
    </w:p>
    <w:p>
      <w:pPr>
        <w:spacing w:line="300" w:lineRule="auto"/>
        <w:ind w:firstLine="480" w:firstLineChars="200"/>
      </w:pPr>
      <w:r>
        <w:rPr>
          <w:rFonts w:hint="eastAsia"/>
        </w:rPr>
        <w:t>至少为25℃～45℃。</w:t>
      </w:r>
    </w:p>
    <w:p>
      <w:pPr>
        <w:spacing w:line="300" w:lineRule="auto"/>
      </w:pPr>
      <w:r>
        <w:rPr>
          <w:rFonts w:hint="eastAsia"/>
        </w:rPr>
        <w:t>2.1.9.</w:t>
      </w:r>
      <w:r>
        <w:t>3</w:t>
      </w:r>
      <w:r>
        <w:rPr>
          <w:rFonts w:hint="eastAsia"/>
        </w:rPr>
        <w:t>最大允许误差</w:t>
      </w:r>
    </w:p>
    <w:p>
      <w:pPr>
        <w:spacing w:line="300" w:lineRule="auto"/>
        <w:ind w:firstLine="480" w:firstLineChars="200"/>
      </w:pPr>
      <w:r>
        <w:rPr>
          <w:rFonts w:hint="eastAsia"/>
        </w:rPr>
        <w:t>在25℃～45℃的测温范围内最大允许误差为：±0.</w:t>
      </w:r>
      <w:r>
        <w:t>2</w:t>
      </w:r>
      <w:r>
        <w:rPr>
          <w:rFonts w:hint="eastAsia"/>
        </w:rPr>
        <w:t>℃。</w:t>
      </w:r>
    </w:p>
    <w:p>
      <w:pPr>
        <w:spacing w:line="300" w:lineRule="auto"/>
      </w:pPr>
      <w:r>
        <w:rPr>
          <w:rFonts w:hint="eastAsia"/>
        </w:rPr>
        <w:t>2.1.9.</w:t>
      </w:r>
      <w:r>
        <w:t>4</w:t>
      </w:r>
      <w:r>
        <w:rPr>
          <w:rFonts w:hint="eastAsia"/>
        </w:rPr>
        <w:t>时间响应</w:t>
      </w:r>
    </w:p>
    <w:p>
      <w:pPr>
        <w:spacing w:line="300" w:lineRule="auto"/>
        <w:ind w:firstLine="480" w:firstLineChars="200"/>
      </w:pPr>
      <w:r>
        <w:rPr>
          <w:rFonts w:hint="eastAsia"/>
        </w:rPr>
        <w:t>当经历快速的温度改变150秒之后，医用温度传感器的阻值按阻值-温度转换表换算出的温度值与参考温度的差异应不超过2.1.9.</w:t>
      </w:r>
      <w:r>
        <w:t>3</w:t>
      </w:r>
      <w:r>
        <w:rPr>
          <w:rFonts w:hint="eastAsia"/>
        </w:rPr>
        <w:t>最大允许误差范围。</w:t>
      </w:r>
    </w:p>
    <w:p>
      <w:pPr>
        <w:spacing w:line="300" w:lineRule="auto"/>
      </w:pPr>
      <w:r>
        <w:rPr>
          <w:rFonts w:hint="eastAsia"/>
        </w:rPr>
        <w:t>2.1.9.</w:t>
      </w:r>
      <w:r>
        <w:t>5</w:t>
      </w:r>
      <w:r>
        <w:rPr>
          <w:rFonts w:hint="eastAsia"/>
        </w:rPr>
        <w:t>长期稳定性</w:t>
      </w:r>
    </w:p>
    <w:p>
      <w:pPr>
        <w:spacing w:line="300" w:lineRule="auto"/>
        <w:ind w:firstLine="480" w:firstLineChars="200"/>
      </w:pPr>
      <w:r>
        <w:rPr>
          <w:rFonts w:hint="eastAsia"/>
        </w:rPr>
        <w:t>将体温探头置于（80±2）℃的恒温空气箱中96小时，冷却室温后重复使用体温探头的最大允许误差满足2.1.9.</w:t>
      </w:r>
      <w:r>
        <w:t>3</w:t>
      </w:r>
      <w:r>
        <w:rPr>
          <w:rFonts w:hint="eastAsia"/>
        </w:rPr>
        <w:t>中的要求。</w:t>
      </w:r>
    </w:p>
    <w:p>
      <w:pPr>
        <w:spacing w:line="300" w:lineRule="auto"/>
      </w:pPr>
      <w:r>
        <w:rPr>
          <w:rFonts w:hint="eastAsia"/>
        </w:rPr>
        <w:t>2.1.9.</w:t>
      </w:r>
      <w:r>
        <w:t>6</w:t>
      </w:r>
      <w:r>
        <w:rPr>
          <w:rFonts w:hint="eastAsia"/>
        </w:rPr>
        <w:t>测温线出口</w:t>
      </w:r>
    </w:p>
    <w:p>
      <w:pPr>
        <w:spacing w:line="300" w:lineRule="auto"/>
        <w:ind w:firstLine="480" w:firstLineChars="200"/>
      </w:pPr>
      <w:r>
        <w:rPr>
          <w:rFonts w:hint="eastAsia"/>
        </w:rPr>
        <w:t>测温线出口距病人端应符合表一要求L7。</w:t>
      </w:r>
    </w:p>
    <w:p>
      <w:bookmarkStart w:id="2" w:name="_Hlk141703933"/>
      <w:r>
        <w:rPr>
          <w:rFonts w:hint="eastAsia"/>
        </w:rPr>
        <w:t>2</w:t>
      </w:r>
      <w:r>
        <w:t>.1.9.7</w:t>
      </w:r>
      <w:r>
        <w:rPr>
          <w:rFonts w:hint="eastAsia"/>
        </w:rPr>
        <w:t>最大能量耗散</w:t>
      </w:r>
    </w:p>
    <w:p>
      <w:pPr>
        <w:ind w:firstLine="480" w:firstLineChars="200"/>
      </w:pPr>
      <w:r>
        <w:rPr>
          <w:rFonts w:hint="eastAsia"/>
        </w:rPr>
        <w:t>制造商应规定能由指示单元提供给探头的、产生最小自热的最大功率。对于可重用或者一次性的温度探头,当浸入温度为 37 C士0.1C的水槽中时，所提供的最大功率应不导致使温度上升超过0.02C的能量耗散(IR)。</w:t>
      </w:r>
    </w:p>
    <w:bookmarkEnd w:id="2"/>
    <w:p>
      <w:pPr>
        <w:spacing w:line="300" w:lineRule="auto"/>
      </w:pPr>
      <w:r>
        <w:rPr>
          <w:rFonts w:hint="eastAsia"/>
        </w:rPr>
        <w:t>2.1.10抽吸管</w:t>
      </w:r>
    </w:p>
    <w:p>
      <w:pPr>
        <w:spacing w:line="300" w:lineRule="auto"/>
      </w:pPr>
      <w:r>
        <w:rPr>
          <w:rFonts w:hint="eastAsia"/>
        </w:rPr>
        <w:t>2.1.10.1 外径：≤3.</w:t>
      </w:r>
      <w:r>
        <w:t>6</w:t>
      </w:r>
      <w:r>
        <w:rPr>
          <w:rFonts w:hint="eastAsia"/>
        </w:rPr>
        <w:t>mm,内径：≤2.5mm。</w:t>
      </w:r>
    </w:p>
    <w:p>
      <w:pPr>
        <w:spacing w:line="300" w:lineRule="auto"/>
      </w:pPr>
      <w:r>
        <w:rPr>
          <w:rFonts w:hint="eastAsia"/>
        </w:rPr>
        <w:t>2.1.10.2抽吸管要求</w:t>
      </w:r>
    </w:p>
    <w:p>
      <w:pPr>
        <w:spacing w:line="300" w:lineRule="auto"/>
        <w:ind w:firstLine="480" w:firstLineChars="200"/>
      </w:pPr>
      <w:r>
        <w:rPr>
          <w:rFonts w:hint="eastAsia"/>
        </w:rPr>
        <w:t>其分离点应位于气管插管的凸面方向。抽吸管周围的管壁不应占去气管插管腔内径的15%以上。</w:t>
      </w:r>
    </w:p>
    <w:p>
      <w:pPr>
        <w:spacing w:line="300" w:lineRule="auto"/>
      </w:pPr>
      <w:r>
        <w:rPr>
          <w:rFonts w:hint="eastAsia"/>
        </w:rPr>
        <w:t>2.1.10.3 抽吸管在分理处与气管插管间的夹角：≤45°。</w:t>
      </w:r>
    </w:p>
    <w:p>
      <w:pPr>
        <w:spacing w:line="300" w:lineRule="auto"/>
      </w:pPr>
      <w:r>
        <w:rPr>
          <w:rFonts w:hint="eastAsia"/>
        </w:rPr>
        <w:t>2.1.10.4病人端距抽吸管出口应满足表1要求L6。</w:t>
      </w:r>
    </w:p>
    <w:p>
      <w:pPr>
        <w:spacing w:line="300" w:lineRule="auto"/>
      </w:pPr>
      <w:r>
        <w:rPr>
          <w:rFonts w:hint="eastAsia"/>
        </w:rPr>
        <w:t>2.1.10.5自由端</w:t>
      </w:r>
    </w:p>
    <w:p>
      <w:pPr>
        <w:spacing w:line="300" w:lineRule="auto"/>
        <w:ind w:firstLine="480" w:firstLineChars="200"/>
        <w:sectPr>
          <w:footerReference r:id="rId5" w:type="first"/>
          <w:footerReference r:id="rId3" w:type="default"/>
          <w:footerReference r:id="rId4" w:type="even"/>
          <w:pgSz w:w="11900" w:h="16840"/>
          <w:pgMar w:top="1304" w:right="1247" w:bottom="1020" w:left="1474" w:header="0" w:footer="545" w:gutter="0"/>
          <w:pgNumType w:start="1"/>
          <w:cols w:space="720" w:num="1"/>
          <w:docGrid w:linePitch="360" w:charSpace="0"/>
        </w:sectPr>
      </w:pPr>
      <w:r>
        <w:rPr>
          <w:rFonts w:hint="eastAsia"/>
        </w:rPr>
        <w:t>应能与符合GB/T 1962.1-2015《注射器、注射针及其他医疗器械6%（鲁尔）圆锥接头第1部分：通用要求》的6% （鲁尔）外圆锥接头配合。</w:t>
      </w:r>
    </w:p>
    <w:p>
      <w:pPr>
        <w:spacing w:line="300" w:lineRule="auto"/>
      </w:pPr>
      <w:r>
        <w:rPr>
          <w:rFonts w:hint="eastAsia"/>
        </w:rPr>
        <w:t>2.2化学性能</w:t>
      </w:r>
    </w:p>
    <w:p>
      <w:pPr>
        <w:spacing w:line="300" w:lineRule="auto"/>
      </w:pPr>
      <w:bookmarkStart w:id="3" w:name="bookmark0"/>
      <w:bookmarkEnd w:id="3"/>
      <w:r>
        <w:rPr>
          <w:rFonts w:hint="eastAsia"/>
        </w:rPr>
        <w:t>2.2.1易氧化物</w:t>
      </w:r>
    </w:p>
    <w:p>
      <w:pPr>
        <w:spacing w:line="300" w:lineRule="auto"/>
      </w:pPr>
      <w:r>
        <w:rPr>
          <w:rFonts w:hint="eastAsia"/>
        </w:rPr>
        <w:t>按GB/T</w:t>
      </w:r>
      <w:r>
        <w:t xml:space="preserve"> </w:t>
      </w:r>
      <w:r>
        <w:rPr>
          <w:rFonts w:hint="eastAsia"/>
        </w:rPr>
        <w:t>14233. 1-20</w:t>
      </w:r>
      <w:r>
        <w:t>22</w:t>
      </w:r>
      <w:r>
        <w:rPr>
          <w:rFonts w:hint="eastAsia"/>
        </w:rPr>
        <w:t>《医用输液、输血、注射器具检验方法第1部分:化学分析方法》中5. 2. 2方法的规定进行试验，检验液与空白液相比,0.002mol/L高锰酸钾溶液消耗量之差应不大于2.0ml.</w:t>
      </w:r>
    </w:p>
    <w:p>
      <w:pPr>
        <w:spacing w:line="300" w:lineRule="auto"/>
      </w:pPr>
      <w:bookmarkStart w:id="4" w:name="bookmark1"/>
      <w:bookmarkEnd w:id="4"/>
      <w:r>
        <w:rPr>
          <w:rFonts w:hint="eastAsia"/>
        </w:rPr>
        <w:t>2.2.2重金属含量</w:t>
      </w:r>
    </w:p>
    <w:p>
      <w:pPr>
        <w:spacing w:line="300" w:lineRule="auto"/>
      </w:pPr>
      <w:r>
        <w:rPr>
          <w:rFonts w:hint="eastAsia"/>
        </w:rPr>
        <w:t>检验液中钡、铬、铜、铅、锡总金属含量不得超过lug/mL,镉含量应小于0.1ug/mL。</w:t>
      </w:r>
    </w:p>
    <w:p>
      <w:pPr>
        <w:spacing w:line="300" w:lineRule="auto"/>
      </w:pPr>
      <w:bookmarkStart w:id="5" w:name="bookmark2"/>
      <w:bookmarkEnd w:id="5"/>
      <w:r>
        <w:rPr>
          <w:rFonts w:hint="eastAsia"/>
        </w:rPr>
        <w:t>2.2.3酸碱度</w:t>
      </w:r>
    </w:p>
    <w:p>
      <w:pPr>
        <w:spacing w:line="300" w:lineRule="auto"/>
      </w:pPr>
      <w:r>
        <w:rPr>
          <w:rFonts w:hint="eastAsia"/>
        </w:rPr>
        <w:t>气管插管检验液与空白对照液的PH值之差应不超过1.5。</w:t>
      </w:r>
    </w:p>
    <w:p>
      <w:pPr>
        <w:spacing w:line="300" w:lineRule="auto"/>
      </w:pPr>
      <w:r>
        <w:rPr>
          <w:rFonts w:hint="eastAsia"/>
        </w:rPr>
        <w:t>2</w:t>
      </w:r>
      <w:r>
        <w:t>.2.4</w:t>
      </w:r>
      <w:r>
        <w:rPr>
          <w:rFonts w:hint="eastAsia"/>
        </w:rPr>
        <w:t>浊度和色泽</w:t>
      </w:r>
    </w:p>
    <w:p>
      <w:pPr>
        <w:spacing w:line="300" w:lineRule="auto"/>
      </w:pPr>
      <w:r>
        <w:rPr>
          <w:rFonts w:hint="eastAsia"/>
        </w:rPr>
        <w:t>按GB/T</w:t>
      </w:r>
      <w:r>
        <w:t xml:space="preserve"> </w:t>
      </w:r>
      <w:r>
        <w:rPr>
          <w:rFonts w:hint="eastAsia"/>
        </w:rPr>
        <w:t>14233. 1-20</w:t>
      </w:r>
      <w:r>
        <w:t>22</w:t>
      </w:r>
      <w:r>
        <w:rPr>
          <w:rFonts w:hint="eastAsia"/>
        </w:rPr>
        <w:t>《医用输液、输血、注射器具检验方法第1部分:化学分析方法》中5</w:t>
      </w:r>
      <w:r>
        <w:t>.1</w:t>
      </w:r>
      <w:r>
        <w:rPr>
          <w:rFonts w:hint="eastAsia"/>
        </w:rPr>
        <w:t>方法的规定进行试验，溶液应无色透明、凭目视看不出异物。</w:t>
      </w:r>
    </w:p>
    <w:p>
      <w:pPr>
        <w:spacing w:line="300" w:lineRule="auto"/>
      </w:pPr>
      <w:r>
        <w:rPr>
          <w:rFonts w:hint="eastAsia"/>
        </w:rPr>
        <w:t>2</w:t>
      </w:r>
      <w:r>
        <w:t>.2.5</w:t>
      </w:r>
      <w:r>
        <w:rPr>
          <w:rFonts w:hint="eastAsia"/>
        </w:rPr>
        <w:t>蒸发残留</w:t>
      </w:r>
    </w:p>
    <w:p>
      <w:pPr>
        <w:spacing w:line="300" w:lineRule="auto"/>
      </w:pPr>
      <w:r>
        <w:rPr>
          <w:rFonts w:hint="eastAsia"/>
        </w:rPr>
        <w:t>按GB/T</w:t>
      </w:r>
      <w:r>
        <w:t xml:space="preserve"> </w:t>
      </w:r>
      <w:r>
        <w:rPr>
          <w:rFonts w:hint="eastAsia"/>
        </w:rPr>
        <w:t>14233. 1-20</w:t>
      </w:r>
      <w:r>
        <w:t>22</w:t>
      </w:r>
      <w:r>
        <w:rPr>
          <w:rFonts w:hint="eastAsia"/>
        </w:rPr>
        <w:t>《医用输液、输血、注射器具检验方法第1部分:化学分析方法》中</w:t>
      </w:r>
      <w:r>
        <w:t>5.5</w:t>
      </w:r>
      <w:r>
        <w:rPr>
          <w:rFonts w:hint="eastAsia"/>
        </w:rPr>
        <w:t>方法的规定进行试验，残留物量不超过</w:t>
      </w:r>
      <w:r>
        <w:t>2.0</w:t>
      </w:r>
      <w:r>
        <w:rPr>
          <w:rFonts w:hint="eastAsia"/>
        </w:rPr>
        <w:t>mg。</w:t>
      </w:r>
    </w:p>
    <w:p>
      <w:pPr>
        <w:spacing w:line="300" w:lineRule="auto"/>
      </w:pPr>
      <w:r>
        <w:t>2.3</w:t>
      </w:r>
      <w:r>
        <w:rPr>
          <w:rFonts w:hint="eastAsia"/>
        </w:rPr>
        <w:t>环氧乙烷残留量</w:t>
      </w:r>
    </w:p>
    <w:p>
      <w:pPr>
        <w:spacing w:line="300" w:lineRule="auto"/>
      </w:pPr>
      <w:r>
        <w:rPr>
          <w:rFonts w:hint="eastAsia"/>
        </w:rPr>
        <w:t>按GB/T</w:t>
      </w:r>
      <w:r>
        <w:t xml:space="preserve"> </w:t>
      </w:r>
      <w:r>
        <w:rPr>
          <w:rFonts w:hint="eastAsia"/>
        </w:rPr>
        <w:t>14233. 1-20</w:t>
      </w:r>
      <w:r>
        <w:t>22</w:t>
      </w:r>
      <w:r>
        <w:rPr>
          <w:rFonts w:hint="eastAsia"/>
        </w:rPr>
        <w:t>《医用输液、输血、注射器具检验方法第1部分:化学分析方法》规定方法试验，环氧乙烷残留量不应超过10ug/g。</w:t>
      </w:r>
    </w:p>
    <w:p>
      <w:pPr>
        <w:spacing w:line="300" w:lineRule="auto"/>
      </w:pPr>
      <w:bookmarkStart w:id="6" w:name="bookmark3"/>
      <w:bookmarkEnd w:id="6"/>
      <w:r>
        <w:rPr>
          <w:rFonts w:hint="eastAsia"/>
        </w:rPr>
        <w:t>2.</w:t>
      </w:r>
      <w:r>
        <w:t>4</w:t>
      </w:r>
      <w:r>
        <w:rPr>
          <w:rFonts w:hint="eastAsia"/>
        </w:rPr>
        <w:t>无菌</w:t>
      </w:r>
    </w:p>
    <w:p>
      <w:pPr>
        <w:spacing w:line="300" w:lineRule="auto"/>
      </w:pPr>
      <w:r>
        <w:rPr>
          <w:rFonts w:hint="eastAsia"/>
        </w:rPr>
        <w:t>产品经环氧乙烷灭菌，应无菌。</w:t>
      </w:r>
    </w:p>
    <w:p>
      <w:pPr>
        <w:spacing w:line="300" w:lineRule="auto"/>
      </w:pPr>
      <w:r>
        <w:rPr>
          <w:rFonts w:hint="eastAsia"/>
        </w:rPr>
        <w:t>2</w:t>
      </w:r>
      <w:r>
        <w:t>.5</w:t>
      </w:r>
      <w:r>
        <w:rPr>
          <w:rFonts w:hint="eastAsia"/>
        </w:rPr>
        <w:t>产品安全要求应符合GB 9706.1-2020《医用电气设备 第1部分：安全通用要求》规定的要求。</w:t>
      </w:r>
    </w:p>
    <w:p>
      <w:pPr>
        <w:spacing w:line="300" w:lineRule="auto"/>
      </w:pPr>
      <w:r>
        <w:t>2.6</w:t>
      </w:r>
      <w:r>
        <w:rPr>
          <w:rFonts w:hint="eastAsia"/>
        </w:rPr>
        <w:t>电磁兼容</w:t>
      </w:r>
    </w:p>
    <w:p>
      <w:pPr>
        <w:spacing w:line="300" w:lineRule="auto"/>
        <w:ind w:firstLine="480"/>
      </w:pPr>
      <w:r>
        <w:rPr>
          <w:rFonts w:hint="eastAsia"/>
        </w:rPr>
        <w:t>应符合</w:t>
      </w:r>
      <w:r>
        <w:rPr>
          <w:rStyle w:val="14"/>
          <w:rFonts w:cs="Times New Roman"/>
        </w:rPr>
        <w:t>YY 9706.102-2021《医用电气设备 第1-2部分：基本安全和基本性能的通用要求 并列标准：电磁兼容 要求和试验》</w:t>
      </w:r>
      <w:r>
        <w:rPr>
          <w:rFonts w:hint="eastAsia"/>
        </w:rPr>
        <w:t xml:space="preserve">的要求。  </w:t>
      </w:r>
    </w:p>
    <w:p>
      <w:r>
        <w:rPr>
          <w:rFonts w:hint="eastAsia"/>
        </w:rPr>
        <w:t>2</w:t>
      </w:r>
      <w:r>
        <w:t>.7</w:t>
      </w:r>
      <w:r>
        <w:rPr>
          <w:rFonts w:hint="eastAsia"/>
        </w:rPr>
        <w:t>环境试验</w:t>
      </w:r>
    </w:p>
    <w:p>
      <w:pPr>
        <w:ind w:firstLine="480" w:firstLineChars="200"/>
      </w:pPr>
      <w:r>
        <w:rPr>
          <w:rFonts w:hint="eastAsia"/>
        </w:rPr>
        <w:t>产品应符合GB/T 14710-2009《医用电器环境要求及试验方法》中气候环境试验 II组，机械环境试验II组及附录B的要求。运输试验、电源电压适应能力试验应分别符合GB/T 14710-2009中的第4章、第5章的要求。</w:t>
      </w:r>
    </w:p>
    <w:p>
      <w:pPr>
        <w:pStyle w:val="11"/>
        <w:spacing w:before="240" w:after="200" w:line="25" w:lineRule="atLeast"/>
        <w:jc w:val="left"/>
        <w:rPr>
          <w:b/>
          <w:bCs/>
          <w:color w:val="auto"/>
          <w:sz w:val="24"/>
          <w:szCs w:val="24"/>
          <w:lang w:val="en-US" w:eastAsia="zh-CN" w:bidi="en-US"/>
        </w:rPr>
      </w:pPr>
      <w:bookmarkStart w:id="7" w:name="bookmark4"/>
      <w:bookmarkEnd w:id="7"/>
      <w:r>
        <w:rPr>
          <w:rFonts w:hint="eastAsia"/>
          <w:b/>
          <w:bCs/>
          <w:color w:val="auto"/>
          <w:sz w:val="24"/>
          <w:szCs w:val="24"/>
          <w:lang w:val="en-US" w:eastAsia="zh-CN" w:bidi="en-US"/>
        </w:rPr>
        <w:t>3.试验方法</w:t>
      </w:r>
    </w:p>
    <w:p>
      <w:pPr>
        <w:spacing w:line="300" w:lineRule="auto"/>
      </w:pPr>
      <w:bookmarkStart w:id="8" w:name="bookmark5"/>
      <w:bookmarkEnd w:id="8"/>
      <w:r>
        <w:rPr>
          <w:rFonts w:hint="eastAsia"/>
        </w:rPr>
        <w:t>3.1物理性能</w:t>
      </w:r>
    </w:p>
    <w:p>
      <w:pPr>
        <w:spacing w:line="300" w:lineRule="auto"/>
      </w:pPr>
      <w:bookmarkStart w:id="9" w:name="bookmark6"/>
      <w:bookmarkEnd w:id="9"/>
      <w:r>
        <w:rPr>
          <w:rFonts w:hint="eastAsia"/>
        </w:rPr>
        <w:t>3.1.1管身尺寸</w:t>
      </w:r>
    </w:p>
    <w:p>
      <w:pPr>
        <w:spacing w:line="300" w:lineRule="auto"/>
      </w:pPr>
      <w:bookmarkStart w:id="10" w:name="bookmark7"/>
      <w:bookmarkEnd w:id="10"/>
      <w:r>
        <w:rPr>
          <w:rFonts w:hint="eastAsia"/>
        </w:rPr>
        <w:t>以通用量具或专用量具检验应符合表1的要求。</w:t>
      </w:r>
    </w:p>
    <w:p>
      <w:pPr>
        <w:spacing w:line="300" w:lineRule="auto"/>
      </w:pPr>
      <w:r>
        <w:rPr>
          <w:rFonts w:hint="eastAsia"/>
        </w:rPr>
        <w:t>3.1.2接头</w:t>
      </w:r>
    </w:p>
    <w:p>
      <w:pPr>
        <w:spacing w:line="300" w:lineRule="auto"/>
      </w:pPr>
      <w:r>
        <w:rPr>
          <w:rFonts w:hint="eastAsia"/>
        </w:rPr>
        <w:t>3.1.2.</w:t>
      </w:r>
      <w:r>
        <w:t>1</w:t>
      </w:r>
      <w:r>
        <w:rPr>
          <w:rFonts w:hint="eastAsia"/>
        </w:rPr>
        <w:t>最小长度</w:t>
      </w:r>
    </w:p>
    <w:p>
      <w:pPr>
        <w:spacing w:line="300" w:lineRule="auto"/>
      </w:pPr>
      <w:r>
        <w:rPr>
          <w:rFonts w:hint="eastAsia"/>
        </w:rPr>
        <w:t>以通用量具或专用量具检验应符合表2的要求。</w:t>
      </w:r>
    </w:p>
    <w:p>
      <w:pPr>
        <w:spacing w:line="300" w:lineRule="auto"/>
      </w:pPr>
      <w:r>
        <w:rPr>
          <w:rFonts w:hint="eastAsia"/>
        </w:rPr>
        <w:t>3.1.2.</w:t>
      </w:r>
      <w:r>
        <w:t>2</w:t>
      </w:r>
      <w:r>
        <w:rPr>
          <w:rFonts w:hint="eastAsia"/>
        </w:rPr>
        <w:t>标称规格</w:t>
      </w:r>
    </w:p>
    <w:p>
      <w:pPr>
        <w:spacing w:line="300" w:lineRule="auto"/>
      </w:pPr>
      <w:r>
        <w:rPr>
          <w:rFonts w:hint="eastAsia"/>
        </w:rPr>
        <w:t>目视检查。</w:t>
      </w:r>
    </w:p>
    <w:p>
      <w:pPr>
        <w:spacing w:line="300" w:lineRule="auto"/>
      </w:pPr>
      <w:r>
        <w:rPr>
          <w:rFonts w:hint="eastAsia"/>
        </w:rPr>
        <w:t>3.1.2.</w:t>
      </w:r>
      <w:r>
        <w:t>3</w:t>
      </w:r>
      <w:r>
        <w:rPr>
          <w:rFonts w:hint="eastAsia"/>
        </w:rPr>
        <w:t>机器端要求 以通用量具或专用量具检验应符合2.1.2.</w:t>
      </w:r>
      <w:r>
        <w:t>3</w:t>
      </w:r>
      <w:r>
        <w:rPr>
          <w:rFonts w:hint="eastAsia"/>
        </w:rPr>
        <w:t>的要求。</w:t>
      </w:r>
    </w:p>
    <w:p>
      <w:pPr>
        <w:spacing w:line="300" w:lineRule="auto"/>
      </w:pPr>
      <w:r>
        <w:rPr>
          <w:rFonts w:hint="eastAsia"/>
        </w:rPr>
        <w:t>3.1.2.</w:t>
      </w:r>
      <w:r>
        <w:t>4</w:t>
      </w:r>
      <w:r>
        <w:rPr>
          <w:rFonts w:hint="eastAsia"/>
        </w:rPr>
        <w:t>病人端端口</w:t>
      </w:r>
    </w:p>
    <w:p>
      <w:pPr>
        <w:spacing w:line="300" w:lineRule="auto"/>
      </w:pPr>
      <w:r>
        <w:rPr>
          <w:rFonts w:hint="eastAsia"/>
        </w:rPr>
        <w:t>以通用量具或专用量具检验应符合2.1.2.</w:t>
      </w:r>
      <w:r>
        <w:t>4</w:t>
      </w:r>
      <w:r>
        <w:rPr>
          <w:rFonts w:hint="eastAsia"/>
        </w:rPr>
        <w:t>的要求。</w:t>
      </w:r>
    </w:p>
    <w:p>
      <w:pPr>
        <w:spacing w:line="300" w:lineRule="auto"/>
      </w:pPr>
      <w:r>
        <w:rPr>
          <w:rFonts w:hint="eastAsia"/>
        </w:rPr>
        <w:t>3.1.2.</w:t>
      </w:r>
      <w:r>
        <w:t>5</w:t>
      </w:r>
      <w:r>
        <w:rPr>
          <w:rFonts w:hint="eastAsia"/>
        </w:rPr>
        <w:t>内径</w:t>
      </w:r>
    </w:p>
    <w:p>
      <w:pPr>
        <w:spacing w:line="300" w:lineRule="auto"/>
      </w:pPr>
      <w:r>
        <w:rPr>
          <w:rFonts w:hint="eastAsia"/>
        </w:rPr>
        <w:t>以通用量具或专用量具检验应符合表2的要求。</w:t>
      </w:r>
    </w:p>
    <w:p>
      <w:pPr>
        <w:spacing w:line="300" w:lineRule="auto"/>
      </w:pPr>
      <w:r>
        <w:rPr>
          <w:rFonts w:hint="eastAsia"/>
        </w:rPr>
        <w:t>3.1.3斜面以通用量具或专用量具检验应符合2.1.3的要求。</w:t>
      </w:r>
    </w:p>
    <w:p>
      <w:pPr>
        <w:spacing w:line="300" w:lineRule="auto"/>
      </w:pPr>
      <w:r>
        <w:rPr>
          <w:rFonts w:hint="eastAsia"/>
        </w:rPr>
        <w:t>3.1.4套囊</w:t>
      </w:r>
    </w:p>
    <w:p>
      <w:pPr>
        <w:spacing w:line="300" w:lineRule="auto"/>
      </w:pPr>
      <w:r>
        <w:rPr>
          <w:rFonts w:hint="eastAsia"/>
        </w:rPr>
        <w:t>3.1.4.1套囊要求</w:t>
      </w:r>
    </w:p>
    <w:p>
      <w:pPr>
        <w:spacing w:line="300" w:lineRule="auto"/>
      </w:pPr>
      <w:r>
        <w:rPr>
          <w:rFonts w:hint="eastAsia"/>
        </w:rPr>
        <w:t>通过检查应符合2.1.4.1的要求。</w:t>
      </w:r>
    </w:p>
    <w:p>
      <w:pPr>
        <w:spacing w:line="300" w:lineRule="auto"/>
      </w:pPr>
      <w:r>
        <w:rPr>
          <w:rFonts w:hint="eastAsia"/>
        </w:rPr>
        <w:t>3.1.4.2充起直径</w:t>
      </w:r>
    </w:p>
    <w:p>
      <w:pPr>
        <w:spacing w:line="300" w:lineRule="auto"/>
      </w:pPr>
      <w:r>
        <w:rPr>
          <w:rFonts w:hint="eastAsia"/>
        </w:rPr>
        <w:t>按YY 0337.1-2002《气管插管第1部分：常用型插管及接头》中附录A测定时，应符合2.1.4.2的要求。</w:t>
      </w:r>
    </w:p>
    <w:p>
      <w:pPr>
        <w:spacing w:line="300" w:lineRule="auto"/>
      </w:pPr>
      <w:r>
        <w:rPr>
          <w:rFonts w:hint="eastAsia"/>
        </w:rPr>
        <w:t>3.1.4.3缩陷试验</w:t>
      </w:r>
    </w:p>
    <w:p>
      <w:pPr>
        <w:spacing w:line="300" w:lineRule="auto"/>
      </w:pPr>
      <w:r>
        <w:rPr>
          <w:rFonts w:hint="eastAsia"/>
        </w:rPr>
        <w:t>按YY 0337.1-2002《气管插管 第1部分：常用型插管及接头》中附录B给定方法进行缩陷试验时，应符合2.1.4.3的要求。</w:t>
      </w:r>
    </w:p>
    <w:p>
      <w:pPr>
        <w:spacing w:line="300" w:lineRule="auto"/>
      </w:pPr>
      <w:r>
        <w:rPr>
          <w:rFonts w:hint="eastAsia"/>
        </w:rPr>
        <w:t>3.1.4.4突出试验</w:t>
      </w:r>
    </w:p>
    <w:p>
      <w:pPr>
        <w:spacing w:line="300" w:lineRule="auto"/>
      </w:pPr>
      <w:r>
        <w:rPr>
          <w:rFonts w:hint="eastAsia"/>
        </w:rPr>
        <w:t>按YY 0337.1-2002《气管插管第1部分：常用型插管及接头》中附录C给定方法进行突出试验时，应符合2.1.4.4的要求。</w:t>
      </w:r>
    </w:p>
    <w:p>
      <w:pPr>
        <w:spacing w:line="300" w:lineRule="auto"/>
      </w:pPr>
      <w:r>
        <w:rPr>
          <w:rFonts w:hint="eastAsia"/>
        </w:rPr>
        <w:t>3.1.5套囊充气管</w:t>
      </w:r>
    </w:p>
    <w:p>
      <w:pPr>
        <w:spacing w:line="300" w:lineRule="auto"/>
      </w:pPr>
      <w:r>
        <w:rPr>
          <w:rFonts w:hint="eastAsia"/>
        </w:rPr>
        <w:t>3.1.5.1 外径</w:t>
      </w:r>
    </w:p>
    <w:p>
      <w:pPr>
        <w:spacing w:line="300" w:lineRule="auto"/>
      </w:pPr>
      <w:bookmarkStart w:id="11" w:name="_Hlk101946567"/>
      <w:r>
        <w:rPr>
          <w:rFonts w:hint="eastAsia"/>
        </w:rPr>
        <w:t>以通用量具或专用量具检验应符合2.1.5.1的要求。</w:t>
      </w:r>
    </w:p>
    <w:bookmarkEnd w:id="11"/>
    <w:p>
      <w:pPr>
        <w:spacing w:line="300" w:lineRule="auto"/>
      </w:pPr>
      <w:r>
        <w:rPr>
          <w:rFonts w:hint="eastAsia"/>
        </w:rPr>
        <w:t>3.1.5.2充气腔要求</w:t>
      </w:r>
    </w:p>
    <w:p>
      <w:pPr>
        <w:spacing w:line="300" w:lineRule="auto"/>
      </w:pPr>
      <w:r>
        <w:rPr>
          <w:rFonts w:hint="eastAsia"/>
        </w:rPr>
        <w:t>以通用量具或专用量具检验应符合2.1.5.2的要求。</w:t>
      </w:r>
    </w:p>
    <w:p>
      <w:pPr>
        <w:spacing w:line="300" w:lineRule="auto"/>
      </w:pPr>
      <w:r>
        <w:rPr>
          <w:rFonts w:hint="eastAsia"/>
        </w:rPr>
        <w:t>3.1.5.</w:t>
      </w:r>
      <w:r>
        <w:rPr>
          <w:rFonts w:hint="eastAsia"/>
          <w:lang w:val="zh-CN"/>
        </w:rPr>
        <w:t xml:space="preserve">3 </w:t>
      </w:r>
      <w:r>
        <w:rPr>
          <w:rFonts w:hint="eastAsia"/>
        </w:rPr>
        <w:t>夹角</w:t>
      </w:r>
    </w:p>
    <w:p>
      <w:pPr>
        <w:spacing w:line="300" w:lineRule="auto"/>
      </w:pPr>
      <w:r>
        <w:rPr>
          <w:rFonts w:hint="eastAsia"/>
        </w:rPr>
        <w:t>以通用量具或专用量具检验应符合2.1.5.</w:t>
      </w:r>
      <w:r>
        <w:t>3</w:t>
      </w:r>
      <w:r>
        <w:rPr>
          <w:rFonts w:hint="eastAsia"/>
        </w:rPr>
        <w:t>的要求。</w:t>
      </w:r>
    </w:p>
    <w:p>
      <w:pPr>
        <w:spacing w:line="300" w:lineRule="auto"/>
      </w:pPr>
      <w:r>
        <w:rPr>
          <w:rFonts w:hint="eastAsia"/>
        </w:rPr>
        <w:t>3.1.5.</w:t>
      </w:r>
      <w:r>
        <w:t>4</w:t>
      </w:r>
      <w:r>
        <w:rPr>
          <w:rFonts w:hint="eastAsia"/>
        </w:rPr>
        <w:t>指示球囊</w:t>
      </w:r>
    </w:p>
    <w:p>
      <w:pPr>
        <w:spacing w:line="300" w:lineRule="auto"/>
      </w:pPr>
      <w:r>
        <w:rPr>
          <w:rFonts w:hint="eastAsia"/>
        </w:rPr>
        <w:t>通过检查应符合2.1.5.</w:t>
      </w:r>
      <w:r>
        <w:t>4</w:t>
      </w:r>
      <w:r>
        <w:rPr>
          <w:rFonts w:hint="eastAsia"/>
        </w:rPr>
        <w:t>的要求。</w:t>
      </w:r>
    </w:p>
    <w:p>
      <w:pPr>
        <w:spacing w:line="300" w:lineRule="auto"/>
      </w:pPr>
      <w:r>
        <w:rPr>
          <w:rFonts w:hint="eastAsia"/>
        </w:rPr>
        <w:t>3.1.5.</w:t>
      </w:r>
      <w:r>
        <w:t>5</w:t>
      </w:r>
      <w:r>
        <w:rPr>
          <w:rFonts w:hint="eastAsia"/>
        </w:rPr>
        <w:t>单向阀</w:t>
      </w:r>
    </w:p>
    <w:p>
      <w:pPr>
        <w:spacing w:line="300" w:lineRule="auto"/>
      </w:pPr>
      <w:r>
        <w:rPr>
          <w:rFonts w:hint="eastAsia"/>
        </w:rPr>
        <w:t>通过检查应符合2.1.5.</w:t>
      </w:r>
      <w:r>
        <w:t>5</w:t>
      </w:r>
      <w:r>
        <w:rPr>
          <w:rFonts w:hint="eastAsia"/>
        </w:rPr>
        <w:t>的要求。</w:t>
      </w:r>
    </w:p>
    <w:p>
      <w:pPr>
        <w:spacing w:line="300" w:lineRule="auto"/>
      </w:pPr>
      <w:r>
        <w:rPr>
          <w:rFonts w:hint="eastAsia"/>
        </w:rPr>
        <w:t>3.1.5.</w:t>
      </w:r>
      <w:r>
        <w:t>6</w:t>
      </w:r>
      <w:r>
        <w:rPr>
          <w:rFonts w:hint="eastAsia"/>
        </w:rPr>
        <w:t>自由端</w:t>
      </w:r>
    </w:p>
    <w:p>
      <w:pPr>
        <w:spacing w:line="300" w:lineRule="auto"/>
      </w:pPr>
      <w:r>
        <w:rPr>
          <w:rFonts w:hint="eastAsia"/>
        </w:rPr>
        <w:t>通过检查应符合2.1.5.</w:t>
      </w:r>
      <w:r>
        <w:t>6</w:t>
      </w:r>
      <w:r>
        <w:rPr>
          <w:rFonts w:hint="eastAsia"/>
        </w:rPr>
        <w:t>的要求。</w:t>
      </w:r>
    </w:p>
    <w:p>
      <w:pPr>
        <w:spacing w:line="300" w:lineRule="auto"/>
      </w:pPr>
      <w:r>
        <w:rPr>
          <w:rFonts w:hint="eastAsia"/>
        </w:rPr>
        <w:t>3.1.6插管弧度</w:t>
      </w:r>
    </w:p>
    <w:p>
      <w:pPr>
        <w:spacing w:line="300" w:lineRule="auto"/>
      </w:pPr>
      <w:r>
        <w:rPr>
          <w:rFonts w:hint="eastAsia"/>
        </w:rPr>
        <w:t>3.1.6.1 形状</w:t>
      </w:r>
    </w:p>
    <w:p>
      <w:pPr>
        <w:spacing w:line="300" w:lineRule="auto"/>
      </w:pPr>
      <w:r>
        <w:rPr>
          <w:rFonts w:hint="eastAsia"/>
        </w:rPr>
        <w:t>通过检查应符合2.1.6.1的要求。</w:t>
      </w:r>
    </w:p>
    <w:p>
      <w:pPr>
        <w:spacing w:line="300" w:lineRule="auto"/>
      </w:pPr>
      <w:r>
        <w:rPr>
          <w:rFonts w:hint="eastAsia"/>
        </w:rPr>
        <w:t>3.1.6.2圆弧半径</w:t>
      </w:r>
    </w:p>
    <w:p>
      <w:pPr>
        <w:spacing w:line="300" w:lineRule="auto"/>
      </w:pPr>
      <w:r>
        <w:rPr>
          <w:rFonts w:hint="eastAsia"/>
        </w:rPr>
        <w:t>以通用量具或专用量具检验应符合2.1.6.2的要求。</w:t>
      </w:r>
    </w:p>
    <w:p>
      <w:pPr>
        <w:spacing w:line="300" w:lineRule="auto"/>
      </w:pPr>
      <w:r>
        <w:rPr>
          <w:rFonts w:hint="eastAsia"/>
        </w:rPr>
        <w:t>3.1.7墨菲孔眼</w:t>
      </w:r>
    </w:p>
    <w:p>
      <w:pPr>
        <w:spacing w:line="300" w:lineRule="auto"/>
      </w:pPr>
      <w:r>
        <w:rPr>
          <w:rFonts w:hint="eastAsia"/>
        </w:rPr>
        <w:t>3.1.7.1通过检查应符合2.1.7.1的要求。</w:t>
      </w:r>
    </w:p>
    <w:p>
      <w:pPr>
        <w:spacing w:line="300" w:lineRule="auto"/>
      </w:pPr>
      <w:r>
        <w:rPr>
          <w:rFonts w:hint="eastAsia"/>
        </w:rPr>
        <w:t>3.1.7.2以通用量具或专用量具检验应符合2.1.7.2、2.1.7.3的要求。</w:t>
      </w:r>
    </w:p>
    <w:p>
      <w:pPr>
        <w:spacing w:line="300" w:lineRule="auto"/>
      </w:pPr>
      <w:r>
        <w:rPr>
          <w:rFonts w:hint="eastAsia"/>
        </w:rPr>
        <w:t>3.1.8外观检验</w:t>
      </w:r>
    </w:p>
    <w:p>
      <w:pPr>
        <w:spacing w:line="300" w:lineRule="auto"/>
      </w:pPr>
      <w:r>
        <w:rPr>
          <w:rFonts w:hint="eastAsia"/>
        </w:rPr>
        <w:t>用目力与手感检查，应符合2.1.8的规定。</w:t>
      </w:r>
    </w:p>
    <w:p>
      <w:pPr>
        <w:spacing w:line="300" w:lineRule="auto"/>
      </w:pPr>
      <w:r>
        <w:rPr>
          <w:rFonts w:hint="eastAsia"/>
        </w:rPr>
        <w:t>3.1.9温度探头</w:t>
      </w:r>
    </w:p>
    <w:p>
      <w:pPr>
        <w:spacing w:line="300" w:lineRule="auto"/>
      </w:pPr>
      <w:r>
        <w:rPr>
          <w:rFonts w:hint="eastAsia"/>
        </w:rPr>
        <w:t>3.1.9.</w:t>
      </w:r>
      <w:r>
        <w:t>1</w:t>
      </w:r>
      <w:r>
        <w:rPr>
          <w:rFonts w:hint="eastAsia"/>
        </w:rPr>
        <w:t>外观与机械安全性</w:t>
      </w:r>
    </w:p>
    <w:p>
      <w:pPr>
        <w:spacing w:line="300" w:lineRule="auto"/>
      </w:pPr>
      <w:r>
        <w:rPr>
          <w:rFonts w:hint="eastAsia"/>
        </w:rPr>
        <w:t>感官检查，应符合2.1.9.</w:t>
      </w:r>
      <w:r>
        <w:t>1</w:t>
      </w:r>
      <w:r>
        <w:rPr>
          <w:rFonts w:hint="eastAsia"/>
        </w:rPr>
        <w:t>的要求。</w:t>
      </w:r>
    </w:p>
    <w:p>
      <w:pPr>
        <w:spacing w:line="300" w:lineRule="auto"/>
      </w:pPr>
      <w:r>
        <w:rPr>
          <w:rFonts w:hint="eastAsia"/>
        </w:rPr>
        <w:t>3.1.9.</w:t>
      </w:r>
      <w:r>
        <w:t>2</w:t>
      </w:r>
      <w:r>
        <w:rPr>
          <w:rFonts w:hint="eastAsia"/>
        </w:rPr>
        <w:t>测量范围</w:t>
      </w:r>
    </w:p>
    <w:p>
      <w:pPr>
        <w:spacing w:line="300" w:lineRule="auto"/>
      </w:pPr>
      <w:r>
        <w:rPr>
          <w:rFonts w:hint="eastAsia"/>
        </w:rPr>
        <w:t>环境温度为（23±5）℃，相对湿度为（50±20）%。分别设定恒温水槽的温度点为（25±1）℃、（37±1）℃、（45±1）℃，将医用温度传感器感温端部分和参考温度计同量置于稳定性在±0.02℃以内的恒温水槽中，医用温度传感器与数字万用表相连接。在恒温水槽的每个设定温度点上，测量的电阻值对应电阻-温度转换表查得相应温度值，测量范围应符合2.1.9.</w:t>
      </w:r>
      <w:r>
        <w:t>2</w:t>
      </w:r>
      <w:r>
        <w:rPr>
          <w:rFonts w:hint="eastAsia"/>
        </w:rPr>
        <w:t>的要求。</w:t>
      </w:r>
    </w:p>
    <w:p>
      <w:pPr>
        <w:spacing w:line="300" w:lineRule="auto"/>
      </w:pPr>
      <w:r>
        <w:rPr>
          <w:rFonts w:hint="eastAsia"/>
        </w:rPr>
        <w:t>3.1.9.</w:t>
      </w:r>
      <w:r>
        <w:t>3</w:t>
      </w:r>
      <w:r>
        <w:rPr>
          <w:rFonts w:hint="eastAsia"/>
        </w:rPr>
        <w:t>最大允许误差试验</w:t>
      </w:r>
    </w:p>
    <w:p>
      <w:pPr>
        <w:spacing w:line="300" w:lineRule="auto"/>
      </w:pPr>
      <w:r>
        <w:rPr>
          <w:rFonts w:hint="eastAsia"/>
        </w:rPr>
        <w:t>按照3.1.9.</w:t>
      </w:r>
      <w:r>
        <w:t>2</w:t>
      </w:r>
      <w:r>
        <w:rPr>
          <w:rFonts w:hint="eastAsia"/>
        </w:rPr>
        <w:t>的方法测试，结果应符合2.1.9.</w:t>
      </w:r>
      <w:r>
        <w:t>3</w:t>
      </w:r>
      <w:r>
        <w:rPr>
          <w:rFonts w:hint="eastAsia"/>
        </w:rPr>
        <w:t>的要求。</w:t>
      </w:r>
    </w:p>
    <w:p>
      <w:pPr>
        <w:spacing w:line="300" w:lineRule="auto"/>
      </w:pPr>
      <w:r>
        <w:rPr>
          <w:rFonts w:hint="eastAsia"/>
        </w:rPr>
        <w:t>3.1.9.</w:t>
      </w:r>
      <w:r>
        <w:t>4</w:t>
      </w:r>
      <w:r>
        <w:rPr>
          <w:rFonts w:hint="eastAsia"/>
        </w:rPr>
        <w:t>时间响应试验</w:t>
      </w:r>
    </w:p>
    <w:p>
      <w:pPr>
        <w:spacing w:line="300" w:lineRule="auto"/>
      </w:pPr>
      <w:r>
        <w:rPr>
          <w:rFonts w:hint="eastAsia"/>
        </w:rPr>
        <w:t>将温度探头与数字万用表连接，将处在环境温度为（23±2）℃中的医用温度传感器部分浸入温度为（44±1）℃恒温水槽中，150秒后比较医用温度传感器测量的阻值对应电阻-温度转换表所查得的相应温度值与参考温度计的示值误差应满足2.1.9.</w:t>
      </w:r>
      <w:r>
        <w:t>3</w:t>
      </w:r>
      <w:r>
        <w:rPr>
          <w:rFonts w:hint="eastAsia"/>
        </w:rPr>
        <w:t>最大允许误差的要求。</w:t>
      </w:r>
    </w:p>
    <w:p>
      <w:pPr>
        <w:spacing w:line="300" w:lineRule="auto"/>
      </w:pPr>
      <w:r>
        <w:rPr>
          <w:rFonts w:hint="eastAsia"/>
        </w:rPr>
        <w:t>3.1.9.</w:t>
      </w:r>
      <w:r>
        <w:t>5</w:t>
      </w:r>
      <w:r>
        <w:rPr>
          <w:rFonts w:hint="eastAsia"/>
        </w:rPr>
        <w:t>长期稳定性</w:t>
      </w:r>
    </w:p>
    <w:p>
      <w:pPr>
        <w:spacing w:line="300" w:lineRule="auto"/>
      </w:pPr>
      <w:r>
        <w:rPr>
          <w:rFonts w:hint="eastAsia"/>
        </w:rPr>
        <w:t>将医用温度传感器置于（80±2）℃的恒温空气箱中96小时，冷却室温后根据3.1.9.3，分别在（25±1）℃、（37±1）℃、（45±1）℃检测医用温度传感器的最大误差应满足2.1.9.</w:t>
      </w:r>
      <w:r>
        <w:t>3</w:t>
      </w:r>
      <w:r>
        <w:rPr>
          <w:rFonts w:hint="eastAsia"/>
        </w:rPr>
        <w:t>的要求。</w:t>
      </w:r>
    </w:p>
    <w:p>
      <w:pPr>
        <w:spacing w:line="300" w:lineRule="auto"/>
      </w:pPr>
      <w:r>
        <w:t>3</w:t>
      </w:r>
      <w:r>
        <w:rPr>
          <w:rFonts w:hint="eastAsia"/>
        </w:rPr>
        <w:t>.1.9.</w:t>
      </w:r>
      <w:r>
        <w:t>6</w:t>
      </w:r>
      <w:r>
        <w:rPr>
          <w:rFonts w:hint="eastAsia"/>
        </w:rPr>
        <w:t>测温线出口</w:t>
      </w:r>
    </w:p>
    <w:p>
      <w:pPr>
        <w:spacing w:line="300" w:lineRule="auto"/>
      </w:pPr>
      <w:r>
        <w:rPr>
          <w:rFonts w:hint="eastAsia"/>
        </w:rPr>
        <w:t xml:space="preserve">   以通用量具或专用量具检验应符合2.1.</w:t>
      </w:r>
      <w:r>
        <w:t>9.6</w:t>
      </w:r>
      <w:r>
        <w:rPr>
          <w:rFonts w:hint="eastAsia"/>
        </w:rPr>
        <w:t>的要求。</w:t>
      </w:r>
    </w:p>
    <w:p>
      <w:r>
        <w:t>3</w:t>
      </w:r>
      <w:r>
        <w:rPr>
          <w:rFonts w:hint="eastAsia"/>
        </w:rPr>
        <w:t>.1.9.7最大能量耗散</w:t>
      </w:r>
    </w:p>
    <w:p>
      <w:pPr>
        <w:ind w:firstLine="480" w:firstLineChars="200"/>
      </w:pPr>
      <w:r>
        <w:rPr>
          <w:rFonts w:hint="eastAsia"/>
        </w:rPr>
        <w:t>根据Y</w:t>
      </w:r>
      <w:r>
        <w:t>Y 0785-2010</w:t>
      </w:r>
      <w:r>
        <w:rPr>
          <w:rFonts w:hint="eastAsia"/>
        </w:rPr>
        <w:t>的7</w:t>
      </w:r>
      <w:r>
        <w:t>.7</w:t>
      </w:r>
      <w:r>
        <w:rPr>
          <w:rFonts w:hint="eastAsia"/>
        </w:rPr>
        <w:t>的要求进行试验，结果应符合2</w:t>
      </w:r>
      <w:r>
        <w:t>.1.9.7</w:t>
      </w:r>
      <w:r>
        <w:rPr>
          <w:rFonts w:hint="eastAsia"/>
        </w:rPr>
        <w:t>的要求。</w:t>
      </w:r>
    </w:p>
    <w:p>
      <w:pPr>
        <w:spacing w:line="300" w:lineRule="auto"/>
      </w:pPr>
      <w:r>
        <w:rPr>
          <w:rFonts w:hint="eastAsia"/>
        </w:rPr>
        <w:t>3.1.10抽吸管</w:t>
      </w:r>
    </w:p>
    <w:p>
      <w:pPr>
        <w:spacing w:line="300" w:lineRule="auto"/>
      </w:pPr>
      <w:r>
        <w:rPr>
          <w:rFonts w:hint="eastAsia"/>
        </w:rPr>
        <w:t>3.1.10.1 外径</w:t>
      </w:r>
    </w:p>
    <w:p>
      <w:pPr>
        <w:spacing w:line="300" w:lineRule="auto"/>
      </w:pPr>
      <w:r>
        <w:rPr>
          <w:rFonts w:hint="eastAsia"/>
        </w:rPr>
        <w:t>以通用量具或专用量具检验应符合2.1.10.1的要求。</w:t>
      </w:r>
    </w:p>
    <w:p>
      <w:pPr>
        <w:spacing w:line="300" w:lineRule="auto"/>
      </w:pPr>
      <w:r>
        <w:rPr>
          <w:rFonts w:hint="eastAsia"/>
        </w:rPr>
        <w:t>3.1.10.2抽吸腔要求</w:t>
      </w:r>
    </w:p>
    <w:p>
      <w:pPr>
        <w:spacing w:line="300" w:lineRule="auto"/>
      </w:pPr>
      <w:r>
        <w:rPr>
          <w:rFonts w:hint="eastAsia"/>
        </w:rPr>
        <w:t>以通用量具或专用量具检验应符合2.1.10.2的要求。</w:t>
      </w:r>
    </w:p>
    <w:p>
      <w:pPr>
        <w:spacing w:line="300" w:lineRule="auto"/>
      </w:pPr>
      <w:r>
        <w:rPr>
          <w:rFonts w:hint="eastAsia"/>
        </w:rPr>
        <w:t>3.1.10.3夹角</w:t>
      </w:r>
    </w:p>
    <w:p>
      <w:pPr>
        <w:spacing w:line="300" w:lineRule="auto"/>
      </w:pPr>
      <w:r>
        <w:rPr>
          <w:rFonts w:hint="eastAsia"/>
        </w:rPr>
        <w:t>以通用量具或专用量具检验应符合2.1.10.3的要求。</w:t>
      </w:r>
    </w:p>
    <w:p>
      <w:pPr>
        <w:spacing w:line="300" w:lineRule="auto"/>
      </w:pPr>
      <w:r>
        <w:rPr>
          <w:rFonts w:hint="eastAsia"/>
        </w:rPr>
        <w:t>3.1.</w:t>
      </w:r>
      <w:r>
        <w:t>10.4</w:t>
      </w:r>
      <w:r>
        <w:rPr>
          <w:rFonts w:hint="eastAsia"/>
        </w:rPr>
        <w:t>以通用量具或专用量具检验应符合表1的要求。</w:t>
      </w:r>
    </w:p>
    <w:p>
      <w:pPr>
        <w:spacing w:line="300" w:lineRule="auto"/>
      </w:pPr>
      <w:r>
        <w:rPr>
          <w:rFonts w:hint="eastAsia"/>
        </w:rPr>
        <w:t>3</w:t>
      </w:r>
      <w:r>
        <w:t>.1.10.5</w:t>
      </w:r>
      <w:r>
        <w:rPr>
          <w:rFonts w:hint="eastAsia"/>
        </w:rPr>
        <w:t>自由端</w:t>
      </w:r>
    </w:p>
    <w:p>
      <w:pPr>
        <w:spacing w:line="300" w:lineRule="auto"/>
      </w:pPr>
      <w:r>
        <w:rPr>
          <w:rFonts w:hint="eastAsia"/>
        </w:rPr>
        <w:t>通过检查应符合2.1.10.</w:t>
      </w:r>
      <w:r>
        <w:t>5</w:t>
      </w:r>
      <w:r>
        <w:rPr>
          <w:rFonts w:hint="eastAsia"/>
        </w:rPr>
        <w:t>的要求。</w:t>
      </w:r>
    </w:p>
    <w:p>
      <w:pPr>
        <w:spacing w:line="300" w:lineRule="auto"/>
      </w:pPr>
      <w:r>
        <w:rPr>
          <w:rFonts w:hint="eastAsia"/>
        </w:rPr>
        <w:t>3.2化学性能</w:t>
      </w:r>
    </w:p>
    <w:p>
      <w:pPr>
        <w:spacing w:line="300" w:lineRule="auto"/>
      </w:pPr>
      <w:r>
        <w:rPr>
          <w:rFonts w:hint="eastAsia"/>
        </w:rPr>
        <w:t>取样品，按样品0.2g加1ml的比例水，在37°C±1°C下放置24小时,将样品与液体分离，冷至室温，作为检验夜。用同样的方法制成同批空白对照液，然后进行测试。</w:t>
      </w:r>
    </w:p>
    <w:p>
      <w:pPr>
        <w:spacing w:line="300" w:lineRule="auto"/>
      </w:pPr>
      <w:r>
        <w:rPr>
          <w:rFonts w:hint="eastAsia"/>
        </w:rPr>
        <w:t>3.2.1易氧化物</w:t>
      </w:r>
    </w:p>
    <w:p>
      <w:pPr>
        <w:spacing w:line="300" w:lineRule="auto"/>
      </w:pPr>
      <w:r>
        <w:rPr>
          <w:rFonts w:hint="eastAsia"/>
        </w:rPr>
        <w:t>按GB/T14233. 1-20</w:t>
      </w:r>
      <w:r>
        <w:t>22</w:t>
      </w:r>
      <w:r>
        <w:rPr>
          <w:rFonts w:hint="eastAsia"/>
        </w:rPr>
        <w:t>《医用输液、输血、注射器具检验方法第1部分：化学分析方法》中5.2.2方法的规定进行试验，结果应符合2.2.1的要求。</w:t>
      </w:r>
    </w:p>
    <w:p>
      <w:pPr>
        <w:spacing w:line="300" w:lineRule="auto"/>
      </w:pPr>
      <w:r>
        <w:rPr>
          <w:rFonts w:hint="eastAsia"/>
        </w:rPr>
        <w:t>3.2.2重金属含量</w:t>
      </w:r>
    </w:p>
    <w:p>
      <w:pPr>
        <w:spacing w:line="300" w:lineRule="auto"/>
      </w:pPr>
      <w:r>
        <w:rPr>
          <w:rFonts w:hint="eastAsia"/>
        </w:rPr>
        <w:t>按GB/T14233. 1-</w:t>
      </w:r>
      <w:r>
        <w:t>2022</w:t>
      </w:r>
      <w:r>
        <w:rPr>
          <w:rFonts w:hint="eastAsia"/>
        </w:rPr>
        <w:t>《医用输液、输血、注射器具检验方法第1部分:化学分析方法》中5.</w:t>
      </w:r>
      <w:r>
        <w:t>6.1</w:t>
      </w:r>
      <w:r>
        <w:rPr>
          <w:rFonts w:hint="eastAsia"/>
        </w:rPr>
        <w:t>和5.9.1规定的方法进行试验，结果应符合2.2.2的要求。</w:t>
      </w:r>
    </w:p>
    <w:p>
      <w:pPr>
        <w:spacing w:line="300" w:lineRule="auto"/>
      </w:pPr>
      <w:r>
        <w:rPr>
          <w:rFonts w:hint="eastAsia"/>
        </w:rPr>
        <w:t>3.2.3酸碱度</w:t>
      </w:r>
    </w:p>
    <w:p>
      <w:pPr>
        <w:spacing w:line="300" w:lineRule="auto"/>
      </w:pPr>
      <w:r>
        <w:rPr>
          <w:rFonts w:hint="eastAsia"/>
        </w:rPr>
        <w:t>按GB/T14233.1-</w:t>
      </w:r>
      <w:r>
        <w:t>2022</w:t>
      </w:r>
      <w:r>
        <w:rPr>
          <w:rFonts w:hint="eastAsia"/>
        </w:rPr>
        <w:t>《医用输液、输血、注射器具检验方法第1部分:化学</w:t>
      </w:r>
    </w:p>
    <w:p>
      <w:pPr>
        <w:spacing w:line="300" w:lineRule="auto"/>
      </w:pPr>
      <w:r>
        <w:rPr>
          <w:rFonts w:hint="eastAsia"/>
        </w:rPr>
        <w:t>分析方法》中5.4.1中规定的方法进行试验，结果应符合2.2.3的要求。</w:t>
      </w:r>
    </w:p>
    <w:p>
      <w:pPr>
        <w:spacing w:line="300" w:lineRule="auto"/>
      </w:pPr>
      <w:r>
        <w:t>3.2.4</w:t>
      </w:r>
      <w:r>
        <w:rPr>
          <w:rFonts w:hint="eastAsia"/>
        </w:rPr>
        <w:t>浊度和色泽</w:t>
      </w:r>
    </w:p>
    <w:p>
      <w:pPr>
        <w:spacing w:line="300" w:lineRule="auto"/>
      </w:pPr>
      <w:r>
        <w:rPr>
          <w:rFonts w:hint="eastAsia"/>
        </w:rPr>
        <w:t>按GB/T14233.1-20</w:t>
      </w:r>
      <w:r>
        <w:t>22</w:t>
      </w:r>
      <w:r>
        <w:rPr>
          <w:rFonts w:hint="eastAsia"/>
        </w:rPr>
        <w:t>中5.1规定的方法进行，应符合</w:t>
      </w:r>
      <w:r>
        <w:t>2.2.5</w:t>
      </w:r>
      <w:r>
        <w:rPr>
          <w:rFonts w:hint="eastAsia"/>
        </w:rPr>
        <w:t>的规定。</w:t>
      </w:r>
    </w:p>
    <w:p>
      <w:pPr>
        <w:spacing w:line="300" w:lineRule="auto"/>
      </w:pPr>
      <w:r>
        <w:t>3</w:t>
      </w:r>
      <w:r>
        <w:rPr>
          <w:rFonts w:hint="eastAsia"/>
        </w:rPr>
        <w:t>.2.</w:t>
      </w:r>
      <w:r>
        <w:t>5</w:t>
      </w:r>
      <w:r>
        <w:rPr>
          <w:rFonts w:hint="eastAsia"/>
        </w:rPr>
        <w:t>蒸发残留</w:t>
      </w:r>
    </w:p>
    <w:p>
      <w:pPr>
        <w:spacing w:line="300" w:lineRule="auto"/>
      </w:pPr>
      <w:r>
        <w:rPr>
          <w:rFonts w:hint="eastAsia"/>
        </w:rPr>
        <w:t>按GB/T14233.1-</w:t>
      </w:r>
      <w:r>
        <w:t>2022</w:t>
      </w:r>
      <w:r>
        <w:rPr>
          <w:rFonts w:hint="eastAsia"/>
        </w:rPr>
        <w:t>中5.5规定的方法进行，应符合</w:t>
      </w:r>
      <w:r>
        <w:t>2.2.6</w:t>
      </w:r>
      <w:r>
        <w:rPr>
          <w:rFonts w:hint="eastAsia"/>
        </w:rPr>
        <w:t>的规定。</w:t>
      </w:r>
    </w:p>
    <w:p>
      <w:pPr>
        <w:spacing w:line="300" w:lineRule="auto"/>
      </w:pPr>
      <w:r>
        <w:rPr>
          <w:rFonts w:hint="eastAsia"/>
        </w:rPr>
        <w:t>3.</w:t>
      </w:r>
      <w:r>
        <w:t>3</w:t>
      </w:r>
      <w:r>
        <w:rPr>
          <w:rFonts w:hint="eastAsia"/>
        </w:rPr>
        <w:t>环氧乙烷残留量</w:t>
      </w:r>
    </w:p>
    <w:p>
      <w:pPr>
        <w:spacing w:line="300" w:lineRule="auto"/>
      </w:pPr>
      <w:r>
        <w:rPr>
          <w:rFonts w:hint="eastAsia"/>
        </w:rPr>
        <w:t>按GB/T14233.1-</w:t>
      </w:r>
      <w:r>
        <w:t>2022</w:t>
      </w:r>
      <w:r>
        <w:rPr>
          <w:rFonts w:hint="eastAsia"/>
        </w:rPr>
        <w:t>《医用输液、输血、注射器具检验方法第1部分:化学分析方法》中第9章规定的方法进行试验，结果应符合</w:t>
      </w:r>
      <w:r>
        <w:t>2.3</w:t>
      </w:r>
      <w:r>
        <w:rPr>
          <w:rFonts w:hint="eastAsia"/>
        </w:rPr>
        <w:t>的要求。</w:t>
      </w:r>
    </w:p>
    <w:p>
      <w:pPr>
        <w:spacing w:line="300" w:lineRule="auto"/>
      </w:pPr>
      <w:r>
        <w:rPr>
          <w:rFonts w:hint="eastAsia"/>
        </w:rPr>
        <w:t>3.</w:t>
      </w:r>
      <w:r>
        <w:t>4</w:t>
      </w:r>
      <w:r>
        <w:rPr>
          <w:rFonts w:hint="eastAsia"/>
        </w:rPr>
        <w:t>无菌</w:t>
      </w:r>
    </w:p>
    <w:p>
      <w:pPr>
        <w:spacing w:line="300" w:lineRule="auto"/>
      </w:pPr>
      <w:r>
        <w:rPr>
          <w:rFonts w:hint="eastAsia"/>
        </w:rPr>
        <w:t xml:space="preserve">按《中国药典（四部）》（2020版）中通则1101 </w:t>
      </w:r>
      <w:r>
        <w:rPr>
          <w:rFonts w:hint="eastAsia"/>
          <w:lang w:val="zh-CN"/>
        </w:rPr>
        <w:t>"无</w:t>
      </w:r>
      <w:r>
        <w:rPr>
          <w:rFonts w:hint="eastAsia"/>
        </w:rPr>
        <w:t>菌检查法”进行试验，其结果应符合2.</w:t>
      </w:r>
      <w:r>
        <w:t>4</w:t>
      </w:r>
      <w:r>
        <w:rPr>
          <w:rFonts w:hint="eastAsia"/>
        </w:rPr>
        <w:t>的规定。</w:t>
      </w:r>
    </w:p>
    <w:p>
      <w:pPr>
        <w:spacing w:line="300" w:lineRule="auto"/>
      </w:pPr>
      <w:r>
        <w:rPr>
          <w:rFonts w:hint="eastAsia"/>
        </w:rPr>
        <w:t>3.</w:t>
      </w:r>
      <w:r>
        <w:t>5</w:t>
      </w:r>
      <w:r>
        <w:rPr>
          <w:rFonts w:hint="eastAsia"/>
        </w:rPr>
        <w:t>安全试验</w:t>
      </w:r>
    </w:p>
    <w:p>
      <w:pPr>
        <w:spacing w:line="300" w:lineRule="auto"/>
      </w:pPr>
      <w:r>
        <w:rPr>
          <w:rFonts w:hint="eastAsia"/>
        </w:rPr>
        <w:t xml:space="preserve"> 按照</w:t>
      </w:r>
      <w:r>
        <w:rPr>
          <w:rStyle w:val="14"/>
          <w:rFonts w:cs="Times New Roman"/>
        </w:rPr>
        <w:t>GB 9706.1-2020《医用电气设备 第1部分：安全通用要求》</w:t>
      </w:r>
      <w:r>
        <w:rPr>
          <w:rFonts w:hint="eastAsia"/>
        </w:rPr>
        <w:t>规定的方法进行，应符合2.</w:t>
      </w:r>
      <w:r>
        <w:t>5</w:t>
      </w:r>
      <w:r>
        <w:rPr>
          <w:rFonts w:hint="eastAsia"/>
        </w:rPr>
        <w:t>的要求。</w:t>
      </w:r>
    </w:p>
    <w:p>
      <w:pPr>
        <w:spacing w:line="300" w:lineRule="auto"/>
      </w:pPr>
      <w:r>
        <w:rPr>
          <w:rFonts w:hint="eastAsia"/>
        </w:rPr>
        <w:t>3.</w:t>
      </w:r>
      <w:r>
        <w:t>6</w:t>
      </w:r>
      <w:r>
        <w:rPr>
          <w:rFonts w:hint="eastAsia"/>
        </w:rPr>
        <w:t>电磁兼容试验</w:t>
      </w:r>
    </w:p>
    <w:p>
      <w:pPr>
        <w:spacing w:line="300" w:lineRule="auto"/>
      </w:pPr>
      <w:r>
        <w:rPr>
          <w:rFonts w:hint="eastAsia"/>
        </w:rPr>
        <w:t xml:space="preserve">    按照</w:t>
      </w:r>
      <w:r>
        <w:rPr>
          <w:rStyle w:val="14"/>
          <w:rFonts w:cs="Times New Roman"/>
        </w:rPr>
        <w:t>YY 9706.102-2021《医用电气设备 第1-2部分：基本安全和基本性能的通用要求 并列标准：电磁兼容 要求和试验》</w:t>
      </w:r>
      <w:r>
        <w:rPr>
          <w:rFonts w:hint="eastAsia"/>
        </w:rPr>
        <w:t>的试验方法进行，应符合</w:t>
      </w:r>
      <w:r>
        <w:t>2.6</w:t>
      </w:r>
      <w:r>
        <w:rPr>
          <w:rFonts w:hint="eastAsia"/>
        </w:rPr>
        <w:t>的要求。</w:t>
      </w:r>
    </w:p>
    <w:p>
      <w:pPr>
        <w:spacing w:line="300" w:lineRule="auto"/>
      </w:pPr>
      <w:r>
        <w:rPr>
          <w:rFonts w:hint="eastAsia"/>
        </w:rPr>
        <w:t>3</w:t>
      </w:r>
      <w:r>
        <w:t>.7环境试验</w:t>
      </w:r>
    </w:p>
    <w:p>
      <w:pPr>
        <w:spacing w:line="440" w:lineRule="exact"/>
        <w:ind w:firstLine="480" w:firstLineChars="200"/>
        <w:rPr>
          <w:rStyle w:val="14"/>
          <w:rFonts w:cs="Times New Roman"/>
        </w:rPr>
      </w:pPr>
      <w:r>
        <w:rPr>
          <w:rStyle w:val="14"/>
          <w:rFonts w:cs="Times New Roman"/>
        </w:rPr>
        <w:t>按照GB/T 14710-2009《医用电器环境要求及试验方法》中气候环境试验 II组，机械环境试验II组及</w:t>
      </w:r>
      <w:r>
        <w:rPr>
          <w:rStyle w:val="14"/>
          <w:rFonts w:hint="eastAsia" w:cs="Times New Roman"/>
        </w:rPr>
        <w:t>表2</w:t>
      </w:r>
      <w:r>
        <w:rPr>
          <w:rStyle w:val="14"/>
          <w:rFonts w:cs="Times New Roman"/>
        </w:rPr>
        <w:t>的要求进行试验，运输试验、电源电压适应能力试验应分别符合GB/T 14710-2009中的第4章、第5章的要求进行试验，结果应符合2.7的要求。</w:t>
      </w:r>
    </w:p>
    <w:p>
      <w:pPr>
        <w:spacing w:line="440" w:lineRule="exact"/>
        <w:jc w:val="center"/>
        <w:rPr>
          <w:rStyle w:val="14"/>
          <w:rFonts w:asciiTheme="minorEastAsia" w:hAnsiTheme="minorEastAsia" w:cstheme="minorEastAsia"/>
        </w:rPr>
      </w:pPr>
    </w:p>
    <w:p>
      <w:pPr>
        <w:spacing w:line="440" w:lineRule="exact"/>
        <w:rPr>
          <w:rStyle w:val="14"/>
          <w:rFonts w:asciiTheme="minorEastAsia" w:hAnsiTheme="minorEastAsia" w:cstheme="minorEastAsia"/>
        </w:rPr>
      </w:pPr>
    </w:p>
    <w:p>
      <w:pPr>
        <w:spacing w:line="440" w:lineRule="exact"/>
        <w:jc w:val="center"/>
        <w:rPr>
          <w:rStyle w:val="14"/>
          <w:rFonts w:cs="Times New Roman"/>
        </w:rPr>
      </w:pPr>
      <w:r>
        <w:rPr>
          <w:rStyle w:val="14"/>
          <w:rFonts w:hint="eastAsia" w:asciiTheme="minorEastAsia" w:hAnsiTheme="minorEastAsia" w:cstheme="minorEastAsia"/>
        </w:rPr>
        <w:t>表2环境试验要求和检验项目</w:t>
      </w:r>
    </w:p>
    <w:tbl>
      <w:tblPr>
        <w:tblStyle w:val="8"/>
        <w:tblW w:w="966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835"/>
        <w:gridCol w:w="835"/>
        <w:gridCol w:w="836"/>
        <w:gridCol w:w="837"/>
        <w:gridCol w:w="836"/>
        <w:gridCol w:w="836"/>
        <w:gridCol w:w="836"/>
        <w:gridCol w:w="836"/>
        <w:gridCol w:w="836"/>
        <w:gridCol w:w="8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1" w:hRule="atLeast"/>
          <w:tblHeader/>
        </w:trPr>
        <w:tc>
          <w:tcPr>
            <w:tcW w:w="1300" w:type="dxa"/>
            <w:vMerge w:val="restart"/>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b/>
                <w:bCs/>
                <w:szCs w:val="21"/>
              </w:rPr>
            </w:pPr>
            <w:r>
              <w:rPr>
                <w:rStyle w:val="14"/>
                <w:rFonts w:cs="Times New Roman"/>
                <w:b/>
                <w:bCs/>
                <w:szCs w:val="21"/>
              </w:rPr>
              <w:t>试验项目</w:t>
            </w:r>
          </w:p>
        </w:tc>
        <w:tc>
          <w:tcPr>
            <w:tcW w:w="3343" w:type="dxa"/>
            <w:gridSpan w:val="4"/>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b/>
                <w:bCs/>
                <w:szCs w:val="21"/>
              </w:rPr>
            </w:pPr>
            <w:r>
              <w:rPr>
                <w:rStyle w:val="14"/>
                <w:rFonts w:cs="Times New Roman"/>
                <w:b/>
                <w:bCs/>
                <w:szCs w:val="21"/>
              </w:rPr>
              <w:t>试验要求</w:t>
            </w:r>
          </w:p>
        </w:tc>
        <w:tc>
          <w:tcPr>
            <w:tcW w:w="5019" w:type="dxa"/>
            <w:gridSpan w:val="6"/>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b/>
                <w:bCs/>
                <w:szCs w:val="21"/>
              </w:rPr>
            </w:pPr>
            <w:r>
              <w:rPr>
                <w:rStyle w:val="14"/>
                <w:rFonts w:cs="Times New Roman"/>
                <w:b/>
                <w:bCs/>
                <w:szCs w:val="21"/>
              </w:rPr>
              <w:t>检测项目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 w:hRule="atLeast"/>
          <w:tblHeader/>
        </w:trPr>
        <w:tc>
          <w:tcPr>
            <w:tcW w:w="1300"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5" w:type="dxa"/>
            <w:vMerge w:val="restart"/>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b/>
                <w:bCs/>
                <w:szCs w:val="21"/>
              </w:rPr>
            </w:pPr>
            <w:r>
              <w:rPr>
                <w:rStyle w:val="14"/>
                <w:rFonts w:cs="Times New Roman"/>
                <w:b/>
                <w:bCs/>
                <w:szCs w:val="21"/>
              </w:rPr>
              <w:t>持续时间h</w:t>
            </w:r>
          </w:p>
        </w:tc>
        <w:tc>
          <w:tcPr>
            <w:tcW w:w="835" w:type="dxa"/>
            <w:vMerge w:val="restart"/>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b/>
                <w:bCs/>
                <w:szCs w:val="21"/>
              </w:rPr>
            </w:pPr>
            <w:r>
              <w:rPr>
                <w:rStyle w:val="14"/>
                <w:rFonts w:cs="Times New Roman"/>
                <w:b/>
                <w:bCs/>
                <w:szCs w:val="21"/>
              </w:rPr>
              <w:t>恢复时间h</w:t>
            </w:r>
          </w:p>
        </w:tc>
        <w:tc>
          <w:tcPr>
            <w:tcW w:w="836" w:type="dxa"/>
            <w:vMerge w:val="restart"/>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b/>
                <w:bCs/>
                <w:szCs w:val="21"/>
              </w:rPr>
            </w:pPr>
            <w:r>
              <w:rPr>
                <w:rStyle w:val="14"/>
                <w:rFonts w:cs="Times New Roman"/>
                <w:b/>
                <w:bCs/>
                <w:szCs w:val="21"/>
              </w:rPr>
              <w:t>通电状态</w:t>
            </w:r>
          </w:p>
        </w:tc>
        <w:tc>
          <w:tcPr>
            <w:tcW w:w="837" w:type="dxa"/>
            <w:vMerge w:val="restart"/>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b/>
                <w:bCs/>
                <w:szCs w:val="21"/>
              </w:rPr>
            </w:pPr>
            <w:r>
              <w:rPr>
                <w:rStyle w:val="14"/>
                <w:rFonts w:cs="Times New Roman"/>
                <w:b/>
                <w:bCs/>
                <w:szCs w:val="21"/>
              </w:rPr>
              <w:t>试验条件</w:t>
            </w:r>
          </w:p>
        </w:tc>
        <w:tc>
          <w:tcPr>
            <w:tcW w:w="836" w:type="dxa"/>
            <w:vMerge w:val="restart"/>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b/>
                <w:bCs/>
                <w:szCs w:val="21"/>
              </w:rPr>
            </w:pPr>
            <w:r>
              <w:rPr>
                <w:rStyle w:val="14"/>
                <w:rFonts w:cs="Times New Roman"/>
                <w:b/>
                <w:bCs/>
                <w:szCs w:val="21"/>
              </w:rPr>
              <w:t>初始检测</w:t>
            </w:r>
          </w:p>
        </w:tc>
        <w:tc>
          <w:tcPr>
            <w:tcW w:w="836" w:type="dxa"/>
            <w:vMerge w:val="restart"/>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b/>
                <w:bCs/>
                <w:szCs w:val="21"/>
              </w:rPr>
            </w:pPr>
            <w:r>
              <w:rPr>
                <w:rStyle w:val="14"/>
                <w:rFonts w:cs="Times New Roman"/>
                <w:b/>
                <w:bCs/>
                <w:szCs w:val="21"/>
              </w:rPr>
              <w:t>中间检测</w:t>
            </w:r>
          </w:p>
        </w:tc>
        <w:tc>
          <w:tcPr>
            <w:tcW w:w="836" w:type="dxa"/>
            <w:vMerge w:val="restart"/>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b/>
                <w:bCs/>
                <w:szCs w:val="21"/>
              </w:rPr>
            </w:pPr>
            <w:r>
              <w:rPr>
                <w:rStyle w:val="14"/>
                <w:rFonts w:cs="Times New Roman"/>
                <w:b/>
                <w:bCs/>
                <w:szCs w:val="21"/>
              </w:rPr>
              <w:t>最后检测</w:t>
            </w:r>
          </w:p>
        </w:tc>
        <w:tc>
          <w:tcPr>
            <w:tcW w:w="2511" w:type="dxa"/>
            <w:gridSpan w:val="3"/>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b/>
                <w:bCs/>
                <w:szCs w:val="21"/>
              </w:rPr>
            </w:pPr>
            <w:r>
              <w:rPr>
                <w:rStyle w:val="14"/>
                <w:rFonts w:cs="Times New Roman"/>
                <w:b/>
                <w:bCs/>
                <w:szCs w:val="21"/>
              </w:rPr>
              <w:t>显示部件电压（V）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7" w:hRule="atLeast"/>
          <w:tblHeader/>
        </w:trPr>
        <w:tc>
          <w:tcPr>
            <w:tcW w:w="1300"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5"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5"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6"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7"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6"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6"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6" w:type="dxa"/>
            <w:vMerge w:val="continue"/>
            <w:tcBorders>
              <w:top w:val="single" w:color="000000" w:sz="4" w:space="0"/>
              <w:left w:val="single" w:color="000000" w:sz="4" w:space="0"/>
              <w:bottom w:val="single" w:color="000000" w:sz="4" w:space="0"/>
              <w:right w:val="single" w:color="000000" w:sz="4" w:space="0"/>
            </w:tcBorders>
          </w:tcPr>
          <w:p>
            <w:pPr>
              <w:spacing w:line="0" w:lineRule="atLeast"/>
              <w:jc w:val="center"/>
              <w:rPr>
                <w:rStyle w:val="14"/>
                <w:rFonts w:cs="Times New Roman"/>
                <w:b/>
                <w:bCs/>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b/>
                <w:bCs/>
                <w:szCs w:val="21"/>
              </w:rPr>
            </w:pPr>
            <w:r>
              <w:rPr>
                <w:rStyle w:val="14"/>
                <w:rFonts w:cs="Times New Roman"/>
                <w:b/>
                <w:bCs/>
                <w:szCs w:val="21"/>
              </w:rPr>
              <w:t>198</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b/>
                <w:bCs/>
                <w:szCs w:val="21"/>
              </w:rPr>
            </w:pPr>
            <w:r>
              <w:rPr>
                <w:rStyle w:val="14"/>
                <w:rFonts w:cs="Times New Roman"/>
                <w:b/>
                <w:bCs/>
                <w:szCs w:val="21"/>
              </w:rPr>
              <w:t>220</w:t>
            </w: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b/>
                <w:bCs/>
                <w:szCs w:val="21"/>
              </w:rPr>
            </w:pPr>
            <w:r>
              <w:rPr>
                <w:rStyle w:val="14"/>
                <w:rFonts w:cs="Times New Roman"/>
                <w:b/>
                <w:bCs/>
                <w:szCs w:val="21"/>
              </w:rPr>
              <w:t>242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6"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额定工作低温试验</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1</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试验时通电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5℃</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5"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低温储存试验</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12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试验后通电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-40℃</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6"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额定工作高温试验</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1</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试验时通电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40℃</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5"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运行试验</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试验时通电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40℃</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6"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高温储存试验</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试验后通电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55℃</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32"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额定工作湿热试验</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试验时通电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szCs w:val="21"/>
              </w:rPr>
            </w:pPr>
            <w:r>
              <w:rPr>
                <w:rStyle w:val="14"/>
                <w:rFonts w:cs="Times New Roman"/>
                <w:szCs w:val="21"/>
              </w:rPr>
              <w:t>温度40℃</w:t>
            </w:r>
          </w:p>
          <w:p>
            <w:pPr>
              <w:spacing w:line="0" w:lineRule="atLeast"/>
              <w:jc w:val="center"/>
              <w:rPr>
                <w:rFonts w:cs="Times New Roman"/>
                <w:szCs w:val="21"/>
              </w:rPr>
            </w:pPr>
            <w:r>
              <w:rPr>
                <w:rStyle w:val="14"/>
                <w:rFonts w:cs="Times New Roman"/>
                <w:szCs w:val="21"/>
              </w:rPr>
              <w:t>相对湿度80％</w:t>
            </w:r>
          </w:p>
        </w:tc>
        <w:tc>
          <w:tcPr>
            <w:tcW w:w="836" w:type="dxa"/>
            <w:tcBorders>
              <w:top w:val="single" w:color="000000" w:sz="4" w:space="0"/>
              <w:left w:val="single" w:color="000000" w:sz="4" w:space="0"/>
              <w:bottom w:val="single" w:color="000000" w:sz="4" w:space="0"/>
              <w:right w:val="single" w:color="000000" w:sz="4" w:space="0"/>
            </w:tcBorders>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04"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湿热贮存试验</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48</w:t>
            </w:r>
          </w:p>
        </w:tc>
        <w:tc>
          <w:tcPr>
            <w:tcW w:w="835"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24</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试验后通电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Style w:val="14"/>
                <w:rFonts w:cs="Times New Roman"/>
                <w:szCs w:val="21"/>
              </w:rPr>
            </w:pPr>
            <w:r>
              <w:rPr>
                <w:rStyle w:val="14"/>
                <w:rFonts w:cs="Times New Roman"/>
                <w:szCs w:val="21"/>
              </w:rPr>
              <w:t>温度40℃</w:t>
            </w:r>
          </w:p>
          <w:p>
            <w:pPr>
              <w:spacing w:line="0" w:lineRule="atLeast"/>
              <w:jc w:val="center"/>
              <w:rPr>
                <w:rStyle w:val="14"/>
                <w:rFonts w:cs="Times New Roman"/>
                <w:szCs w:val="21"/>
              </w:rPr>
            </w:pPr>
            <w:r>
              <w:rPr>
                <w:rStyle w:val="14"/>
                <w:rFonts w:cs="Times New Roman"/>
                <w:szCs w:val="21"/>
              </w:rPr>
              <w:t>相对湿度</w:t>
            </w:r>
          </w:p>
          <w:p>
            <w:pPr>
              <w:spacing w:line="0" w:lineRule="atLeast"/>
              <w:jc w:val="center"/>
              <w:rPr>
                <w:rFonts w:cs="Times New Roman"/>
                <w:szCs w:val="21"/>
              </w:rPr>
            </w:pPr>
            <w:r>
              <w:rPr>
                <w:rStyle w:val="14"/>
                <w:rFonts w:cs="Times New Roman"/>
                <w:szCs w:val="21"/>
              </w:rPr>
              <w:t>93%</w:t>
            </w:r>
          </w:p>
        </w:tc>
        <w:tc>
          <w:tcPr>
            <w:tcW w:w="836" w:type="dxa"/>
            <w:tcBorders>
              <w:top w:val="single" w:color="000000" w:sz="4" w:space="0"/>
              <w:left w:val="single" w:color="000000" w:sz="4" w:space="0"/>
              <w:bottom w:val="single" w:color="000000" w:sz="4" w:space="0"/>
              <w:right w:val="single" w:color="000000" w:sz="4" w:space="0"/>
            </w:tcBorders>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5"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振动试验</w:t>
            </w:r>
          </w:p>
        </w:tc>
        <w:tc>
          <w:tcPr>
            <w:tcW w:w="1670" w:type="dxa"/>
            <w:gridSpan w:val="2"/>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试验后通电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基准试验条件</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6"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碰撞试验</w:t>
            </w:r>
          </w:p>
        </w:tc>
        <w:tc>
          <w:tcPr>
            <w:tcW w:w="1670" w:type="dxa"/>
            <w:gridSpan w:val="2"/>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试验后通电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基准试验条件</w:t>
            </w:r>
          </w:p>
        </w:tc>
        <w:tc>
          <w:tcPr>
            <w:tcW w:w="836" w:type="dxa"/>
            <w:tcBorders>
              <w:top w:val="single" w:color="000000" w:sz="4" w:space="0"/>
              <w:left w:val="single" w:color="000000" w:sz="4" w:space="0"/>
              <w:bottom w:val="single" w:color="000000" w:sz="4" w:space="0"/>
              <w:right w:val="single" w:color="000000" w:sz="4" w:space="0"/>
            </w:tcBorders>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5" w:hRule="atLeast"/>
        </w:trPr>
        <w:tc>
          <w:tcPr>
            <w:tcW w:w="1300"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运输试验</w:t>
            </w:r>
          </w:p>
        </w:tc>
        <w:tc>
          <w:tcPr>
            <w:tcW w:w="1670" w:type="dxa"/>
            <w:gridSpan w:val="2"/>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试验后通电</w:t>
            </w:r>
          </w:p>
        </w:tc>
        <w:tc>
          <w:tcPr>
            <w:tcW w:w="837"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基准试验条件</w:t>
            </w:r>
          </w:p>
        </w:tc>
        <w:tc>
          <w:tcPr>
            <w:tcW w:w="836" w:type="dxa"/>
            <w:tcBorders>
              <w:top w:val="single" w:color="000000" w:sz="4" w:space="0"/>
              <w:left w:val="single" w:color="000000" w:sz="4" w:space="0"/>
              <w:bottom w:val="single" w:color="000000" w:sz="4" w:space="0"/>
              <w:right w:val="single" w:color="000000" w:sz="4" w:space="0"/>
            </w:tcBorders>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2.1.8</w:t>
            </w:r>
            <w:r>
              <w:rPr>
                <w:rStyle w:val="14"/>
                <w:rFonts w:hint="eastAsia" w:cs="Times New Roman"/>
                <w:szCs w:val="21"/>
              </w:rPr>
              <w:t>、2</w:t>
            </w:r>
            <w:r>
              <w:rPr>
                <w:rStyle w:val="14"/>
                <w:rFonts w:cs="Times New Roman"/>
                <w:szCs w:val="21"/>
              </w:rPr>
              <w:t>.1.9.2</w:t>
            </w: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c>
          <w:tcPr>
            <w:tcW w:w="836"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r>
              <w:rPr>
                <w:rStyle w:val="14"/>
                <w:rFonts w:cs="Times New Roman"/>
                <w:szCs w:val="21"/>
              </w:rPr>
              <w:t>√</w:t>
            </w:r>
          </w:p>
        </w:tc>
        <w:tc>
          <w:tcPr>
            <w:tcW w:w="839" w:type="dxa"/>
            <w:tcBorders>
              <w:top w:val="single" w:color="000000" w:sz="4" w:space="0"/>
              <w:left w:val="single" w:color="000000" w:sz="4" w:space="0"/>
              <w:bottom w:val="single" w:color="000000" w:sz="4" w:space="0"/>
              <w:right w:val="single" w:color="000000" w:sz="4" w:space="0"/>
            </w:tcBorders>
            <w:vAlign w:val="center"/>
          </w:tcPr>
          <w:p>
            <w:pPr>
              <w:spacing w:line="0" w:lineRule="atLeast"/>
              <w:jc w:val="center"/>
              <w:rPr>
                <w:rFonts w:cs="Times New Roman"/>
                <w:szCs w:val="21"/>
              </w:rPr>
            </w:pPr>
          </w:p>
        </w:tc>
      </w:tr>
    </w:tbl>
    <w:p>
      <w:pPr>
        <w:spacing w:line="440" w:lineRule="exact"/>
        <w:ind w:firstLine="480" w:firstLineChars="200"/>
        <w:rPr>
          <w:rStyle w:val="14"/>
          <w:rFonts w:cs="Times New Roman"/>
        </w:rPr>
      </w:pPr>
    </w:p>
    <w:p>
      <w:pPr>
        <w:pStyle w:val="2"/>
        <w:sectPr>
          <w:footerReference r:id="rId6" w:type="even"/>
          <w:type w:val="continuous"/>
          <w:pgSz w:w="11900" w:h="16840"/>
          <w:pgMar w:top="1440" w:right="1800" w:bottom="1440" w:left="1800" w:header="778" w:footer="813" w:gutter="0"/>
          <w:cols w:space="720" w:num="1"/>
          <w:docGrid w:linePitch="360" w:charSpace="0"/>
        </w:sectPr>
      </w:pPr>
    </w:p>
    <w:p>
      <w:pPr>
        <w:spacing w:line="25" w:lineRule="atLeast"/>
        <w:jc w:val="center"/>
        <w:rPr>
          <w:rFonts w:ascii="宋体" w:hAnsi="宋体" w:eastAsia="宋体" w:cs="宋体"/>
          <w:b/>
          <w:bCs/>
        </w:rPr>
      </w:pPr>
      <w:r>
        <w:rPr>
          <w:rFonts w:hint="eastAsia" w:ascii="宋体" w:hAnsi="宋体" w:eastAsia="宋体" w:cs="宋体"/>
          <w:b/>
          <w:bCs/>
        </w:rPr>
        <w:t>附录A</w:t>
      </w:r>
    </w:p>
    <w:p>
      <w:pPr>
        <w:spacing w:line="25" w:lineRule="atLeast"/>
        <w:jc w:val="center"/>
        <w:rPr>
          <w:rFonts w:ascii="宋体" w:hAnsi="宋体" w:eastAsia="宋体" w:cs="宋体"/>
          <w:b/>
          <w:bCs/>
        </w:rPr>
      </w:pPr>
      <w:r>
        <w:rPr>
          <w:rFonts w:hint="eastAsia" w:ascii="宋体" w:hAnsi="宋体" w:eastAsia="宋体" w:cs="宋体"/>
          <w:b/>
          <w:bCs/>
        </w:rPr>
        <w:t>产品结构示意图及尺寸表</w:t>
      </w:r>
    </w:p>
    <w:p>
      <w:pPr>
        <w:spacing w:line="25" w:lineRule="atLeast"/>
        <w:rPr>
          <w:rFonts w:ascii="宋体" w:hAnsi="宋体" w:eastAsia="宋体" w:cs="宋体"/>
        </w:rPr>
      </w:pPr>
      <w:bookmarkStart w:id="13" w:name="_GoBack"/>
      <w:bookmarkEnd w:id="13"/>
    </w:p>
    <w:p>
      <w:pPr>
        <w:spacing w:line="25" w:lineRule="atLeast"/>
        <w:jc w:val="center"/>
        <w:rPr>
          <w:rFonts w:ascii="宋体" w:hAnsi="宋体" w:eastAsia="宋体" w:cs="宋体"/>
        </w:rPr>
      </w:pPr>
      <w:r>
        <w:rPr>
          <w:rFonts w:hint="eastAsia" w:ascii="宋体" w:hAnsi="宋体" w:eastAsia="宋体" w:cs="宋体"/>
        </w:rPr>
        <w:t>图</w:t>
      </w:r>
      <w:r>
        <w:rPr>
          <w:rFonts w:ascii="宋体" w:hAnsi="宋体" w:eastAsia="宋体" w:cs="宋体"/>
        </w:rPr>
        <w:t>4</w:t>
      </w:r>
    </w:p>
    <w:p>
      <w:pPr>
        <w:spacing w:line="25" w:lineRule="atLeast"/>
        <w:jc w:val="center"/>
        <w:rPr>
          <w:rFonts w:ascii="宋体" w:hAnsi="宋体" w:eastAsia="宋体" w:cs="宋体"/>
        </w:rPr>
      </w:pPr>
    </w:p>
    <w:p>
      <w:pPr>
        <w:spacing w:line="25" w:lineRule="atLeast"/>
        <w:ind w:firstLine="720" w:firstLineChars="300"/>
        <w:rPr>
          <w:rFonts w:ascii="宋体" w:hAnsi="宋体" w:eastAsia="宋体" w:cs="宋体"/>
        </w:rPr>
      </w:pPr>
      <w:r>
        <w:rPr>
          <w:rFonts w:hint="eastAsia" w:ascii="宋体" w:hAnsi="宋体" w:eastAsia="宋体" w:cs="宋体"/>
        </w:rPr>
        <w:t>表1：气管插管基本尺寸     单位mm</w:t>
      </w:r>
    </w:p>
    <w:tbl>
      <w:tblPr>
        <w:tblStyle w:val="8"/>
        <w:tblpPr w:leftFromText="180" w:rightFromText="180" w:vertAnchor="text" w:horzAnchor="page" w:tblpX="677" w:tblpY="318"/>
        <w:tblOverlap w:val="never"/>
        <w:tblW w:w="105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1176"/>
        <w:gridCol w:w="1296"/>
        <w:gridCol w:w="816"/>
        <w:gridCol w:w="816"/>
        <w:gridCol w:w="816"/>
        <w:gridCol w:w="816"/>
        <w:gridCol w:w="816"/>
        <w:gridCol w:w="816"/>
        <w:gridCol w:w="816"/>
        <w:gridCol w:w="816"/>
        <w:gridCol w:w="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576" w:type="dxa"/>
            <w:vAlign w:val="center"/>
          </w:tcPr>
          <w:p>
            <w:pPr>
              <w:spacing w:line="25" w:lineRule="atLeast"/>
              <w:jc w:val="center"/>
              <w:rPr>
                <w:rFonts w:ascii="宋体" w:hAnsi="宋体" w:eastAsia="宋体" w:cs="宋体"/>
              </w:rPr>
            </w:pPr>
            <w:r>
              <w:rPr>
                <w:rFonts w:hint="eastAsia" w:ascii="宋体" w:hAnsi="宋体" w:eastAsia="宋体" w:cs="宋体"/>
              </w:rPr>
              <w:t>规格</w:t>
            </w:r>
          </w:p>
        </w:tc>
        <w:tc>
          <w:tcPr>
            <w:tcW w:w="1176" w:type="dxa"/>
            <w:vAlign w:val="center"/>
          </w:tcPr>
          <w:p>
            <w:pPr>
              <w:spacing w:line="25" w:lineRule="atLeast"/>
              <w:jc w:val="center"/>
              <w:rPr>
                <w:rFonts w:ascii="宋体" w:hAnsi="宋体" w:eastAsia="宋体" w:cs="宋体"/>
              </w:rPr>
            </w:pPr>
            <w:r>
              <w:rPr>
                <w:rFonts w:hint="eastAsia" w:ascii="宋体" w:hAnsi="宋体" w:eastAsia="宋体" w:cs="宋体"/>
              </w:rPr>
              <w:t>ID</w:t>
            </w:r>
          </w:p>
        </w:tc>
        <w:tc>
          <w:tcPr>
            <w:tcW w:w="1296" w:type="dxa"/>
            <w:vAlign w:val="center"/>
          </w:tcPr>
          <w:p>
            <w:pPr>
              <w:spacing w:line="25" w:lineRule="atLeast"/>
              <w:jc w:val="center"/>
              <w:rPr>
                <w:rFonts w:ascii="宋体" w:hAnsi="宋体" w:eastAsia="宋体" w:cs="宋体"/>
              </w:rPr>
            </w:pPr>
            <w:r>
              <w:rPr>
                <w:rFonts w:hint="eastAsia" w:ascii="宋体" w:hAnsi="宋体" w:eastAsia="宋体" w:cs="宋体"/>
              </w:rPr>
              <w:t>OD</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L1±5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L2±5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L4±</w:t>
            </w:r>
            <w:r>
              <w:rPr>
                <w:rFonts w:ascii="宋体" w:hAnsi="宋体" w:eastAsia="宋体" w:cs="宋体"/>
              </w:rPr>
              <w:t>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L5±2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L6±</w:t>
            </w:r>
            <w:r>
              <w:rPr>
                <w:rFonts w:ascii="宋体" w:hAnsi="宋体" w:eastAsia="宋体" w:cs="宋体"/>
              </w:rPr>
              <w:t>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L7±2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L8±1</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L9±1</w:t>
            </w:r>
          </w:p>
        </w:tc>
        <w:tc>
          <w:tcPr>
            <w:tcW w:w="936" w:type="dxa"/>
            <w:vAlign w:val="center"/>
          </w:tcPr>
          <w:p>
            <w:pPr>
              <w:spacing w:line="25" w:lineRule="atLeast"/>
              <w:jc w:val="center"/>
              <w:rPr>
                <w:rFonts w:ascii="宋体" w:hAnsi="宋体" w:eastAsia="宋体" w:cs="宋体"/>
              </w:rPr>
            </w:pPr>
            <w:r>
              <w:rPr>
                <w:rFonts w:hint="eastAsia" w:ascii="宋体" w:hAnsi="宋体" w:eastAsia="宋体" w:cs="宋体"/>
              </w:rPr>
              <w:t>L10±</w:t>
            </w:r>
            <w:r>
              <w:rPr>
                <w:rFonts w:ascii="宋体" w:hAnsi="宋体" w:eastAsia="宋体" w:cs="宋体"/>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576" w:type="dxa"/>
            <w:vAlign w:val="center"/>
          </w:tcPr>
          <w:p>
            <w:pPr>
              <w:spacing w:line="25" w:lineRule="atLeast"/>
              <w:jc w:val="center"/>
              <w:rPr>
                <w:rFonts w:ascii="宋体" w:hAnsi="宋体" w:eastAsia="宋体" w:cs="宋体"/>
              </w:rPr>
            </w:pPr>
            <w:r>
              <w:rPr>
                <w:rFonts w:hint="eastAsia" w:ascii="宋体" w:hAnsi="宋体" w:eastAsia="宋体" w:cs="宋体"/>
              </w:rPr>
              <w:t>6.5</w:t>
            </w:r>
          </w:p>
        </w:tc>
        <w:tc>
          <w:tcPr>
            <w:tcW w:w="1176" w:type="dxa"/>
            <w:vAlign w:val="center"/>
          </w:tcPr>
          <w:p>
            <w:pPr>
              <w:spacing w:line="25" w:lineRule="atLeast"/>
              <w:jc w:val="center"/>
              <w:rPr>
                <w:rFonts w:ascii="宋体" w:hAnsi="宋体" w:eastAsia="宋体" w:cs="宋体"/>
              </w:rPr>
            </w:pPr>
            <w:r>
              <w:rPr>
                <w:rFonts w:hint="eastAsia" w:ascii="宋体" w:hAnsi="宋体" w:eastAsia="宋体" w:cs="宋体"/>
              </w:rPr>
              <w:t>6.5±0.2</w:t>
            </w:r>
          </w:p>
        </w:tc>
        <w:tc>
          <w:tcPr>
            <w:tcW w:w="1296" w:type="dxa"/>
            <w:vAlign w:val="center"/>
          </w:tcPr>
          <w:p>
            <w:pPr>
              <w:spacing w:line="25" w:lineRule="atLeast"/>
              <w:jc w:val="center"/>
              <w:rPr>
                <w:rFonts w:ascii="宋体" w:hAnsi="宋体" w:eastAsia="宋体" w:cs="宋体"/>
              </w:rPr>
            </w:pPr>
            <w:r>
              <w:rPr>
                <w:rFonts w:hint="eastAsia" w:ascii="宋体" w:hAnsi="宋体" w:eastAsia="宋体" w:cs="宋体"/>
              </w:rPr>
              <w:t>10±0.2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300</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265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215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58</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225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215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16</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18</w:t>
            </w:r>
          </w:p>
        </w:tc>
        <w:tc>
          <w:tcPr>
            <w:tcW w:w="936" w:type="dxa"/>
            <w:vAlign w:val="center"/>
          </w:tcPr>
          <w:p>
            <w:pPr>
              <w:spacing w:line="25" w:lineRule="atLeast"/>
              <w:jc w:val="center"/>
              <w:rPr>
                <w:rFonts w:ascii="宋体" w:hAnsi="宋体" w:eastAsia="宋体" w:cs="宋体"/>
              </w:rPr>
            </w:pPr>
            <w:r>
              <w:rPr>
                <w:rFonts w:hint="eastAsia" w:ascii="宋体" w:hAnsi="宋体" w:eastAsia="宋体" w:cs="宋体"/>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576" w:type="dxa"/>
            <w:vAlign w:val="center"/>
          </w:tcPr>
          <w:p>
            <w:pPr>
              <w:spacing w:line="25" w:lineRule="atLeast"/>
              <w:jc w:val="center"/>
              <w:rPr>
                <w:rFonts w:ascii="宋体" w:hAnsi="宋体" w:eastAsia="宋体" w:cs="宋体"/>
              </w:rPr>
            </w:pPr>
            <w:r>
              <w:rPr>
                <w:rFonts w:hint="eastAsia" w:ascii="宋体" w:hAnsi="宋体" w:eastAsia="宋体" w:cs="宋体"/>
              </w:rPr>
              <w:t>7.0</w:t>
            </w:r>
          </w:p>
        </w:tc>
        <w:tc>
          <w:tcPr>
            <w:tcW w:w="1176" w:type="dxa"/>
            <w:vAlign w:val="center"/>
          </w:tcPr>
          <w:p>
            <w:pPr>
              <w:spacing w:line="25" w:lineRule="atLeast"/>
              <w:jc w:val="center"/>
              <w:rPr>
                <w:rFonts w:ascii="宋体" w:hAnsi="宋体" w:eastAsia="宋体" w:cs="宋体"/>
              </w:rPr>
            </w:pPr>
            <w:r>
              <w:rPr>
                <w:rFonts w:hint="eastAsia" w:ascii="宋体" w:hAnsi="宋体" w:eastAsia="宋体" w:cs="宋体"/>
              </w:rPr>
              <w:t>7.0±0.2</w:t>
            </w:r>
          </w:p>
        </w:tc>
        <w:tc>
          <w:tcPr>
            <w:tcW w:w="1296" w:type="dxa"/>
            <w:vAlign w:val="center"/>
          </w:tcPr>
          <w:p>
            <w:pPr>
              <w:spacing w:line="25" w:lineRule="atLeast"/>
              <w:jc w:val="center"/>
              <w:rPr>
                <w:rFonts w:ascii="宋体" w:hAnsi="宋体" w:eastAsia="宋体" w:cs="宋体"/>
              </w:rPr>
            </w:pPr>
            <w:r>
              <w:rPr>
                <w:rFonts w:hint="eastAsia" w:ascii="宋体" w:hAnsi="宋体" w:eastAsia="宋体" w:cs="宋体"/>
              </w:rPr>
              <w:t>10.7±0.2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310</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274</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225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62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235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235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17</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19</w:t>
            </w:r>
          </w:p>
        </w:tc>
        <w:tc>
          <w:tcPr>
            <w:tcW w:w="936" w:type="dxa"/>
            <w:vAlign w:val="center"/>
          </w:tcPr>
          <w:p>
            <w:pPr>
              <w:spacing w:line="25" w:lineRule="atLeast"/>
              <w:jc w:val="center"/>
              <w:rPr>
                <w:rFonts w:ascii="宋体" w:hAnsi="宋体" w:eastAsia="宋体" w:cs="宋体"/>
              </w:rPr>
            </w:pPr>
            <w:r>
              <w:rPr>
                <w:rFonts w:hint="eastAsia" w:ascii="宋体" w:hAnsi="宋体" w:eastAsia="宋体" w:cs="宋体"/>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576" w:type="dxa"/>
            <w:vAlign w:val="center"/>
          </w:tcPr>
          <w:p>
            <w:pPr>
              <w:spacing w:line="25" w:lineRule="atLeast"/>
              <w:jc w:val="center"/>
              <w:rPr>
                <w:rFonts w:ascii="宋体" w:hAnsi="宋体" w:eastAsia="宋体" w:cs="宋体"/>
              </w:rPr>
            </w:pPr>
            <w:r>
              <w:rPr>
                <w:rFonts w:hint="eastAsia" w:ascii="宋体" w:hAnsi="宋体" w:eastAsia="宋体" w:cs="宋体"/>
              </w:rPr>
              <w:t>7.5</w:t>
            </w:r>
          </w:p>
        </w:tc>
        <w:tc>
          <w:tcPr>
            <w:tcW w:w="1176" w:type="dxa"/>
            <w:vAlign w:val="center"/>
          </w:tcPr>
          <w:p>
            <w:pPr>
              <w:spacing w:line="25" w:lineRule="atLeast"/>
              <w:jc w:val="center"/>
              <w:rPr>
                <w:rFonts w:ascii="宋体" w:hAnsi="宋体" w:eastAsia="宋体" w:cs="宋体"/>
              </w:rPr>
            </w:pPr>
            <w:r>
              <w:rPr>
                <w:rFonts w:hint="eastAsia" w:ascii="宋体" w:hAnsi="宋体" w:eastAsia="宋体" w:cs="宋体"/>
              </w:rPr>
              <w:t>7.5±0.2</w:t>
            </w:r>
          </w:p>
        </w:tc>
        <w:tc>
          <w:tcPr>
            <w:tcW w:w="1296" w:type="dxa"/>
            <w:vAlign w:val="center"/>
          </w:tcPr>
          <w:p>
            <w:pPr>
              <w:spacing w:line="25" w:lineRule="atLeast"/>
              <w:jc w:val="center"/>
              <w:rPr>
                <w:rFonts w:ascii="宋体" w:hAnsi="宋体" w:eastAsia="宋体" w:cs="宋体"/>
              </w:rPr>
            </w:pPr>
            <w:r>
              <w:rPr>
                <w:rFonts w:hint="eastAsia" w:ascii="宋体" w:hAnsi="宋体" w:eastAsia="宋体" w:cs="宋体"/>
              </w:rPr>
              <w:t>11.5±0.2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320</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284</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235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62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245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235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17</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19</w:t>
            </w:r>
          </w:p>
        </w:tc>
        <w:tc>
          <w:tcPr>
            <w:tcW w:w="936" w:type="dxa"/>
            <w:vAlign w:val="center"/>
          </w:tcPr>
          <w:p>
            <w:pPr>
              <w:spacing w:line="25" w:lineRule="atLeast"/>
              <w:jc w:val="center"/>
              <w:rPr>
                <w:rFonts w:ascii="宋体" w:hAnsi="宋体" w:eastAsia="宋体" w:cs="宋体"/>
              </w:rPr>
            </w:pPr>
            <w:r>
              <w:rPr>
                <w:rFonts w:hint="eastAsia" w:ascii="宋体" w:hAnsi="宋体" w:eastAsia="宋体" w:cs="宋体"/>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576" w:type="dxa"/>
            <w:vAlign w:val="center"/>
          </w:tcPr>
          <w:p>
            <w:pPr>
              <w:spacing w:line="25" w:lineRule="atLeast"/>
              <w:jc w:val="center"/>
              <w:rPr>
                <w:rFonts w:ascii="宋体" w:hAnsi="宋体" w:eastAsia="宋体" w:cs="宋体"/>
              </w:rPr>
            </w:pPr>
            <w:r>
              <w:rPr>
                <w:rFonts w:hint="eastAsia" w:ascii="宋体" w:hAnsi="宋体" w:eastAsia="宋体" w:cs="宋体"/>
              </w:rPr>
              <w:t>8.0</w:t>
            </w:r>
          </w:p>
        </w:tc>
        <w:tc>
          <w:tcPr>
            <w:tcW w:w="1176" w:type="dxa"/>
            <w:vAlign w:val="center"/>
          </w:tcPr>
          <w:p>
            <w:pPr>
              <w:spacing w:line="25" w:lineRule="atLeast"/>
              <w:jc w:val="center"/>
              <w:rPr>
                <w:rFonts w:ascii="宋体" w:hAnsi="宋体" w:eastAsia="宋体" w:cs="宋体"/>
              </w:rPr>
            </w:pPr>
            <w:r>
              <w:rPr>
                <w:rFonts w:hint="eastAsia" w:ascii="宋体" w:hAnsi="宋体" w:eastAsia="宋体" w:cs="宋体"/>
              </w:rPr>
              <w:t>8.0±0.2</w:t>
            </w:r>
          </w:p>
        </w:tc>
        <w:tc>
          <w:tcPr>
            <w:tcW w:w="1296" w:type="dxa"/>
            <w:vAlign w:val="center"/>
          </w:tcPr>
          <w:p>
            <w:pPr>
              <w:spacing w:line="25" w:lineRule="atLeast"/>
              <w:jc w:val="center"/>
              <w:rPr>
                <w:rFonts w:ascii="宋体" w:hAnsi="宋体" w:eastAsia="宋体" w:cs="宋体"/>
              </w:rPr>
            </w:pPr>
            <w:r>
              <w:rPr>
                <w:rFonts w:hint="eastAsia" w:ascii="宋体" w:hAnsi="宋体" w:eastAsia="宋体" w:cs="宋体"/>
              </w:rPr>
              <w:t>12±0.2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325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287</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245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70</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255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255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17</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21</w:t>
            </w:r>
          </w:p>
        </w:tc>
        <w:tc>
          <w:tcPr>
            <w:tcW w:w="936" w:type="dxa"/>
            <w:vAlign w:val="center"/>
          </w:tcPr>
          <w:p>
            <w:pPr>
              <w:spacing w:line="25" w:lineRule="atLeast"/>
              <w:jc w:val="center"/>
              <w:rPr>
                <w:rFonts w:ascii="宋体" w:hAnsi="宋体" w:eastAsia="宋体" w:cs="宋体"/>
              </w:rPr>
            </w:pPr>
            <w:r>
              <w:rPr>
                <w:rFonts w:hint="eastAsia" w:ascii="宋体" w:hAnsi="宋体" w:eastAsia="宋体" w:cs="宋体"/>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576" w:type="dxa"/>
            <w:vAlign w:val="center"/>
          </w:tcPr>
          <w:p>
            <w:pPr>
              <w:spacing w:line="25" w:lineRule="atLeast"/>
              <w:jc w:val="center"/>
              <w:rPr>
                <w:rFonts w:ascii="宋体" w:hAnsi="宋体" w:eastAsia="宋体" w:cs="宋体"/>
              </w:rPr>
            </w:pPr>
            <w:r>
              <w:rPr>
                <w:rFonts w:hint="eastAsia" w:ascii="宋体" w:hAnsi="宋体" w:eastAsia="宋体" w:cs="宋体"/>
              </w:rPr>
              <w:t>8.5</w:t>
            </w:r>
          </w:p>
        </w:tc>
        <w:tc>
          <w:tcPr>
            <w:tcW w:w="1176" w:type="dxa"/>
            <w:vAlign w:val="center"/>
          </w:tcPr>
          <w:p>
            <w:pPr>
              <w:spacing w:line="25" w:lineRule="atLeast"/>
              <w:jc w:val="center"/>
              <w:rPr>
                <w:rFonts w:ascii="宋体" w:hAnsi="宋体" w:eastAsia="宋体" w:cs="宋体"/>
              </w:rPr>
            </w:pPr>
            <w:r>
              <w:rPr>
                <w:rFonts w:hint="eastAsia" w:ascii="宋体" w:hAnsi="宋体" w:eastAsia="宋体" w:cs="宋体"/>
              </w:rPr>
              <w:t>8.5±0.2</w:t>
            </w:r>
          </w:p>
        </w:tc>
        <w:tc>
          <w:tcPr>
            <w:tcW w:w="1296" w:type="dxa"/>
            <w:vAlign w:val="center"/>
          </w:tcPr>
          <w:p>
            <w:pPr>
              <w:spacing w:line="25" w:lineRule="atLeast"/>
              <w:jc w:val="center"/>
              <w:rPr>
                <w:rFonts w:ascii="宋体" w:hAnsi="宋体" w:eastAsia="宋体" w:cs="宋体"/>
              </w:rPr>
            </w:pPr>
            <w:r>
              <w:rPr>
                <w:rFonts w:hint="eastAsia" w:ascii="宋体" w:hAnsi="宋体" w:eastAsia="宋体" w:cs="宋体"/>
              </w:rPr>
              <w:t>12.7±0.2</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325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285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245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70</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255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255</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17</w:t>
            </w:r>
          </w:p>
        </w:tc>
        <w:tc>
          <w:tcPr>
            <w:tcW w:w="816" w:type="dxa"/>
            <w:vAlign w:val="center"/>
          </w:tcPr>
          <w:p>
            <w:pPr>
              <w:spacing w:line="25" w:lineRule="atLeast"/>
              <w:jc w:val="center"/>
              <w:rPr>
                <w:rFonts w:ascii="宋体" w:hAnsi="宋体" w:eastAsia="宋体" w:cs="宋体"/>
              </w:rPr>
            </w:pPr>
            <w:r>
              <w:rPr>
                <w:rFonts w:hint="eastAsia" w:ascii="宋体" w:hAnsi="宋体" w:eastAsia="宋体" w:cs="宋体"/>
              </w:rPr>
              <w:t>21</w:t>
            </w:r>
          </w:p>
        </w:tc>
        <w:tc>
          <w:tcPr>
            <w:tcW w:w="936" w:type="dxa"/>
            <w:vAlign w:val="center"/>
          </w:tcPr>
          <w:p>
            <w:pPr>
              <w:spacing w:line="25" w:lineRule="atLeast"/>
              <w:jc w:val="center"/>
              <w:rPr>
                <w:rFonts w:ascii="宋体" w:hAnsi="宋体" w:eastAsia="宋体" w:cs="宋体"/>
              </w:rPr>
            </w:pPr>
            <w:r>
              <w:rPr>
                <w:rFonts w:hint="eastAsia" w:ascii="宋体" w:hAnsi="宋体" w:eastAsia="宋体" w:cs="宋体"/>
              </w:rPr>
              <w:t>6</w:t>
            </w:r>
          </w:p>
        </w:tc>
      </w:tr>
    </w:tbl>
    <w:p>
      <w:pPr>
        <w:spacing w:line="25" w:lineRule="atLeast"/>
        <w:jc w:val="left"/>
        <w:rPr>
          <w:rFonts w:ascii="宋体" w:hAnsi="宋体" w:eastAsia="宋体" w:cs="宋体"/>
        </w:rPr>
      </w:pPr>
    </w:p>
    <w:p>
      <w:pPr>
        <w:rPr>
          <w:rFonts w:ascii="宋体" w:hAnsi="宋体" w:eastAsia="宋体" w:cs="宋体"/>
        </w:rPr>
      </w:pPr>
      <w:r>
        <w:rPr>
          <w:rFonts w:ascii="宋体" w:hAnsi="宋体" w:eastAsia="宋体" w:cs="宋体"/>
        </w:rPr>
        <w:br w:type="page"/>
      </w:r>
    </w:p>
    <w:p/>
    <w:p>
      <w:pPr>
        <w:spacing w:line="25" w:lineRule="atLeast"/>
        <w:jc w:val="center"/>
        <w:rPr>
          <w:rFonts w:ascii="宋体" w:hAnsi="宋体" w:eastAsia="宋体" w:cs="宋体"/>
        </w:rPr>
      </w:pPr>
      <w:r>
        <w:drawing>
          <wp:inline distT="0" distB="0" distL="114300" distR="114300">
            <wp:extent cx="1962150" cy="2533650"/>
            <wp:effectExtent l="0" t="0" r="1143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rot="5400000">
                      <a:off x="0" y="0"/>
                      <a:ext cx="1962150" cy="2533650"/>
                    </a:xfrm>
                    <a:prstGeom prst="rect">
                      <a:avLst/>
                    </a:prstGeom>
                    <a:noFill/>
                    <a:ln>
                      <a:noFill/>
                    </a:ln>
                  </pic:spPr>
                </pic:pic>
              </a:graphicData>
            </a:graphic>
          </wp:inline>
        </w:drawing>
      </w:r>
    </w:p>
    <w:p>
      <w:pPr>
        <w:spacing w:line="25" w:lineRule="atLeast"/>
        <w:jc w:val="center"/>
        <w:rPr>
          <w:rFonts w:ascii="宋体" w:hAnsi="宋体" w:eastAsia="宋体" w:cs="宋体"/>
        </w:rPr>
      </w:pPr>
      <w:r>
        <w:rPr>
          <w:rFonts w:hint="eastAsia" w:ascii="宋体" w:hAnsi="宋体" w:eastAsia="宋体" w:cs="宋体"/>
        </w:rPr>
        <w:t>图</w:t>
      </w:r>
      <w:r>
        <w:rPr>
          <w:rFonts w:ascii="宋体" w:hAnsi="宋体" w:eastAsia="宋体" w:cs="宋体"/>
        </w:rPr>
        <w:t>5</w:t>
      </w:r>
    </w:p>
    <w:p>
      <w:pPr>
        <w:spacing w:line="25" w:lineRule="atLeast"/>
        <w:ind w:firstLine="720" w:firstLineChars="300"/>
        <w:rPr>
          <w:rFonts w:ascii="宋体" w:hAnsi="宋体" w:eastAsia="宋体" w:cs="宋体"/>
        </w:rPr>
      </w:pPr>
      <w:r>
        <w:rPr>
          <w:rFonts w:hint="eastAsia" w:ascii="宋体" w:hAnsi="宋体" w:eastAsia="宋体" w:cs="宋体"/>
        </w:rPr>
        <w:t>表2   气管插管接头：规格范围和病人端基本尺寸        单位mm</w:t>
      </w:r>
    </w:p>
    <w:p>
      <w:pPr>
        <w:spacing w:line="25" w:lineRule="atLeast"/>
        <w:jc w:val="left"/>
        <w:rPr>
          <w:rFonts w:ascii="宋体" w:hAnsi="宋体" w:eastAsia="宋体" w:cs="宋体"/>
        </w:rPr>
      </w:pPr>
    </w:p>
    <w:tbl>
      <w:tblPr>
        <w:tblStyle w:val="8"/>
        <w:tblpPr w:leftFromText="180" w:rightFromText="180" w:vertAnchor="text" w:horzAnchor="page" w:tblpX="1904" w:tblpY="96"/>
        <w:tblOverlap w:val="never"/>
        <w:tblW w:w="87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3"/>
        <w:gridCol w:w="1677"/>
        <w:gridCol w:w="1677"/>
        <w:gridCol w:w="1677"/>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3" w:type="dxa"/>
            <w:vAlign w:val="center"/>
          </w:tcPr>
          <w:p>
            <w:pPr>
              <w:pStyle w:val="11"/>
              <w:spacing w:line="25" w:lineRule="atLeast"/>
              <w:jc w:val="center"/>
              <w:rPr>
                <w:color w:val="auto"/>
                <w:sz w:val="24"/>
                <w:szCs w:val="24"/>
              </w:rPr>
            </w:pPr>
            <w:r>
              <w:rPr>
                <w:rFonts w:hint="eastAsia"/>
                <w:color w:val="auto"/>
                <w:sz w:val="24"/>
                <w:szCs w:val="24"/>
              </w:rPr>
              <w:t>标称规格</w:t>
            </w:r>
          </w:p>
          <w:p>
            <w:pPr>
              <w:pStyle w:val="11"/>
              <w:spacing w:line="25" w:lineRule="atLeast"/>
              <w:jc w:val="center"/>
              <w:rPr>
                <w:color w:val="auto"/>
                <w:sz w:val="24"/>
                <w:szCs w:val="24"/>
              </w:rPr>
            </w:pPr>
            <w:r>
              <w:rPr>
                <w:rFonts w:hint="eastAsia"/>
                <w:color w:val="auto"/>
                <w:sz w:val="24"/>
                <w:szCs w:val="24"/>
              </w:rPr>
              <w:t>（公称内径）</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外径</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A</w:t>
            </w:r>
          </w:p>
        </w:tc>
        <w:tc>
          <w:tcPr>
            <w:tcW w:w="1677" w:type="dxa"/>
            <w:vAlign w:val="center"/>
          </w:tcPr>
          <w:p>
            <w:pPr>
              <w:pStyle w:val="11"/>
              <w:spacing w:line="25" w:lineRule="atLeast"/>
              <w:ind w:firstLine="480" w:firstLineChars="200"/>
              <w:jc w:val="left"/>
              <w:rPr>
                <w:color w:val="auto"/>
                <w:sz w:val="24"/>
                <w:szCs w:val="24"/>
                <w:lang w:val="en-US" w:eastAsia="zh-CN"/>
              </w:rPr>
            </w:pPr>
            <w:r>
              <w:rPr>
                <w:color w:val="auto"/>
                <w:sz w:val="24"/>
                <w:szCs w:val="24"/>
                <w:lang w:val="en-US" w:eastAsia="zh-CN"/>
              </w:rPr>
              <w:t>C</w:t>
            </w:r>
            <w:r>
              <w:rPr>
                <w:rFonts w:hint="eastAsia"/>
                <w:color w:val="auto"/>
                <w:sz w:val="24"/>
                <w:szCs w:val="24"/>
                <w:lang w:val="en-US" w:eastAsia="zh-CN"/>
              </w:rPr>
              <w:t>±0.15</w:t>
            </w:r>
          </w:p>
        </w:tc>
        <w:tc>
          <w:tcPr>
            <w:tcW w:w="1680" w:type="dxa"/>
            <w:vAlign w:val="center"/>
          </w:tcPr>
          <w:p>
            <w:pPr>
              <w:pStyle w:val="11"/>
              <w:spacing w:line="25" w:lineRule="atLeast"/>
              <w:ind w:firstLine="480" w:firstLineChars="200"/>
              <w:jc w:val="left"/>
              <w:rPr>
                <w:color w:val="auto"/>
                <w:sz w:val="24"/>
                <w:szCs w:val="24"/>
                <w:lang w:val="en-US" w:eastAsia="zh-CN"/>
              </w:rPr>
            </w:pPr>
            <w:r>
              <w:rPr>
                <w:color w:val="auto"/>
                <w:sz w:val="24"/>
                <w:szCs w:val="24"/>
                <w:lang w:val="en-US" w:eastAsia="zh-CN"/>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3" w:type="dxa"/>
            <w:vAlign w:val="center"/>
          </w:tcPr>
          <w:p>
            <w:pPr>
              <w:pStyle w:val="11"/>
              <w:spacing w:line="25" w:lineRule="atLeast"/>
              <w:ind w:firstLine="480" w:firstLineChars="200"/>
              <w:jc w:val="left"/>
              <w:rPr>
                <w:color w:val="auto"/>
                <w:sz w:val="24"/>
                <w:szCs w:val="24"/>
                <w:lang w:val="en-US" w:eastAsia="en-US"/>
              </w:rPr>
            </w:pPr>
            <w:r>
              <w:rPr>
                <w:rFonts w:hint="eastAsia"/>
                <w:color w:val="auto"/>
                <w:sz w:val="24"/>
                <w:szCs w:val="24"/>
                <w:lang w:val="en-US" w:eastAsia="en-US"/>
              </w:rPr>
              <w:t>6.</w:t>
            </w:r>
            <w:r>
              <w:rPr>
                <w:rFonts w:hint="eastAsia"/>
                <w:color w:val="auto"/>
                <w:sz w:val="24"/>
                <w:szCs w:val="24"/>
              </w:rPr>
              <w:t>5</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8.7</w:t>
            </w:r>
          </w:p>
        </w:tc>
        <w:tc>
          <w:tcPr>
            <w:tcW w:w="1677" w:type="dxa"/>
            <w:vAlign w:val="center"/>
          </w:tcPr>
          <w:p>
            <w:pPr>
              <w:pStyle w:val="11"/>
              <w:spacing w:line="25" w:lineRule="atLeast"/>
              <w:ind w:firstLine="480" w:firstLineChars="200"/>
              <w:jc w:val="left"/>
              <w:rPr>
                <w:color w:val="auto"/>
                <w:sz w:val="24"/>
                <w:szCs w:val="24"/>
                <w:lang w:val="en-US" w:eastAsia="zh-CN"/>
              </w:rPr>
            </w:pPr>
            <w:r>
              <w:rPr>
                <w:color w:val="auto"/>
                <w:sz w:val="24"/>
                <w:szCs w:val="24"/>
                <w:lang w:val="en-US" w:eastAsia="zh-CN"/>
              </w:rPr>
              <w:t>18</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6.5</w:t>
            </w:r>
          </w:p>
        </w:tc>
        <w:tc>
          <w:tcPr>
            <w:tcW w:w="1680"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3" w:type="dxa"/>
            <w:vAlign w:val="center"/>
          </w:tcPr>
          <w:p>
            <w:pPr>
              <w:pStyle w:val="11"/>
              <w:spacing w:line="25" w:lineRule="atLeast"/>
              <w:ind w:firstLine="480" w:firstLineChars="200"/>
              <w:jc w:val="left"/>
              <w:rPr>
                <w:color w:val="auto"/>
                <w:sz w:val="24"/>
                <w:szCs w:val="24"/>
                <w:lang w:val="en-US" w:eastAsia="en-US"/>
              </w:rPr>
            </w:pPr>
            <w:r>
              <w:rPr>
                <w:rFonts w:hint="eastAsia"/>
                <w:color w:val="auto"/>
                <w:sz w:val="24"/>
                <w:szCs w:val="24"/>
                <w:lang w:val="en-US" w:eastAsia="en-US"/>
              </w:rPr>
              <w:t>7.</w:t>
            </w:r>
            <w:r>
              <w:rPr>
                <w:rFonts w:hint="eastAsia"/>
                <w:color w:val="auto"/>
                <w:sz w:val="24"/>
                <w:szCs w:val="24"/>
              </w:rPr>
              <w:t>0</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9.3</w:t>
            </w:r>
          </w:p>
        </w:tc>
        <w:tc>
          <w:tcPr>
            <w:tcW w:w="1677" w:type="dxa"/>
          </w:tcPr>
          <w:p>
            <w:pPr>
              <w:pStyle w:val="11"/>
              <w:spacing w:line="25" w:lineRule="atLeast"/>
              <w:ind w:firstLine="480" w:firstLineChars="200"/>
              <w:jc w:val="left"/>
              <w:rPr>
                <w:color w:val="auto"/>
                <w:sz w:val="24"/>
                <w:szCs w:val="24"/>
                <w:lang w:val="en-US" w:eastAsia="zh-CN"/>
              </w:rPr>
            </w:pPr>
            <w:r>
              <w:rPr>
                <w:color w:val="auto"/>
                <w:sz w:val="24"/>
                <w:szCs w:val="24"/>
                <w:lang w:val="en-US" w:eastAsia="zh-CN"/>
              </w:rPr>
              <w:t>18</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7.0</w:t>
            </w:r>
          </w:p>
        </w:tc>
        <w:tc>
          <w:tcPr>
            <w:tcW w:w="1680"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2003" w:type="dxa"/>
            <w:vAlign w:val="center"/>
          </w:tcPr>
          <w:p>
            <w:pPr>
              <w:pStyle w:val="11"/>
              <w:spacing w:line="25" w:lineRule="atLeast"/>
              <w:ind w:firstLine="480" w:firstLineChars="200"/>
              <w:jc w:val="left"/>
              <w:rPr>
                <w:color w:val="auto"/>
                <w:sz w:val="24"/>
                <w:szCs w:val="24"/>
                <w:lang w:val="en-US" w:eastAsia="en-US"/>
              </w:rPr>
            </w:pPr>
            <w:r>
              <w:rPr>
                <w:rFonts w:hint="eastAsia"/>
                <w:color w:val="auto"/>
                <w:sz w:val="24"/>
                <w:szCs w:val="24"/>
                <w:lang w:val="en-US" w:eastAsia="en-US"/>
              </w:rPr>
              <w:t>7.</w:t>
            </w:r>
            <w:r>
              <w:rPr>
                <w:rFonts w:hint="eastAsia"/>
                <w:color w:val="auto"/>
                <w:sz w:val="24"/>
                <w:szCs w:val="24"/>
              </w:rPr>
              <w:t>5</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10</w:t>
            </w:r>
          </w:p>
        </w:tc>
        <w:tc>
          <w:tcPr>
            <w:tcW w:w="1677" w:type="dxa"/>
            <w:vAlign w:val="center"/>
          </w:tcPr>
          <w:p>
            <w:pPr>
              <w:pStyle w:val="11"/>
              <w:spacing w:line="25" w:lineRule="atLeast"/>
              <w:ind w:firstLine="480" w:firstLineChars="200"/>
              <w:jc w:val="left"/>
              <w:rPr>
                <w:color w:val="auto"/>
                <w:sz w:val="24"/>
                <w:szCs w:val="24"/>
                <w:lang w:val="en-US" w:eastAsia="zh-CN"/>
              </w:rPr>
            </w:pPr>
            <w:r>
              <w:rPr>
                <w:color w:val="auto"/>
                <w:sz w:val="24"/>
                <w:szCs w:val="24"/>
                <w:lang w:val="en-US" w:eastAsia="zh-CN"/>
              </w:rPr>
              <w:t>18</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7.5</w:t>
            </w:r>
          </w:p>
        </w:tc>
        <w:tc>
          <w:tcPr>
            <w:tcW w:w="1680"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3" w:type="dxa"/>
            <w:vAlign w:val="center"/>
          </w:tcPr>
          <w:p>
            <w:pPr>
              <w:pStyle w:val="11"/>
              <w:spacing w:line="25" w:lineRule="atLeast"/>
              <w:ind w:firstLine="480" w:firstLineChars="200"/>
              <w:jc w:val="left"/>
              <w:rPr>
                <w:color w:val="auto"/>
                <w:sz w:val="24"/>
                <w:szCs w:val="24"/>
                <w:lang w:val="en-US" w:eastAsia="en-US"/>
              </w:rPr>
            </w:pPr>
            <w:r>
              <w:rPr>
                <w:rFonts w:hint="eastAsia"/>
                <w:color w:val="auto"/>
                <w:sz w:val="24"/>
                <w:szCs w:val="24"/>
                <w:lang w:val="en-US" w:eastAsia="en-US"/>
              </w:rPr>
              <w:t>8.</w:t>
            </w:r>
            <w:r>
              <w:rPr>
                <w:rFonts w:hint="eastAsia"/>
                <w:color w:val="auto"/>
                <w:sz w:val="24"/>
                <w:szCs w:val="24"/>
              </w:rPr>
              <w:t>0</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10.7</w:t>
            </w:r>
          </w:p>
        </w:tc>
        <w:tc>
          <w:tcPr>
            <w:tcW w:w="1677" w:type="dxa"/>
          </w:tcPr>
          <w:p>
            <w:pPr>
              <w:pStyle w:val="11"/>
              <w:spacing w:line="25" w:lineRule="atLeast"/>
              <w:ind w:firstLine="480" w:firstLineChars="200"/>
              <w:jc w:val="left"/>
              <w:rPr>
                <w:color w:val="auto"/>
                <w:sz w:val="24"/>
                <w:szCs w:val="24"/>
                <w:lang w:val="en-US" w:eastAsia="zh-CN"/>
              </w:rPr>
            </w:pPr>
            <w:r>
              <w:rPr>
                <w:color w:val="auto"/>
                <w:sz w:val="24"/>
                <w:szCs w:val="24"/>
                <w:lang w:val="en-US" w:eastAsia="zh-CN"/>
              </w:rPr>
              <w:t>18</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8.0</w:t>
            </w:r>
          </w:p>
        </w:tc>
        <w:tc>
          <w:tcPr>
            <w:tcW w:w="1680"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3" w:type="dxa"/>
            <w:vAlign w:val="center"/>
          </w:tcPr>
          <w:p>
            <w:pPr>
              <w:pStyle w:val="11"/>
              <w:spacing w:line="25" w:lineRule="atLeast"/>
              <w:ind w:firstLine="480" w:firstLineChars="200"/>
              <w:jc w:val="left"/>
              <w:rPr>
                <w:color w:val="auto"/>
                <w:sz w:val="24"/>
                <w:szCs w:val="24"/>
                <w:lang w:val="en-US" w:eastAsia="en-US"/>
              </w:rPr>
            </w:pPr>
            <w:r>
              <w:rPr>
                <w:rFonts w:hint="eastAsia"/>
                <w:color w:val="auto"/>
                <w:sz w:val="24"/>
                <w:szCs w:val="24"/>
                <w:lang w:val="en-US" w:eastAsia="en-US"/>
              </w:rPr>
              <w:t>8.</w:t>
            </w:r>
            <w:r>
              <w:rPr>
                <w:rFonts w:hint="eastAsia"/>
                <w:color w:val="auto"/>
                <w:sz w:val="24"/>
                <w:szCs w:val="24"/>
              </w:rPr>
              <w:t>5</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11.3</w:t>
            </w:r>
          </w:p>
        </w:tc>
        <w:tc>
          <w:tcPr>
            <w:tcW w:w="1677" w:type="dxa"/>
            <w:vAlign w:val="center"/>
          </w:tcPr>
          <w:p>
            <w:pPr>
              <w:pStyle w:val="11"/>
              <w:spacing w:line="25" w:lineRule="atLeast"/>
              <w:ind w:firstLine="480" w:firstLineChars="200"/>
              <w:jc w:val="left"/>
              <w:rPr>
                <w:color w:val="auto"/>
                <w:sz w:val="24"/>
                <w:szCs w:val="24"/>
                <w:lang w:val="en-US" w:eastAsia="zh-CN"/>
              </w:rPr>
            </w:pPr>
            <w:r>
              <w:rPr>
                <w:color w:val="auto"/>
                <w:sz w:val="24"/>
                <w:szCs w:val="24"/>
                <w:lang w:val="en-US" w:eastAsia="zh-CN"/>
              </w:rPr>
              <w:t>18</w:t>
            </w:r>
          </w:p>
        </w:tc>
        <w:tc>
          <w:tcPr>
            <w:tcW w:w="1677"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8.5</w:t>
            </w:r>
          </w:p>
        </w:tc>
        <w:tc>
          <w:tcPr>
            <w:tcW w:w="1680" w:type="dxa"/>
            <w:vAlign w:val="center"/>
          </w:tcPr>
          <w:p>
            <w:pPr>
              <w:pStyle w:val="11"/>
              <w:spacing w:line="25" w:lineRule="atLeast"/>
              <w:ind w:firstLine="480" w:firstLineChars="200"/>
              <w:jc w:val="left"/>
              <w:rPr>
                <w:color w:val="auto"/>
                <w:sz w:val="24"/>
                <w:szCs w:val="24"/>
                <w:lang w:val="en-US" w:eastAsia="zh-CN"/>
              </w:rPr>
            </w:pPr>
            <w:r>
              <w:rPr>
                <w:rFonts w:hint="eastAsia"/>
                <w:color w:val="auto"/>
                <w:sz w:val="24"/>
                <w:szCs w:val="24"/>
                <w:lang w:val="en-US" w:eastAsia="zh-CN"/>
              </w:rPr>
              <w:t>9.5</w:t>
            </w:r>
          </w:p>
        </w:tc>
      </w:tr>
    </w:tbl>
    <w:p>
      <w:pPr>
        <w:spacing w:line="25" w:lineRule="atLeast"/>
        <w:jc w:val="left"/>
        <w:rPr>
          <w:rFonts w:ascii="宋体" w:hAnsi="宋体" w:eastAsia="宋体" w:cs="宋体"/>
        </w:rPr>
      </w:pPr>
    </w:p>
    <w:p>
      <w:pPr>
        <w:spacing w:line="25" w:lineRule="atLeast"/>
        <w:jc w:val="left"/>
        <w:rPr>
          <w:rFonts w:ascii="宋体" w:hAnsi="宋体" w:eastAsia="宋体" w:cs="宋体"/>
        </w:rPr>
      </w:pPr>
      <w:r>
        <w:rPr>
          <w:rFonts w:hint="eastAsia"/>
        </w:rPr>
        <w:drawing>
          <wp:anchor distT="0" distB="0" distL="114300" distR="114300" simplePos="0" relativeHeight="251659264" behindDoc="1" locked="0" layoutInCell="1" allowOverlap="1">
            <wp:simplePos x="0" y="0"/>
            <wp:positionH relativeFrom="column">
              <wp:posOffset>422275</wp:posOffset>
            </wp:positionH>
            <wp:positionV relativeFrom="paragraph">
              <wp:posOffset>36195</wp:posOffset>
            </wp:positionV>
            <wp:extent cx="4519295" cy="1745615"/>
            <wp:effectExtent l="0" t="0" r="6985" b="6985"/>
            <wp:wrapNone/>
            <wp:docPr id="5" name="图片 5" descr="1646205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46205004(1)"/>
                    <pic:cNvPicPr>
                      <a:picLocks noChangeAspect="1"/>
                    </pic:cNvPicPr>
                  </pic:nvPicPr>
                  <pic:blipFill>
                    <a:blip r:embed="rId9"/>
                    <a:stretch>
                      <a:fillRect/>
                    </a:stretch>
                  </pic:blipFill>
                  <pic:spPr>
                    <a:xfrm>
                      <a:off x="0" y="0"/>
                      <a:ext cx="4519295" cy="1745615"/>
                    </a:xfrm>
                    <a:prstGeom prst="rect">
                      <a:avLst/>
                    </a:prstGeom>
                  </pic:spPr>
                </pic:pic>
              </a:graphicData>
            </a:graphic>
          </wp:anchor>
        </w:drawing>
      </w:r>
    </w:p>
    <w:p>
      <w:pPr>
        <w:spacing w:line="25" w:lineRule="atLeast"/>
        <w:jc w:val="left"/>
      </w:pPr>
    </w:p>
    <w:p>
      <w:pPr>
        <w:spacing w:line="25" w:lineRule="atLeast"/>
        <w:jc w:val="center"/>
      </w:pPr>
    </w:p>
    <w:p>
      <w:pPr>
        <w:spacing w:line="25" w:lineRule="atLeast"/>
        <w:jc w:val="center"/>
      </w:pPr>
    </w:p>
    <w:p>
      <w:pPr>
        <w:spacing w:line="25" w:lineRule="atLeast"/>
        <w:jc w:val="center"/>
      </w:pPr>
    </w:p>
    <w:p>
      <w:pPr>
        <w:spacing w:line="25" w:lineRule="atLeast"/>
        <w:jc w:val="center"/>
      </w:pPr>
    </w:p>
    <w:p>
      <w:pPr>
        <w:spacing w:line="25" w:lineRule="atLeast"/>
        <w:jc w:val="center"/>
      </w:pPr>
    </w:p>
    <w:p>
      <w:pPr>
        <w:spacing w:line="25" w:lineRule="atLeast"/>
        <w:jc w:val="center"/>
      </w:pPr>
    </w:p>
    <w:p>
      <w:pPr>
        <w:spacing w:line="25" w:lineRule="atLeast"/>
        <w:jc w:val="center"/>
      </w:pPr>
      <w:r>
        <w:rPr>
          <w:rFonts w:hint="eastAsia"/>
        </w:rPr>
        <w:t>图</w:t>
      </w:r>
      <w:r>
        <w:t>6</w:t>
      </w:r>
    </w:p>
    <w:p>
      <w:pPr>
        <w:spacing w:line="25" w:lineRule="atLeast"/>
        <w:jc w:val="right"/>
      </w:pPr>
      <w:r>
        <w:rPr>
          <w:rFonts w:hint="eastAsia"/>
        </w:rPr>
        <w:t xml:space="preserve">表三：球囊的尺寸 </w:t>
      </w:r>
      <w:r>
        <w:t xml:space="preserve">                    </w:t>
      </w:r>
      <w:r>
        <w:rPr>
          <w:rFonts w:hint="eastAsia" w:ascii="宋体" w:hAnsi="宋体" w:eastAsia="宋体" w:cs="宋体"/>
        </w:rPr>
        <w:t>单位mm</w:t>
      </w:r>
    </w:p>
    <w:tbl>
      <w:tblPr>
        <w:tblStyle w:val="8"/>
        <w:tblW w:w="83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8"/>
        <w:gridCol w:w="1835"/>
        <w:gridCol w:w="1035"/>
        <w:gridCol w:w="1037"/>
        <w:gridCol w:w="1037"/>
        <w:gridCol w:w="10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exact"/>
        </w:trPr>
        <w:tc>
          <w:tcPr>
            <w:tcW w:w="2398" w:type="dxa"/>
          </w:tcPr>
          <w:p>
            <w:pPr>
              <w:pStyle w:val="10"/>
              <w:spacing w:line="25" w:lineRule="atLeast"/>
              <w:jc w:val="center"/>
              <w:rPr>
                <w:color w:val="auto"/>
                <w:sz w:val="24"/>
                <w:szCs w:val="24"/>
                <w:lang w:bidi="en-US"/>
              </w:rPr>
            </w:pPr>
            <w:r>
              <w:rPr>
                <w:rFonts w:hint="eastAsia"/>
                <w:color w:val="auto"/>
                <w:sz w:val="24"/>
                <w:szCs w:val="24"/>
                <w:lang w:bidi="en-US"/>
              </w:rPr>
              <w:t>尺寸</w:t>
            </w:r>
          </w:p>
        </w:tc>
        <w:tc>
          <w:tcPr>
            <w:tcW w:w="1835" w:type="dxa"/>
          </w:tcPr>
          <w:p>
            <w:pPr>
              <w:pStyle w:val="10"/>
              <w:spacing w:line="25" w:lineRule="atLeast"/>
              <w:jc w:val="center"/>
              <w:rPr>
                <w:color w:val="auto"/>
                <w:sz w:val="24"/>
                <w:szCs w:val="24"/>
                <w:lang w:eastAsia="en-US" w:bidi="en-US"/>
              </w:rPr>
            </w:pPr>
            <w:r>
              <w:rPr>
                <w:rFonts w:hint="eastAsia"/>
                <w:color w:val="auto"/>
                <w:sz w:val="24"/>
                <w:szCs w:val="24"/>
                <w:lang w:bidi="en-US"/>
              </w:rPr>
              <w:t>外径</w:t>
            </w:r>
          </w:p>
        </w:tc>
        <w:tc>
          <w:tcPr>
            <w:tcW w:w="1035" w:type="dxa"/>
          </w:tcPr>
          <w:p>
            <w:pPr>
              <w:pStyle w:val="10"/>
              <w:spacing w:line="25" w:lineRule="atLeast"/>
              <w:jc w:val="center"/>
              <w:rPr>
                <w:color w:val="auto"/>
                <w:sz w:val="24"/>
                <w:szCs w:val="24"/>
                <w:lang w:bidi="en-US"/>
              </w:rPr>
            </w:pPr>
            <w:r>
              <w:rPr>
                <w:rFonts w:hint="eastAsia"/>
                <w:color w:val="auto"/>
                <w:sz w:val="24"/>
                <w:szCs w:val="24"/>
                <w:lang w:bidi="en-US"/>
              </w:rPr>
              <w:t>A</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B</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C</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398" w:type="dxa"/>
          </w:tcPr>
          <w:p>
            <w:pPr>
              <w:pStyle w:val="10"/>
              <w:spacing w:line="25" w:lineRule="atLeast"/>
              <w:jc w:val="center"/>
              <w:rPr>
                <w:color w:val="auto"/>
                <w:sz w:val="24"/>
                <w:szCs w:val="24"/>
                <w:lang w:bidi="en-US"/>
              </w:rPr>
            </w:pPr>
            <w:r>
              <w:rPr>
                <w:rFonts w:hint="eastAsia"/>
                <w:color w:val="auto"/>
                <w:sz w:val="24"/>
                <w:szCs w:val="24"/>
                <w:lang w:bidi="en-US"/>
              </w:rPr>
              <w:t>6.5</w:t>
            </w:r>
          </w:p>
        </w:tc>
        <w:tc>
          <w:tcPr>
            <w:tcW w:w="1835" w:type="dxa"/>
          </w:tcPr>
          <w:p>
            <w:pPr>
              <w:pStyle w:val="10"/>
              <w:spacing w:line="25" w:lineRule="atLeast"/>
              <w:jc w:val="center"/>
              <w:rPr>
                <w:color w:val="auto"/>
                <w:sz w:val="24"/>
                <w:szCs w:val="24"/>
                <w:lang w:bidi="en-US"/>
              </w:rPr>
            </w:pPr>
            <w:r>
              <w:rPr>
                <w:rFonts w:hint="eastAsia"/>
                <w:color w:val="auto"/>
                <w:sz w:val="24"/>
                <w:szCs w:val="24"/>
                <w:lang w:bidi="en-US"/>
              </w:rPr>
              <w:t>10.0</w:t>
            </w:r>
          </w:p>
        </w:tc>
        <w:tc>
          <w:tcPr>
            <w:tcW w:w="1035" w:type="dxa"/>
          </w:tcPr>
          <w:p>
            <w:pPr>
              <w:pStyle w:val="10"/>
              <w:spacing w:line="25" w:lineRule="atLeast"/>
              <w:jc w:val="center"/>
              <w:rPr>
                <w:color w:val="auto"/>
                <w:sz w:val="24"/>
                <w:szCs w:val="24"/>
                <w:lang w:bidi="en-US"/>
              </w:rPr>
            </w:pPr>
            <w:r>
              <w:rPr>
                <w:rFonts w:hint="eastAsia"/>
                <w:color w:val="auto"/>
                <w:sz w:val="24"/>
                <w:szCs w:val="24"/>
                <w:lang w:bidi="en-US"/>
              </w:rPr>
              <w:t>9.8</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35</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2</w:t>
            </w:r>
            <w:r>
              <w:rPr>
                <w:color w:val="auto"/>
                <w:sz w:val="24"/>
                <w:szCs w:val="24"/>
                <w:lang w:bidi="en-US"/>
              </w:rPr>
              <w:t>0</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398" w:type="dxa"/>
          </w:tcPr>
          <w:p>
            <w:pPr>
              <w:pStyle w:val="10"/>
              <w:spacing w:line="25" w:lineRule="atLeast"/>
              <w:jc w:val="center"/>
              <w:rPr>
                <w:color w:val="auto"/>
                <w:sz w:val="24"/>
                <w:szCs w:val="24"/>
                <w:lang w:bidi="en-US"/>
              </w:rPr>
            </w:pPr>
            <w:r>
              <w:rPr>
                <w:rFonts w:hint="eastAsia"/>
                <w:color w:val="auto"/>
                <w:sz w:val="24"/>
                <w:szCs w:val="24"/>
                <w:lang w:bidi="en-US"/>
              </w:rPr>
              <w:t>7.0</w:t>
            </w:r>
          </w:p>
        </w:tc>
        <w:tc>
          <w:tcPr>
            <w:tcW w:w="1835" w:type="dxa"/>
          </w:tcPr>
          <w:p>
            <w:pPr>
              <w:pStyle w:val="10"/>
              <w:spacing w:line="25" w:lineRule="atLeast"/>
              <w:jc w:val="center"/>
              <w:rPr>
                <w:color w:val="auto"/>
                <w:sz w:val="24"/>
                <w:szCs w:val="24"/>
                <w:lang w:bidi="en-US"/>
              </w:rPr>
            </w:pPr>
            <w:r>
              <w:rPr>
                <w:rFonts w:hint="eastAsia"/>
                <w:color w:val="auto"/>
                <w:sz w:val="24"/>
                <w:szCs w:val="24"/>
                <w:lang w:bidi="en-US"/>
              </w:rPr>
              <w:t>10.7</w:t>
            </w:r>
          </w:p>
        </w:tc>
        <w:tc>
          <w:tcPr>
            <w:tcW w:w="1035" w:type="dxa"/>
          </w:tcPr>
          <w:p>
            <w:pPr>
              <w:pStyle w:val="10"/>
              <w:spacing w:line="25" w:lineRule="atLeast"/>
              <w:jc w:val="center"/>
              <w:rPr>
                <w:color w:val="auto"/>
                <w:sz w:val="24"/>
                <w:szCs w:val="24"/>
                <w:lang w:bidi="en-US"/>
              </w:rPr>
            </w:pPr>
            <w:r>
              <w:rPr>
                <w:rFonts w:hint="eastAsia"/>
                <w:color w:val="auto"/>
                <w:sz w:val="24"/>
                <w:szCs w:val="24"/>
                <w:lang w:bidi="en-US"/>
              </w:rPr>
              <w:t>9.8</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35</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2</w:t>
            </w:r>
            <w:r>
              <w:rPr>
                <w:color w:val="auto"/>
                <w:sz w:val="24"/>
                <w:szCs w:val="24"/>
                <w:lang w:bidi="en-US"/>
              </w:rPr>
              <w:t>0</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2398" w:type="dxa"/>
          </w:tcPr>
          <w:p>
            <w:pPr>
              <w:pStyle w:val="10"/>
              <w:spacing w:line="25" w:lineRule="atLeast"/>
              <w:jc w:val="center"/>
              <w:rPr>
                <w:color w:val="auto"/>
                <w:sz w:val="24"/>
                <w:szCs w:val="24"/>
                <w:lang w:bidi="en-US"/>
              </w:rPr>
            </w:pPr>
            <w:r>
              <w:rPr>
                <w:rFonts w:hint="eastAsia"/>
                <w:color w:val="auto"/>
                <w:sz w:val="24"/>
                <w:szCs w:val="24"/>
                <w:lang w:bidi="en-US"/>
              </w:rPr>
              <w:t>7.5</w:t>
            </w:r>
          </w:p>
        </w:tc>
        <w:tc>
          <w:tcPr>
            <w:tcW w:w="1835" w:type="dxa"/>
          </w:tcPr>
          <w:p>
            <w:pPr>
              <w:pStyle w:val="10"/>
              <w:spacing w:line="25" w:lineRule="atLeast"/>
              <w:jc w:val="center"/>
              <w:rPr>
                <w:color w:val="auto"/>
                <w:sz w:val="24"/>
                <w:szCs w:val="24"/>
                <w:lang w:bidi="en-US"/>
              </w:rPr>
            </w:pPr>
            <w:r>
              <w:rPr>
                <w:rFonts w:hint="eastAsia"/>
                <w:color w:val="auto"/>
                <w:sz w:val="24"/>
                <w:szCs w:val="24"/>
                <w:lang w:bidi="en-US"/>
              </w:rPr>
              <w:t>11.5</w:t>
            </w:r>
          </w:p>
        </w:tc>
        <w:tc>
          <w:tcPr>
            <w:tcW w:w="1035" w:type="dxa"/>
          </w:tcPr>
          <w:p>
            <w:pPr>
              <w:pStyle w:val="10"/>
              <w:spacing w:line="25" w:lineRule="atLeast"/>
              <w:jc w:val="center"/>
              <w:rPr>
                <w:color w:val="auto"/>
                <w:sz w:val="24"/>
                <w:szCs w:val="24"/>
                <w:lang w:bidi="en-US"/>
              </w:rPr>
            </w:pPr>
            <w:r>
              <w:rPr>
                <w:rFonts w:hint="eastAsia"/>
                <w:color w:val="auto"/>
                <w:sz w:val="24"/>
                <w:szCs w:val="24"/>
                <w:lang w:bidi="en-US"/>
              </w:rPr>
              <w:t>11</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42</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2</w:t>
            </w:r>
            <w:r>
              <w:rPr>
                <w:color w:val="auto"/>
                <w:sz w:val="24"/>
                <w:szCs w:val="24"/>
                <w:lang w:bidi="en-US"/>
              </w:rPr>
              <w:t>1</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398" w:type="dxa"/>
          </w:tcPr>
          <w:p>
            <w:pPr>
              <w:pStyle w:val="10"/>
              <w:spacing w:line="25" w:lineRule="atLeast"/>
              <w:jc w:val="center"/>
              <w:rPr>
                <w:color w:val="auto"/>
                <w:sz w:val="24"/>
                <w:szCs w:val="24"/>
                <w:lang w:bidi="en-US"/>
              </w:rPr>
            </w:pPr>
            <w:r>
              <w:rPr>
                <w:rFonts w:hint="eastAsia"/>
                <w:color w:val="auto"/>
                <w:sz w:val="24"/>
                <w:szCs w:val="24"/>
                <w:lang w:bidi="en-US"/>
              </w:rPr>
              <w:t>8.0</w:t>
            </w:r>
          </w:p>
        </w:tc>
        <w:tc>
          <w:tcPr>
            <w:tcW w:w="1835" w:type="dxa"/>
          </w:tcPr>
          <w:p>
            <w:pPr>
              <w:pStyle w:val="10"/>
              <w:spacing w:line="25" w:lineRule="atLeast"/>
              <w:jc w:val="center"/>
              <w:rPr>
                <w:color w:val="auto"/>
                <w:sz w:val="24"/>
                <w:szCs w:val="24"/>
                <w:lang w:bidi="en-US"/>
              </w:rPr>
            </w:pPr>
            <w:r>
              <w:rPr>
                <w:rFonts w:hint="eastAsia"/>
                <w:color w:val="auto"/>
                <w:sz w:val="24"/>
                <w:szCs w:val="24"/>
                <w:lang w:bidi="en-US"/>
              </w:rPr>
              <w:t>12.0</w:t>
            </w:r>
          </w:p>
        </w:tc>
        <w:tc>
          <w:tcPr>
            <w:tcW w:w="1035" w:type="dxa"/>
          </w:tcPr>
          <w:p>
            <w:pPr>
              <w:pStyle w:val="10"/>
              <w:spacing w:line="25" w:lineRule="atLeast"/>
              <w:jc w:val="center"/>
              <w:rPr>
                <w:color w:val="auto"/>
                <w:sz w:val="24"/>
                <w:szCs w:val="24"/>
                <w:lang w:bidi="en-US"/>
              </w:rPr>
            </w:pPr>
            <w:r>
              <w:rPr>
                <w:rFonts w:hint="eastAsia"/>
                <w:color w:val="auto"/>
                <w:sz w:val="24"/>
                <w:szCs w:val="24"/>
                <w:lang w:bidi="en-US"/>
              </w:rPr>
              <w:t>11.5</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42</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2</w:t>
            </w:r>
            <w:r>
              <w:rPr>
                <w:color w:val="auto"/>
                <w:sz w:val="24"/>
                <w:szCs w:val="24"/>
                <w:lang w:bidi="en-US"/>
              </w:rPr>
              <w:t>1</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2398" w:type="dxa"/>
          </w:tcPr>
          <w:p>
            <w:pPr>
              <w:pStyle w:val="10"/>
              <w:spacing w:line="25" w:lineRule="atLeast"/>
              <w:jc w:val="center"/>
              <w:rPr>
                <w:color w:val="auto"/>
                <w:sz w:val="24"/>
                <w:szCs w:val="24"/>
                <w:lang w:bidi="en-US"/>
              </w:rPr>
            </w:pPr>
            <w:r>
              <w:rPr>
                <w:rFonts w:hint="eastAsia"/>
                <w:color w:val="auto"/>
                <w:sz w:val="24"/>
                <w:szCs w:val="24"/>
                <w:lang w:bidi="en-US"/>
              </w:rPr>
              <w:t>8.5</w:t>
            </w:r>
          </w:p>
        </w:tc>
        <w:tc>
          <w:tcPr>
            <w:tcW w:w="1835" w:type="dxa"/>
          </w:tcPr>
          <w:p>
            <w:pPr>
              <w:pStyle w:val="10"/>
              <w:spacing w:line="25" w:lineRule="atLeast"/>
              <w:jc w:val="center"/>
              <w:rPr>
                <w:color w:val="auto"/>
                <w:sz w:val="24"/>
                <w:szCs w:val="24"/>
                <w:lang w:bidi="en-US"/>
              </w:rPr>
            </w:pPr>
            <w:r>
              <w:rPr>
                <w:rFonts w:hint="eastAsia"/>
                <w:color w:val="auto"/>
                <w:sz w:val="24"/>
                <w:szCs w:val="24"/>
                <w:lang w:bidi="en-US"/>
              </w:rPr>
              <w:t>12.7</w:t>
            </w:r>
          </w:p>
        </w:tc>
        <w:tc>
          <w:tcPr>
            <w:tcW w:w="1035" w:type="dxa"/>
          </w:tcPr>
          <w:p>
            <w:pPr>
              <w:pStyle w:val="10"/>
              <w:spacing w:line="25" w:lineRule="atLeast"/>
              <w:jc w:val="center"/>
              <w:rPr>
                <w:color w:val="auto"/>
                <w:sz w:val="24"/>
                <w:szCs w:val="24"/>
                <w:lang w:bidi="en-US"/>
              </w:rPr>
            </w:pPr>
            <w:r>
              <w:rPr>
                <w:rFonts w:hint="eastAsia"/>
                <w:color w:val="auto"/>
                <w:sz w:val="24"/>
                <w:szCs w:val="24"/>
                <w:lang w:bidi="en-US"/>
              </w:rPr>
              <w:t>12.4</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42</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2</w:t>
            </w:r>
            <w:r>
              <w:rPr>
                <w:color w:val="auto"/>
                <w:sz w:val="24"/>
                <w:szCs w:val="24"/>
                <w:lang w:bidi="en-US"/>
              </w:rPr>
              <w:t>2</w:t>
            </w:r>
          </w:p>
        </w:tc>
        <w:tc>
          <w:tcPr>
            <w:tcW w:w="1037" w:type="dxa"/>
          </w:tcPr>
          <w:p>
            <w:pPr>
              <w:pStyle w:val="10"/>
              <w:spacing w:line="25" w:lineRule="atLeast"/>
              <w:jc w:val="center"/>
              <w:rPr>
                <w:color w:val="auto"/>
                <w:sz w:val="24"/>
                <w:szCs w:val="24"/>
                <w:lang w:bidi="en-US"/>
              </w:rPr>
            </w:pPr>
            <w:r>
              <w:rPr>
                <w:rFonts w:hint="eastAsia"/>
                <w:color w:val="auto"/>
                <w:sz w:val="24"/>
                <w:szCs w:val="24"/>
                <w:lang w:bidi="en-US"/>
              </w:rPr>
              <w:t>6</w:t>
            </w:r>
          </w:p>
        </w:tc>
      </w:tr>
    </w:tbl>
    <w:p>
      <w:pPr>
        <w:spacing w:line="25" w:lineRule="atLeast"/>
      </w:pPr>
    </w:p>
    <w:p>
      <w:r>
        <w:br w:type="page"/>
      </w:r>
    </w:p>
    <w:p>
      <w:pPr>
        <w:spacing w:line="25" w:lineRule="atLeast"/>
        <w:jc w:val="center"/>
        <w:rPr>
          <w:rFonts w:ascii="宋体" w:hAnsi="宋体"/>
          <w:b/>
          <w:bCs/>
        </w:rPr>
      </w:pPr>
      <w:r>
        <w:rPr>
          <w:rFonts w:hint="eastAsia" w:ascii="宋体" w:hAnsi="宋体"/>
          <w:b/>
          <w:bCs/>
        </w:rPr>
        <w:t>附录B</w:t>
      </w:r>
    </w:p>
    <w:p>
      <w:pPr>
        <w:spacing w:line="25" w:lineRule="atLeast"/>
        <w:jc w:val="center"/>
        <w:rPr>
          <w:rFonts w:ascii="宋体" w:hAnsi="宋体"/>
          <w:b/>
          <w:bCs/>
        </w:rPr>
      </w:pPr>
      <w:r>
        <w:rPr>
          <w:rFonts w:hint="eastAsia" w:ascii="宋体" w:hAnsi="宋体"/>
          <w:b/>
          <w:bCs/>
        </w:rPr>
        <w:t>(规范性附录）</w:t>
      </w:r>
      <w:r>
        <w:rPr>
          <w:rFonts w:hint="eastAsia" w:ascii="宋体" w:hAnsi="宋体"/>
          <w:b/>
          <w:bCs/>
        </w:rPr>
        <w:br w:type="textWrapping"/>
      </w:r>
      <w:r>
        <w:rPr>
          <w:rFonts w:hint="eastAsia" w:ascii="宋体" w:hAnsi="宋体"/>
          <w:b/>
          <w:bCs/>
        </w:rPr>
        <w:t>安全</w:t>
      </w:r>
    </w:p>
    <w:p>
      <w:pPr>
        <w:pStyle w:val="13"/>
        <w:spacing w:before="156" w:after="156" w:line="25" w:lineRule="atLeast"/>
        <w:rPr>
          <w:rFonts w:ascii="宋体" w:hAnsi="宋体" w:eastAsia="宋体" w:cs="宋体"/>
          <w:sz w:val="24"/>
          <w:szCs w:val="24"/>
        </w:rPr>
      </w:pPr>
      <w:bookmarkStart w:id="12" w:name="_Toc142547308"/>
      <w:r>
        <w:rPr>
          <w:rFonts w:hint="eastAsia" w:ascii="宋体" w:hAnsi="宋体" w:eastAsia="宋体" w:cs="宋体"/>
          <w:sz w:val="24"/>
          <w:szCs w:val="24"/>
        </w:rPr>
        <w:t>A1  产品特征</w:t>
      </w:r>
      <w:bookmarkEnd w:id="12"/>
    </w:p>
    <w:p>
      <w:pPr>
        <w:spacing w:line="25" w:lineRule="atLeast"/>
        <w:ind w:firstLine="480" w:firstLineChars="200"/>
        <w:rPr>
          <w:rFonts w:ascii="宋体" w:hAnsi="宋体" w:cs="宋体"/>
        </w:rPr>
      </w:pPr>
      <w:r>
        <w:rPr>
          <w:rFonts w:hint="eastAsia" w:ascii="宋体" w:hAnsi="宋体" w:cs="宋体"/>
        </w:rPr>
        <w:t>a）设备按防电击类型分类：此项不适用</w:t>
      </w:r>
    </w:p>
    <w:p>
      <w:pPr>
        <w:spacing w:line="25" w:lineRule="atLeast"/>
        <w:ind w:firstLine="480"/>
        <w:rPr>
          <w:rFonts w:ascii="宋体" w:hAnsi="宋体" w:cs="宋体"/>
        </w:rPr>
      </w:pPr>
      <w:r>
        <w:rPr>
          <w:rFonts w:hint="eastAsia" w:ascii="宋体" w:hAnsi="宋体" w:cs="宋体"/>
        </w:rPr>
        <w:t>b）设备按防电击程度所属的型：产品与监护仪连用后成</w:t>
      </w:r>
      <w:r>
        <w:rPr>
          <w:rFonts w:ascii="宋体" w:hAnsi="宋体" w:cs="宋体"/>
        </w:rPr>
        <w:t>BF</w:t>
      </w:r>
      <w:r>
        <w:rPr>
          <w:rFonts w:hint="eastAsia" w:ascii="宋体" w:hAnsi="宋体" w:cs="宋体"/>
        </w:rPr>
        <w:t>型</w:t>
      </w:r>
      <w:r>
        <w:rPr>
          <w:rFonts w:ascii="宋体" w:hAnsi="宋体"/>
          <w:szCs w:val="21"/>
        </w:rPr>
        <w:t>应用部分</w:t>
      </w:r>
    </w:p>
    <w:p>
      <w:pPr>
        <w:spacing w:line="25" w:lineRule="atLeast"/>
        <w:ind w:firstLine="480"/>
        <w:rPr>
          <w:rFonts w:ascii="宋体" w:hAnsi="宋体" w:cs="宋体"/>
        </w:rPr>
      </w:pPr>
      <w:r>
        <w:rPr>
          <w:rFonts w:hint="eastAsia" w:ascii="宋体" w:hAnsi="宋体" w:cs="宋体"/>
        </w:rPr>
        <w:t>c）设备按对防液的防护程度分类：</w:t>
      </w:r>
      <w:r>
        <w:rPr>
          <w:rFonts w:ascii="宋体" w:hAnsi="宋体" w:cs="宋体"/>
        </w:rPr>
        <w:t>IPX7</w:t>
      </w:r>
    </w:p>
    <w:p>
      <w:pPr>
        <w:spacing w:line="25" w:lineRule="atLeast"/>
        <w:ind w:firstLine="480"/>
        <w:rPr>
          <w:rFonts w:ascii="宋体" w:hAnsi="宋体" w:cs="宋体"/>
        </w:rPr>
      </w:pPr>
      <w:r>
        <w:rPr>
          <w:rFonts w:hint="eastAsia" w:ascii="宋体" w:hAnsi="宋体" w:cs="宋体"/>
        </w:rPr>
        <w:t xml:space="preserve">d）设备按在空气混合的易燃麻醉气或与氧化亚氮混合的易烯麻醉下情况下使用的安全程度分：此项不适用 </w:t>
      </w:r>
    </w:p>
    <w:p>
      <w:pPr>
        <w:spacing w:line="25" w:lineRule="atLeast"/>
        <w:ind w:firstLine="480"/>
        <w:rPr>
          <w:rFonts w:ascii="宋体" w:hAnsi="宋体" w:cs="宋体"/>
        </w:rPr>
      </w:pPr>
      <w:r>
        <w:rPr>
          <w:rFonts w:hint="eastAsia" w:ascii="宋体" w:hAnsi="宋体" w:cs="宋体"/>
        </w:rPr>
        <w:t>e）设备按运行模式：此项不适用</w:t>
      </w:r>
    </w:p>
    <w:p>
      <w:pPr>
        <w:spacing w:line="25" w:lineRule="atLeast"/>
        <w:ind w:firstLine="480"/>
        <w:rPr>
          <w:rFonts w:ascii="宋体" w:hAnsi="宋体" w:cs="宋体"/>
        </w:rPr>
      </w:pPr>
      <w:r>
        <w:rPr>
          <w:rFonts w:hint="eastAsia" w:ascii="宋体" w:hAnsi="宋体" w:cs="宋体"/>
        </w:rPr>
        <w:t>f）设备的额定电压和频率： 此项不适用</w:t>
      </w:r>
    </w:p>
    <w:p>
      <w:pPr>
        <w:spacing w:line="25" w:lineRule="atLeast"/>
        <w:ind w:firstLine="480"/>
        <w:rPr>
          <w:rFonts w:ascii="宋体" w:hAnsi="宋体" w:cs="宋体"/>
        </w:rPr>
      </w:pPr>
      <w:r>
        <w:rPr>
          <w:rFonts w:hint="eastAsia" w:ascii="宋体" w:hAnsi="宋体" w:cs="宋体"/>
        </w:rPr>
        <w:t>g）设备的输入功率：此项不适用</w:t>
      </w:r>
    </w:p>
    <w:p>
      <w:pPr>
        <w:spacing w:line="25" w:lineRule="atLeast"/>
        <w:ind w:firstLine="480"/>
        <w:rPr>
          <w:rFonts w:ascii="宋体" w:hAnsi="宋体" w:cs="宋体"/>
        </w:rPr>
      </w:pPr>
      <w:r>
        <w:rPr>
          <w:rFonts w:hint="eastAsia" w:ascii="宋体" w:hAnsi="宋体" w:cs="宋体"/>
        </w:rPr>
        <w:t>h）设备不具有对除颤放电效应防护的应用部分：不具有</w:t>
      </w:r>
    </w:p>
    <w:p>
      <w:pPr>
        <w:spacing w:line="25" w:lineRule="atLeast"/>
        <w:ind w:firstLine="480"/>
        <w:rPr>
          <w:rFonts w:ascii="宋体" w:hAnsi="宋体" w:cs="宋体"/>
        </w:rPr>
      </w:pPr>
      <w:r>
        <w:rPr>
          <w:rFonts w:hint="eastAsia" w:ascii="宋体" w:hAnsi="宋体" w:cs="宋体"/>
        </w:rPr>
        <w:t>i）设备是不具有输入部分：不具有</w:t>
      </w:r>
    </w:p>
    <w:p>
      <w:pPr>
        <w:spacing w:line="25" w:lineRule="atLeast"/>
        <w:rPr>
          <w:rFonts w:ascii="宋体" w:hAnsi="宋体" w:cs="宋体"/>
        </w:rPr>
      </w:pPr>
      <w:r>
        <w:rPr>
          <w:rFonts w:hint="eastAsia" w:ascii="宋体" w:hAnsi="宋体" w:cs="宋体"/>
        </w:rPr>
        <w:t xml:space="preserve">    j）非永久性安装设备 ：此项不适用</w:t>
      </w:r>
    </w:p>
    <w:p>
      <w:pPr>
        <w:spacing w:line="25" w:lineRule="atLeast"/>
        <w:ind w:firstLine="480"/>
        <w:rPr>
          <w:rFonts w:ascii="宋体" w:hAnsi="宋体" w:cs="宋体"/>
        </w:rPr>
      </w:pPr>
      <w:r>
        <w:rPr>
          <w:rFonts w:ascii="宋体" w:hAnsi="宋体" w:cs="宋体"/>
        </w:rPr>
        <w:t>K</w:t>
      </w:r>
      <w:r>
        <w:rPr>
          <w:rFonts w:hint="eastAsia" w:ascii="宋体" w:hAnsi="宋体" w:cs="宋体"/>
        </w:rPr>
        <w:t>）电气绝缘图</w:t>
      </w:r>
    </w:p>
    <w:p>
      <w:pPr>
        <w:spacing w:line="25" w:lineRule="atLeast"/>
        <w:ind w:firstLine="480"/>
        <w:rPr>
          <w:rFonts w:ascii="宋体" w:hAnsi="宋体" w:cs="宋体"/>
        </w:rPr>
      </w:pPr>
      <w:r>
        <mc:AlternateContent>
          <mc:Choice Requires="wps">
            <w:drawing>
              <wp:anchor distT="0" distB="0" distL="114300" distR="114300" simplePos="0" relativeHeight="251661312" behindDoc="0" locked="0" layoutInCell="1" allowOverlap="1">
                <wp:simplePos x="0" y="0"/>
                <wp:positionH relativeFrom="column">
                  <wp:posOffset>3843020</wp:posOffset>
                </wp:positionH>
                <wp:positionV relativeFrom="paragraph">
                  <wp:posOffset>2150110</wp:posOffset>
                </wp:positionV>
                <wp:extent cx="295275" cy="414655"/>
                <wp:effectExtent l="0" t="0" r="0" b="0"/>
                <wp:wrapNone/>
                <wp:docPr id="1" name="文本框 1"/>
                <wp:cNvGraphicFramePr/>
                <a:graphic xmlns:a="http://schemas.openxmlformats.org/drawingml/2006/main">
                  <a:graphicData uri="http://schemas.microsoft.com/office/word/2010/wordprocessingShape">
                    <wps:wsp>
                      <wps:cNvSpPr txBox="1"/>
                      <wps:spPr>
                        <a:xfrm>
                          <a:off x="0" y="0"/>
                          <a:ext cx="295275" cy="414655"/>
                        </a:xfrm>
                        <a:prstGeom prst="rect">
                          <a:avLst/>
                        </a:prstGeom>
                        <a:noFill/>
                        <a:ln>
                          <a:noFill/>
                        </a:ln>
                      </wps:spPr>
                      <wps:txbx>
                        <w:txbxContent>
                          <w:p>
                            <w:pPr>
                              <w:rPr>
                                <w:rFonts w:ascii="宋体" w:hAnsi="宋体" w:eastAsia="宋体"/>
                                <w:sz w:val="28"/>
                                <w:szCs w:val="28"/>
                              </w:rPr>
                            </w:pPr>
                            <w:r>
                              <w:rPr>
                                <w:rFonts w:hint="eastAsia" w:ascii="宋体" w:hAnsi="宋体" w:eastAsia="宋体"/>
                                <w:b/>
                                <w:bCs/>
                                <w:sz w:val="28"/>
                                <w:szCs w:val="28"/>
                              </w:rPr>
                              <w:t>A</w:t>
                            </w:r>
                            <w:r>
                              <w:rPr>
                                <w:rFonts w:hint="eastAsia" w:ascii="宋体" w:hAnsi="宋体" w:eastAsia="宋体"/>
                                <w:sz w:val="28"/>
                                <w:szCs w:val="28"/>
                              </w:rPr>
                              <w:t xml:space="preserve"> </w:t>
                            </w:r>
                          </w:p>
                        </w:txbxContent>
                      </wps:txbx>
                      <wps:bodyPr wrap="square" upright="1">
                        <a:noAutofit/>
                      </wps:bodyPr>
                    </wps:wsp>
                  </a:graphicData>
                </a:graphic>
              </wp:anchor>
            </w:drawing>
          </mc:Choice>
          <mc:Fallback>
            <w:pict>
              <v:shape id="_x0000_s1026" o:spid="_x0000_s1026" o:spt="202" type="#_x0000_t202" style="position:absolute;left:0pt;margin-left:302.6pt;margin-top:169.3pt;height:32.65pt;width:23.25pt;z-index:251661312;mso-width-relative:page;mso-height-relative:page;" filled="f" stroked="f" coordsize="21600,21600" o:gfxdata="UEsDBAoAAAAAAIdO4kAAAAAAAAAAAAAAAAAEAAAAZHJzL1BLAwQUAAAACACHTuJAg3mYEdkAAAAL&#10;AQAADwAAAGRycy9kb3ducmV2LnhtbE2Py07DMBBF90j8gzVI3VE7TRPakEkXVGxBlIfEzo2nSUQ8&#10;jmK3CX+PWcFydI/uPVPuZtuLC42+c4yQLBUI4tqZjhuEt9fH2w0IHzQb3TsmhG/ysKuur0pdGDfx&#10;C10OoRGxhH2hEdoQhkJKX7dktV+6gThmJzdaHeI5NtKMeorltpcrpXJpdcdxodUDPbRUfx3OFuH9&#10;6fT5sVbPzd5mw+RmJdluJeLiJlH3IALN4Q+GX/2oDlV0OrozGy96hFxlq4gipOkmBxGJPEvuQBwR&#10;1irdgqxK+f+H6gdQSwMEFAAAAAgAh07iQAJDA0DCAQAAdQMAAA4AAABkcnMvZTJvRG9jLnhtbK1T&#10;wY7TMBC9I/EPlu80TbVdIGq6AlXLBQHSwge4jt1Yij3G4zTpD8AfcOLCne/qdzB2QheWyx64OPbM&#10;+M17b5zNzWg7dlQBDbial4slZ8pJaIw71PzTx9tnLzjDKFwjOnCq5ieF/Gb79Mlm8JVaQQtdowIj&#10;EIfV4GvexuirokDZKitwAV45SmoIVkQ6hkPRBDEQuu2K1XJ5XQwQGh9AKkSK7qYknxHDYwBBayPV&#10;DmRvlYsTalCdiCQJW+ORbzNbrZWM77VGFVlXc1Ia80pNaL9Pa7HdiOoQhG+NnCmIx1B4oMkK46jp&#10;BWonomB9MP9AWSMDIOi4kGCLSUh2hFSUywfe3LXCq6yFrEZ/MR3/H6x8d/wQmGnoJXDmhKWBn799&#10;PX//ef7xhZXJnsFjRVV3nuri+BrGVDrHkYJJ9aiDTV/SwyhP5p4u5qoxMknB1cv16vmaM0mpq/Lq&#10;er1OKMX9ZR8wvlFgWdrUPNDssqXi+BbjVPq7JPVycGu6juKi6txfAcJMkSIxnximXRz340x7D82J&#10;1Aw09prj514ExVnvgzm01LjMXR286iNokzun+9OlGZamkbnPLyeN+89zrrr/W7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IN5mBHZAAAACwEAAA8AAAAAAAAAAQAgAAAAIgAAAGRycy9kb3ducmV2&#10;LnhtbFBLAQIUABQAAAAIAIdO4kACQwNAwgEAAHUDAAAOAAAAAAAAAAEAIAAAACgBAABkcnMvZTJv&#10;RG9jLnhtbFBLBQYAAAAABgAGAFkBAABcBQAAAAA=&#10;">
                <v:fill on="f" focussize="0,0"/>
                <v:stroke on="f"/>
                <v:imagedata o:title=""/>
                <o:lock v:ext="edit" aspectratio="f"/>
                <v:textbox>
                  <w:txbxContent>
                    <w:p>
                      <w:pPr>
                        <w:rPr>
                          <w:rFonts w:ascii="宋体" w:hAnsi="宋体" w:eastAsia="宋体"/>
                          <w:sz w:val="28"/>
                          <w:szCs w:val="28"/>
                        </w:rPr>
                      </w:pPr>
                      <w:r>
                        <w:rPr>
                          <w:rFonts w:hint="eastAsia" w:ascii="宋体" w:hAnsi="宋体" w:eastAsia="宋体"/>
                          <w:b/>
                          <w:bCs/>
                          <w:sz w:val="28"/>
                          <w:szCs w:val="28"/>
                        </w:rPr>
                        <w:t>A</w:t>
                      </w:r>
                      <w:r>
                        <w:rPr>
                          <w:rFonts w:hint="eastAsia" w:ascii="宋体" w:hAnsi="宋体" w:eastAsia="宋体"/>
                          <w:sz w:val="28"/>
                          <w:szCs w:val="28"/>
                        </w:rPr>
                        <w:t xml:space="preserve"> </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2226945</wp:posOffset>
                </wp:positionH>
                <wp:positionV relativeFrom="paragraph">
                  <wp:posOffset>2564130</wp:posOffset>
                </wp:positionV>
                <wp:extent cx="339725" cy="485775"/>
                <wp:effectExtent l="0" t="0" r="0" b="0"/>
                <wp:wrapNone/>
                <wp:docPr id="2" name="文本框 2"/>
                <wp:cNvGraphicFramePr/>
                <a:graphic xmlns:a="http://schemas.openxmlformats.org/drawingml/2006/main">
                  <a:graphicData uri="http://schemas.microsoft.com/office/word/2010/wordprocessingShape">
                    <wps:wsp>
                      <wps:cNvSpPr txBox="1"/>
                      <wps:spPr>
                        <a:xfrm>
                          <a:off x="0" y="0"/>
                          <a:ext cx="339725" cy="485775"/>
                        </a:xfrm>
                        <a:prstGeom prst="rect">
                          <a:avLst/>
                        </a:prstGeom>
                        <a:noFill/>
                        <a:ln>
                          <a:noFill/>
                        </a:ln>
                      </wps:spPr>
                      <wps:txbx>
                        <w:txbxContent>
                          <w:p>
                            <w:pPr>
                              <w:rPr>
                                <w:rFonts w:ascii="宋体" w:hAnsi="宋体" w:eastAsia="宋体"/>
                                <w:b/>
                                <w:bCs/>
                                <w:sz w:val="28"/>
                                <w:szCs w:val="28"/>
                              </w:rPr>
                            </w:pPr>
                            <w:r>
                              <w:rPr>
                                <w:rFonts w:hint="eastAsia" w:ascii="宋体" w:hAnsi="宋体" w:eastAsia="宋体"/>
                                <w:b/>
                                <w:bCs/>
                                <w:sz w:val="28"/>
                                <w:szCs w:val="28"/>
                              </w:rPr>
                              <w:t xml:space="preserve">B </w:t>
                            </w:r>
                          </w:p>
                        </w:txbxContent>
                      </wps:txbx>
                      <wps:bodyPr wrap="square" upright="1">
                        <a:noAutofit/>
                      </wps:bodyPr>
                    </wps:wsp>
                  </a:graphicData>
                </a:graphic>
              </wp:anchor>
            </w:drawing>
          </mc:Choice>
          <mc:Fallback>
            <w:pict>
              <v:shape id="_x0000_s1026" o:spid="_x0000_s1026" o:spt="202" type="#_x0000_t202" style="position:absolute;left:0pt;margin-left:175.35pt;margin-top:201.9pt;height:38.25pt;width:26.75pt;z-index:251660288;mso-width-relative:page;mso-height-relative:page;" filled="f" stroked="f" coordsize="21600,21600" o:gfxdata="UEsDBAoAAAAAAIdO4kAAAAAAAAAAAAAAAAAEAAAAZHJzL1BLAwQUAAAACACHTuJAoPkV5tcAAAAL&#10;AQAADwAAAGRycy9kb3ducmV2LnhtbE2PTU/DMAyG70j8h8hI3Fi8tYNRmu4A4gpifEjcssZrKxqn&#10;arK1/HvMCW62/Oj185bb2ffqRGPsAhtYLhAUcR1cx42Bt9fHqw2omCw72wcmA98UYVudn5W2cGHi&#10;FzrtUqMkhGNhDbQpDYXWsW7J27gIA7HcDmH0Nsk6NtqNdpJw3+sV4rX2tmP50NqB7luqv3ZHb+D9&#10;6fD5keNz8+DXwxRm1OxvtTGXF0u8A5VoTn8w/OqLOlTitA9HdlH1BrI13ghqIMdMOgiRY74CtZdh&#10;gxnoqtT/O1Q/UEsDBBQAAAAIAIdO4kDz0BcmwwEAAHUDAAAOAAAAZHJzL2Uyb0RvYy54bWytU82O&#10;0zAQviPxDpbvNG2W0t2o6QpULRcESAsP4Dp2Y8n2GNtp0heAN+DEhTvP1efYsZPtLstlD1yc8fx8&#10;M983zvp6MJochA8KbE0XszklwnJolN3X9OuXm1eXlITIbMM0WFHTowj0evPyxbp3lSihBd0ITxDE&#10;hqp3NW1jdFVRBN4Kw8IMnLAYlOANi3j1+6LxrEd0o4tyPn9T9OAb54GLENC7HYN0QvTPAQQpFRdb&#10;4J0RNo6oXmgWkVJolQt0k6eVUvD4ScogItE1RaYxn9gE7V06i82aVXvPXKv4NAJ7zghPOBmmLDY9&#10;Q21ZZKTz6h8oo7iHADLOOJhiJJIVQRaL+RNtblvmROaCUgd3Fj38P1j+8fDZE9XUtKTEMoMLP/38&#10;cfr15/T7OymTPL0LFWbdOsyLwzsY8NHc+wM6E+tBepO+yIdgHMU9nsUVQyQcnRcXV6tySQnH0OvL&#10;5Wq1TCjFQ7HzIb4XYEgyaupxd1lSdvgQ4ph6n5J6WbhRWuf9afuXAzGTp0iTjxMmKw67YaKzg+aI&#10;bHpce03Dt455QUnnvNq32HiRu1p420WQKndO9WPRBIvbyLNPLyet+/E9Zz38LZs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oPkV5tcAAAALAQAADwAAAAAAAAABACAAAAAiAAAAZHJzL2Rvd25yZXYu&#10;eG1sUEsBAhQAFAAAAAgAh07iQPPQFybDAQAAdQMAAA4AAAAAAAAAAQAgAAAAJgEAAGRycy9lMm9E&#10;b2MueG1sUEsFBgAAAAAGAAYAWQEAAFsFAAAAAA==&#10;">
                <v:fill on="f" focussize="0,0"/>
                <v:stroke on="f"/>
                <v:imagedata o:title=""/>
                <o:lock v:ext="edit" aspectratio="f"/>
                <v:textbox>
                  <w:txbxContent>
                    <w:p>
                      <w:pPr>
                        <w:rPr>
                          <w:rFonts w:ascii="宋体" w:hAnsi="宋体" w:eastAsia="宋体"/>
                          <w:b/>
                          <w:bCs/>
                          <w:sz w:val="28"/>
                          <w:szCs w:val="28"/>
                        </w:rPr>
                      </w:pPr>
                      <w:r>
                        <w:rPr>
                          <w:rFonts w:hint="eastAsia" w:ascii="宋体" w:hAnsi="宋体" w:eastAsia="宋体"/>
                          <w:b/>
                          <w:bCs/>
                          <w:sz w:val="28"/>
                          <w:szCs w:val="28"/>
                        </w:rPr>
                        <w:t xml:space="preserve">B </w:t>
                      </w:r>
                    </w:p>
                  </w:txbxContent>
                </v:textbox>
              </v:shape>
            </w:pict>
          </mc:Fallback>
        </mc:AlternateContent>
      </w:r>
      <w:r>
        <w:rPr>
          <w:rFonts w:ascii="宋体" w:hAnsi="宋体" w:cs="宋体"/>
          <w:color w:val="FF0000"/>
        </w:rPr>
        <w:drawing>
          <wp:inline distT="0" distB="0" distL="0" distR="0">
            <wp:extent cx="5200650" cy="30861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00650" cy="3086100"/>
                    </a:xfrm>
                    <a:prstGeom prst="rect">
                      <a:avLst/>
                    </a:prstGeom>
                    <a:noFill/>
                    <a:ln>
                      <a:noFill/>
                    </a:ln>
                  </pic:spPr>
                </pic:pic>
              </a:graphicData>
            </a:graphic>
          </wp:inline>
        </w:drawing>
      </w:r>
    </w:p>
    <w:tbl>
      <w:tblPr>
        <w:tblStyle w:val="7"/>
        <w:tblpPr w:leftFromText="180" w:rightFromText="180" w:vertAnchor="text" w:horzAnchor="page" w:tblpXSpec="center" w:tblpY="299"/>
        <w:tblOverlap w:val="never"/>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2"/>
        <w:gridCol w:w="1143"/>
        <w:gridCol w:w="1143"/>
        <w:gridCol w:w="1300"/>
        <w:gridCol w:w="1601"/>
        <w:gridCol w:w="1417"/>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 w:type="dxa"/>
            <w:vAlign w:val="center"/>
          </w:tcPr>
          <w:p>
            <w:pPr>
              <w:widowControl/>
              <w:wordWrap w:val="0"/>
              <w:spacing w:before="100" w:beforeAutospacing="1" w:after="100" w:afterAutospacing="1"/>
              <w:jc w:val="center"/>
              <w:rPr>
                <w:rFonts w:ascii="ˎ̥" w:hAnsi="ˎ̥" w:cs="宋体"/>
                <w:color w:val="000000"/>
                <w:kern w:val="0"/>
              </w:rPr>
            </w:pPr>
            <w:r>
              <w:rPr>
                <w:rFonts w:hint="eastAsia" w:ascii="ˎ̥" w:hAnsi="ˎ̥" w:cs="宋体"/>
                <w:color w:val="000000"/>
                <w:kern w:val="0"/>
              </w:rPr>
              <w:t>序号</w:t>
            </w:r>
          </w:p>
        </w:tc>
        <w:tc>
          <w:tcPr>
            <w:tcW w:w="1143" w:type="dxa"/>
            <w:vAlign w:val="center"/>
          </w:tcPr>
          <w:p>
            <w:pPr>
              <w:widowControl/>
              <w:wordWrap w:val="0"/>
              <w:spacing w:before="100" w:beforeAutospacing="1" w:after="100" w:afterAutospacing="1"/>
              <w:jc w:val="center"/>
              <w:rPr>
                <w:rFonts w:ascii="ˎ̥" w:hAnsi="ˎ̥" w:cs="宋体"/>
                <w:color w:val="000000"/>
                <w:kern w:val="0"/>
              </w:rPr>
            </w:pPr>
            <w:r>
              <w:rPr>
                <w:rFonts w:hint="eastAsia" w:ascii="ˎ̥" w:hAnsi="ˎ̥" w:cs="宋体"/>
                <w:color w:val="000000"/>
                <w:kern w:val="0"/>
              </w:rPr>
              <w:t>绝缘路径</w:t>
            </w:r>
          </w:p>
        </w:tc>
        <w:tc>
          <w:tcPr>
            <w:tcW w:w="1143" w:type="dxa"/>
            <w:vAlign w:val="center"/>
          </w:tcPr>
          <w:p>
            <w:pPr>
              <w:widowControl/>
              <w:wordWrap w:val="0"/>
              <w:spacing w:before="100" w:beforeAutospacing="1" w:after="100" w:afterAutospacing="1"/>
              <w:jc w:val="center"/>
              <w:rPr>
                <w:rFonts w:ascii="ˎ̥" w:hAnsi="ˎ̥" w:cs="宋体"/>
                <w:color w:val="000000"/>
                <w:kern w:val="0"/>
              </w:rPr>
            </w:pPr>
            <w:r>
              <w:rPr>
                <w:rFonts w:hint="eastAsia" w:ascii="ˎ̥" w:hAnsi="ˎ̥" w:cs="宋体"/>
                <w:color w:val="000000"/>
                <w:kern w:val="0"/>
              </w:rPr>
              <w:t>绝缘类型</w:t>
            </w:r>
          </w:p>
        </w:tc>
        <w:tc>
          <w:tcPr>
            <w:tcW w:w="1300" w:type="dxa"/>
            <w:vAlign w:val="center"/>
          </w:tcPr>
          <w:p>
            <w:pPr>
              <w:widowControl/>
              <w:wordWrap w:val="0"/>
              <w:spacing w:line="300" w:lineRule="exact"/>
              <w:jc w:val="center"/>
              <w:rPr>
                <w:rFonts w:ascii="ˎ̥" w:hAnsi="ˎ̥" w:cs="宋体"/>
                <w:color w:val="000000"/>
                <w:kern w:val="0"/>
              </w:rPr>
            </w:pPr>
            <w:r>
              <w:rPr>
                <w:rFonts w:hint="eastAsia" w:ascii="ˎ̥" w:hAnsi="ˎ̥" w:cs="宋体"/>
                <w:color w:val="000000"/>
                <w:kern w:val="0"/>
              </w:rPr>
              <w:t>参考电压</w:t>
            </w:r>
          </w:p>
          <w:p>
            <w:pPr>
              <w:widowControl/>
              <w:wordWrap w:val="0"/>
              <w:spacing w:line="300" w:lineRule="exact"/>
              <w:jc w:val="center"/>
              <w:rPr>
                <w:rFonts w:ascii="ˎ̥" w:hAnsi="ˎ̥" w:cs="宋体"/>
                <w:color w:val="000000"/>
                <w:kern w:val="0"/>
              </w:rPr>
            </w:pPr>
            <w:r>
              <w:rPr>
                <w:rFonts w:hint="eastAsia" w:ascii="Arial" w:hAnsi="Arial" w:cs="宋体"/>
                <w:kern w:val="0"/>
                <w:sz w:val="21"/>
                <w:lang w:bidi="ar"/>
              </w:rPr>
              <w:t>Vr.m.s</w:t>
            </w:r>
          </w:p>
        </w:tc>
        <w:tc>
          <w:tcPr>
            <w:tcW w:w="1601" w:type="dxa"/>
            <w:vAlign w:val="center"/>
          </w:tcPr>
          <w:p>
            <w:pPr>
              <w:widowControl/>
              <w:wordWrap w:val="0"/>
              <w:spacing w:line="300" w:lineRule="exact"/>
              <w:jc w:val="center"/>
              <w:rPr>
                <w:rFonts w:ascii="ˎ̥" w:hAnsi="ˎ̥" w:cs="宋体"/>
                <w:color w:val="000000"/>
                <w:kern w:val="0"/>
              </w:rPr>
            </w:pPr>
            <w:r>
              <w:rPr>
                <w:rFonts w:hint="eastAsia" w:ascii="ˎ̥" w:hAnsi="ˎ̥" w:cs="宋体"/>
                <w:color w:val="000000"/>
                <w:kern w:val="0"/>
              </w:rPr>
              <w:t>爬电距离要求值（mm）</w:t>
            </w:r>
          </w:p>
        </w:tc>
        <w:tc>
          <w:tcPr>
            <w:tcW w:w="1417" w:type="dxa"/>
            <w:vAlign w:val="center"/>
          </w:tcPr>
          <w:p>
            <w:pPr>
              <w:widowControl/>
              <w:wordWrap w:val="0"/>
              <w:spacing w:line="300" w:lineRule="exact"/>
              <w:jc w:val="center"/>
              <w:rPr>
                <w:rFonts w:ascii="ˎ̥" w:hAnsi="ˎ̥" w:cs="宋体"/>
                <w:color w:val="000000"/>
                <w:kern w:val="0"/>
              </w:rPr>
            </w:pPr>
            <w:r>
              <w:rPr>
                <w:rFonts w:hint="eastAsia" w:ascii="ˎ̥" w:hAnsi="ˎ̥" w:cs="宋体"/>
                <w:color w:val="000000"/>
                <w:kern w:val="0"/>
              </w:rPr>
              <w:t>电气间隙要求值(mm)</w:t>
            </w:r>
          </w:p>
        </w:tc>
        <w:tc>
          <w:tcPr>
            <w:tcW w:w="993" w:type="dxa"/>
            <w:vAlign w:val="center"/>
          </w:tcPr>
          <w:p>
            <w:pPr>
              <w:widowControl/>
              <w:wordWrap w:val="0"/>
              <w:spacing w:before="100" w:beforeAutospacing="1" w:after="100" w:afterAutospacing="1"/>
              <w:jc w:val="center"/>
              <w:rPr>
                <w:rFonts w:ascii="ˎ̥" w:hAnsi="ˎ̥" w:cs="宋体"/>
                <w:color w:val="000000"/>
                <w:kern w:val="0"/>
              </w:rPr>
            </w:pPr>
            <w:r>
              <w:rPr>
                <w:rFonts w:hint="eastAsia" w:ascii="ˎ̥" w:hAnsi="ˎ̥" w:cs="宋体"/>
                <w:color w:val="000000"/>
                <w:kern w:val="0"/>
              </w:rPr>
              <w:t>试验电压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5" w:hRule="atLeast"/>
          <w:jc w:val="center"/>
        </w:trPr>
        <w:tc>
          <w:tcPr>
            <w:tcW w:w="762" w:type="dxa"/>
            <w:vAlign w:val="center"/>
          </w:tcPr>
          <w:p>
            <w:pPr>
              <w:widowControl/>
              <w:wordWrap w:val="0"/>
              <w:spacing w:before="100" w:beforeAutospacing="1" w:after="100" w:afterAutospacing="1"/>
              <w:jc w:val="center"/>
              <w:rPr>
                <w:rFonts w:ascii="ˎ̥" w:hAnsi="ˎ̥" w:cs="宋体"/>
                <w:color w:val="000000"/>
                <w:kern w:val="0"/>
              </w:rPr>
            </w:pPr>
            <w:r>
              <w:rPr>
                <w:rFonts w:hint="eastAsia" w:ascii="ˎ̥" w:hAnsi="ˎ̥" w:cs="宋体"/>
                <w:color w:val="000000"/>
                <w:kern w:val="0"/>
              </w:rPr>
              <w:t>A</w:t>
            </w:r>
          </w:p>
        </w:tc>
        <w:tc>
          <w:tcPr>
            <w:tcW w:w="1143" w:type="dxa"/>
            <w:vAlign w:val="center"/>
          </w:tcPr>
          <w:p>
            <w:pPr>
              <w:pStyle w:val="16"/>
              <w:spacing w:before="120" w:after="120"/>
              <w:jc w:val="center"/>
            </w:pPr>
            <w:r>
              <w:rPr>
                <w:rFonts w:hint="eastAsia" w:cs="宋体"/>
                <w:sz w:val="21"/>
                <w:lang w:bidi="ar"/>
              </w:rPr>
              <w:t>应用部分和主机外壳之间</w:t>
            </w:r>
          </w:p>
        </w:tc>
        <w:tc>
          <w:tcPr>
            <w:tcW w:w="1143" w:type="dxa"/>
            <w:vAlign w:val="center"/>
          </w:tcPr>
          <w:p>
            <w:pPr>
              <w:widowControl/>
              <w:wordWrap w:val="0"/>
              <w:spacing w:before="100" w:beforeAutospacing="1" w:after="100" w:afterAutospacing="1"/>
              <w:jc w:val="center"/>
              <w:rPr>
                <w:rFonts w:ascii="ˎ̥" w:hAnsi="ˎ̥" w:cs="宋体"/>
                <w:color w:val="000000"/>
                <w:kern w:val="0"/>
              </w:rPr>
            </w:pPr>
            <w:r>
              <w:rPr>
                <w:rFonts w:hint="eastAsia" w:ascii="宋体" w:hAnsi="宋体" w:eastAsia="宋体" w:cs="宋体"/>
              </w:rPr>
              <w:t>1MOPP</w:t>
            </w:r>
          </w:p>
        </w:tc>
        <w:tc>
          <w:tcPr>
            <w:tcW w:w="1300" w:type="dxa"/>
            <w:vAlign w:val="center"/>
          </w:tcPr>
          <w:p>
            <w:pPr>
              <w:widowControl/>
              <w:wordWrap w:val="0"/>
              <w:spacing w:before="100" w:beforeAutospacing="1" w:after="100" w:afterAutospacing="1"/>
              <w:jc w:val="center"/>
              <w:rPr>
                <w:rFonts w:ascii="宋体" w:hAnsi="宋体" w:eastAsia="宋体" w:cs="宋体"/>
              </w:rPr>
            </w:pPr>
            <w:r>
              <w:rPr>
                <w:rFonts w:hint="eastAsia" w:ascii="宋体" w:hAnsi="宋体" w:eastAsia="宋体" w:cs="宋体"/>
              </w:rPr>
              <w:t>AC 220V</w:t>
            </w:r>
          </w:p>
        </w:tc>
        <w:tc>
          <w:tcPr>
            <w:tcW w:w="1601" w:type="dxa"/>
            <w:vAlign w:val="center"/>
          </w:tcPr>
          <w:p>
            <w:pPr>
              <w:widowControl/>
              <w:wordWrap w:val="0"/>
              <w:spacing w:before="100" w:beforeAutospacing="1" w:after="100" w:afterAutospacing="1"/>
              <w:jc w:val="center"/>
              <w:rPr>
                <w:rFonts w:ascii="ˎ̥" w:hAnsi="ˎ̥" w:eastAsia="宋体" w:cs="宋体"/>
                <w:color w:val="000000"/>
                <w:kern w:val="0"/>
              </w:rPr>
            </w:pPr>
            <w:r>
              <w:rPr>
                <w:rFonts w:hint="eastAsia" w:ascii="宋体" w:hAnsi="宋体" w:eastAsia="宋体"/>
              </w:rPr>
              <w:t>≥4</w:t>
            </w:r>
          </w:p>
        </w:tc>
        <w:tc>
          <w:tcPr>
            <w:tcW w:w="1417" w:type="dxa"/>
            <w:vAlign w:val="center"/>
          </w:tcPr>
          <w:p>
            <w:pPr>
              <w:widowControl/>
              <w:wordWrap w:val="0"/>
              <w:spacing w:before="100" w:beforeAutospacing="1" w:after="100" w:afterAutospacing="1"/>
              <w:jc w:val="center"/>
              <w:rPr>
                <w:rFonts w:ascii="ˎ̥" w:hAnsi="ˎ̥" w:eastAsia="宋体" w:cs="宋体"/>
                <w:color w:val="000000"/>
                <w:kern w:val="0"/>
              </w:rPr>
            </w:pPr>
            <w:r>
              <w:rPr>
                <w:rFonts w:hint="eastAsia" w:ascii="宋体" w:hAnsi="宋体" w:eastAsia="宋体"/>
              </w:rPr>
              <w:t>≥2.5</w:t>
            </w:r>
          </w:p>
        </w:tc>
        <w:tc>
          <w:tcPr>
            <w:tcW w:w="993" w:type="dxa"/>
            <w:vAlign w:val="center"/>
          </w:tcPr>
          <w:p>
            <w:pPr>
              <w:widowControl/>
              <w:wordWrap w:val="0"/>
              <w:spacing w:before="100" w:beforeAutospacing="1" w:after="100" w:afterAutospacing="1"/>
              <w:jc w:val="center"/>
              <w:rPr>
                <w:rFonts w:ascii="宋体" w:hAnsi="宋体" w:eastAsia="宋体"/>
              </w:rPr>
            </w:pPr>
            <w:r>
              <w:rPr>
                <w:rFonts w:hint="eastAsia" w:ascii="宋体" w:hAnsi="宋体" w:eastAsia="宋体"/>
              </w:rPr>
              <w:t>1500V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762" w:type="dxa"/>
            <w:vAlign w:val="center"/>
          </w:tcPr>
          <w:p>
            <w:pPr>
              <w:widowControl/>
              <w:wordWrap w:val="0"/>
              <w:spacing w:before="100" w:beforeAutospacing="1" w:after="100" w:afterAutospacing="1"/>
              <w:jc w:val="center"/>
              <w:rPr>
                <w:rFonts w:ascii="ˎ̥" w:hAnsi="ˎ̥" w:cs="宋体"/>
                <w:color w:val="000000"/>
                <w:kern w:val="0"/>
              </w:rPr>
            </w:pPr>
            <w:r>
              <w:rPr>
                <w:rFonts w:hint="eastAsia" w:ascii="ˎ̥" w:hAnsi="ˎ̥" w:cs="宋体"/>
                <w:color w:val="000000"/>
                <w:kern w:val="0"/>
              </w:rPr>
              <w:t>B</w:t>
            </w:r>
          </w:p>
        </w:tc>
        <w:tc>
          <w:tcPr>
            <w:tcW w:w="1143" w:type="dxa"/>
            <w:vAlign w:val="center"/>
          </w:tcPr>
          <w:p>
            <w:pPr>
              <w:pStyle w:val="16"/>
              <w:spacing w:before="120" w:after="120"/>
              <w:jc w:val="center"/>
            </w:pPr>
            <w:r>
              <w:rPr>
                <w:rFonts w:hint="eastAsia" w:cs="宋体"/>
                <w:sz w:val="21"/>
                <w:lang w:bidi="ar"/>
              </w:rPr>
              <w:t>应用部分和网电源之间</w:t>
            </w:r>
          </w:p>
        </w:tc>
        <w:tc>
          <w:tcPr>
            <w:tcW w:w="1143" w:type="dxa"/>
            <w:vAlign w:val="center"/>
          </w:tcPr>
          <w:p>
            <w:pPr>
              <w:widowControl/>
              <w:wordWrap w:val="0"/>
              <w:spacing w:before="100" w:beforeAutospacing="1" w:after="100" w:afterAutospacing="1"/>
              <w:jc w:val="center"/>
              <w:rPr>
                <w:rFonts w:ascii="ˎ̥" w:hAnsi="ˎ̥" w:cs="宋体"/>
                <w:color w:val="000000"/>
                <w:kern w:val="0"/>
              </w:rPr>
            </w:pPr>
            <w:r>
              <w:rPr>
                <w:rFonts w:hint="eastAsia" w:ascii="宋体" w:hAnsi="宋体" w:eastAsia="宋体" w:cs="宋体"/>
              </w:rPr>
              <w:t>2MOPP</w:t>
            </w:r>
          </w:p>
        </w:tc>
        <w:tc>
          <w:tcPr>
            <w:tcW w:w="1300" w:type="dxa"/>
            <w:vAlign w:val="center"/>
          </w:tcPr>
          <w:p>
            <w:pPr>
              <w:widowControl/>
              <w:wordWrap w:val="0"/>
              <w:spacing w:before="100" w:beforeAutospacing="1" w:after="100" w:afterAutospacing="1"/>
              <w:jc w:val="center"/>
              <w:rPr>
                <w:rFonts w:ascii="宋体" w:hAnsi="宋体" w:eastAsia="宋体" w:cs="宋体"/>
              </w:rPr>
            </w:pPr>
            <w:r>
              <w:rPr>
                <w:rFonts w:hint="eastAsia" w:ascii="宋体" w:hAnsi="宋体" w:eastAsia="宋体" w:cs="宋体"/>
              </w:rPr>
              <w:t>AC 220V</w:t>
            </w:r>
          </w:p>
        </w:tc>
        <w:tc>
          <w:tcPr>
            <w:tcW w:w="1601" w:type="dxa"/>
            <w:vAlign w:val="center"/>
          </w:tcPr>
          <w:p>
            <w:pPr>
              <w:widowControl/>
              <w:wordWrap w:val="0"/>
              <w:spacing w:before="100" w:beforeAutospacing="1" w:after="100" w:afterAutospacing="1"/>
              <w:jc w:val="center"/>
              <w:rPr>
                <w:rFonts w:ascii="ˎ̥" w:hAnsi="ˎ̥" w:cs="宋体"/>
                <w:color w:val="000000"/>
                <w:kern w:val="0"/>
              </w:rPr>
            </w:pPr>
            <w:r>
              <w:rPr>
                <w:rFonts w:hint="eastAsia" w:ascii="宋体" w:hAnsi="宋体" w:eastAsia="宋体"/>
              </w:rPr>
              <w:t>≥8</w:t>
            </w:r>
          </w:p>
        </w:tc>
        <w:tc>
          <w:tcPr>
            <w:tcW w:w="1417" w:type="dxa"/>
            <w:vAlign w:val="center"/>
          </w:tcPr>
          <w:p>
            <w:pPr>
              <w:widowControl/>
              <w:wordWrap w:val="0"/>
              <w:spacing w:before="100" w:beforeAutospacing="1" w:after="100" w:afterAutospacing="1"/>
              <w:jc w:val="center"/>
              <w:rPr>
                <w:rFonts w:ascii="ˎ̥" w:hAnsi="ˎ̥" w:cs="宋体"/>
                <w:color w:val="000000"/>
                <w:kern w:val="0"/>
              </w:rPr>
            </w:pPr>
            <w:r>
              <w:rPr>
                <w:rFonts w:hint="eastAsia" w:ascii="宋体" w:hAnsi="宋体" w:eastAsia="宋体"/>
              </w:rPr>
              <w:t>≥5</w:t>
            </w:r>
          </w:p>
        </w:tc>
        <w:tc>
          <w:tcPr>
            <w:tcW w:w="993" w:type="dxa"/>
            <w:vAlign w:val="center"/>
          </w:tcPr>
          <w:p>
            <w:pPr>
              <w:widowControl/>
              <w:wordWrap w:val="0"/>
              <w:spacing w:before="100" w:beforeAutospacing="1" w:after="100" w:afterAutospacing="1"/>
              <w:jc w:val="center"/>
              <w:rPr>
                <w:rFonts w:ascii="宋体" w:hAnsi="宋体" w:eastAsia="宋体"/>
              </w:rPr>
            </w:pPr>
            <w:r>
              <w:rPr>
                <w:rFonts w:hint="eastAsia" w:ascii="宋体" w:hAnsi="宋体" w:eastAsia="宋体"/>
              </w:rPr>
              <w:t>4000V</w:t>
            </w:r>
          </w:p>
        </w:tc>
      </w:tr>
    </w:tbl>
    <w:p>
      <w:pPr>
        <w:spacing w:line="25" w:lineRule="atLeas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7096771"/>
      <w:docPartObj>
        <w:docPartGallery w:val="AutoText"/>
      </w:docPartObj>
    </w:sdtPr>
    <w:sdtContent>
      <w:p>
        <w:pPr>
          <w:pStyle w:val="4"/>
          <w:jc w:val="center"/>
        </w:pPr>
        <w:sdt>
          <w:sdtPr>
            <w:id w:val="-1705238520"/>
            <w:docPartObj>
              <w:docPartGallery w:val="AutoText"/>
            </w:docPartObj>
          </w:sdtPr>
          <w:sdtContent>
            <w:r>
              <w:rPr>
                <w:rFonts w:hint="eastAsia"/>
              </w:rPr>
              <w:t>第</w:t>
            </w:r>
            <w:r>
              <w:rPr>
                <w:lang w:val="zh-CN"/>
              </w:rPr>
              <w:t xml:space="preserve"> </w:t>
            </w:r>
            <w:r>
              <w:rPr>
                <w:sz w:val="24"/>
                <w:szCs w:val="24"/>
              </w:rPr>
              <w:fldChar w:fldCharType="begin"/>
            </w:r>
            <w:r>
              <w:instrText xml:space="preserve">PAGE</w:instrText>
            </w:r>
            <w:r>
              <w:rPr>
                <w:sz w:val="24"/>
                <w:szCs w:val="24"/>
              </w:rPr>
              <w:fldChar w:fldCharType="separate"/>
            </w:r>
            <w:r>
              <w:rPr>
                <w:lang w:val="zh-CN"/>
              </w:rPr>
              <w:t>2</w:t>
            </w:r>
            <w:r>
              <w:rPr>
                <w:sz w:val="24"/>
                <w:szCs w:val="24"/>
              </w:rPr>
              <w:fldChar w:fldCharType="end"/>
            </w:r>
            <w:r>
              <w:rPr>
                <w:lang w:val="zh-CN"/>
              </w:rPr>
              <w:t xml:space="preserve"> </w:t>
            </w:r>
            <w:r>
              <w:rPr>
                <w:rFonts w:hint="eastAsia"/>
                <w:lang w:val="zh-CN"/>
              </w:rPr>
              <w:t>页共</w:t>
            </w:r>
            <w:r>
              <w:rPr>
                <w:lang w:val="zh-CN"/>
              </w:rPr>
              <w:t xml:space="preserve"> </w:t>
            </w:r>
            <w:r>
              <w:rPr>
                <w:sz w:val="24"/>
                <w:szCs w:val="24"/>
              </w:rPr>
              <w:fldChar w:fldCharType="begin"/>
            </w:r>
            <w:r>
              <w:instrText xml:space="preserve">NUMPAGES</w:instrText>
            </w:r>
            <w:r>
              <w:rPr>
                <w:sz w:val="24"/>
                <w:szCs w:val="24"/>
              </w:rPr>
              <w:fldChar w:fldCharType="separate"/>
            </w:r>
            <w:r>
              <w:rPr>
                <w:lang w:val="zh-CN"/>
              </w:rPr>
              <w:t>2</w:t>
            </w:r>
            <w:r>
              <w:rPr>
                <w:sz w:val="24"/>
                <w:szCs w:val="24"/>
              </w:rPr>
              <w:fldChar w:fldCharType="end"/>
            </w:r>
          </w:sdtContent>
        </w:sdt>
        <w:r>
          <w:rPr>
            <w:rFonts w:hint="eastAsia"/>
          </w:rPr>
          <w:t>页</w:t>
        </w:r>
      </w:p>
    </w:sdtContent>
  </w:sdt>
  <w:p>
    <w:pPr>
      <w:spacing w:line="1"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 w:lineRule="exact"/>
    </w:pPr>
    <w:r>
      <mc:AlternateContent>
        <mc:Choice Requires="wps">
          <w:drawing>
            <wp:anchor distT="0" distB="0" distL="0" distR="0" simplePos="0" relativeHeight="251662336" behindDoc="1" locked="0" layoutInCell="1" allowOverlap="1">
              <wp:simplePos x="0" y="0"/>
              <wp:positionH relativeFrom="page">
                <wp:posOffset>5419725</wp:posOffset>
              </wp:positionH>
              <wp:positionV relativeFrom="page">
                <wp:posOffset>9894570</wp:posOffset>
              </wp:positionV>
              <wp:extent cx="899160" cy="100330"/>
              <wp:effectExtent l="0" t="0" r="0" b="0"/>
              <wp:wrapNone/>
              <wp:docPr id="9" name="Shape 9"/>
              <wp:cNvGraphicFramePr/>
              <a:graphic xmlns:a="http://schemas.openxmlformats.org/drawingml/2006/main">
                <a:graphicData uri="http://schemas.microsoft.com/office/word/2010/wordprocessingShape">
                  <wps:wsp>
                    <wps:cNvSpPr txBox="1"/>
                    <wps:spPr>
                      <a:xfrm>
                        <a:off x="0" y="0"/>
                        <a:ext cx="899160" cy="100330"/>
                      </a:xfrm>
                      <a:prstGeom prst="rect">
                        <a:avLst/>
                      </a:prstGeom>
                      <a:noFill/>
                    </wps:spPr>
                    <wps:txbx>
                      <w:txbxContent>
                        <w:p>
                          <w:pPr>
                            <w:pStyle w:val="12"/>
                            <w:jc w:val="left"/>
                            <w:rPr>
                              <w:sz w:val="17"/>
                              <w:szCs w:val="17"/>
                            </w:rPr>
                          </w:pPr>
                          <w:r>
                            <w:rPr>
                              <w:rFonts w:ascii="宋体" w:hAnsi="宋体" w:eastAsia="宋体" w:cs="宋体"/>
                              <w:color w:val="212121"/>
                              <w:sz w:val="17"/>
                              <w:szCs w:val="17"/>
                            </w:rPr>
                            <w:t>第</w:t>
                          </w:r>
                          <w:r>
                            <w:fldChar w:fldCharType="begin"/>
                          </w:r>
                          <w:r>
                            <w:instrText xml:space="preserve"> PAGE \* MERGEFORMAT </w:instrText>
                          </w:r>
                          <w:r>
                            <w:fldChar w:fldCharType="separate"/>
                          </w:r>
                          <w:r>
                            <w:rPr>
                              <w:rFonts w:ascii="Times New Roman" w:hAnsi="Times New Roman" w:eastAsia="Times New Roman" w:cs="Times New Roman"/>
                              <w:b/>
                              <w:bCs/>
                              <w:color w:val="212121"/>
                              <w:sz w:val="18"/>
                              <w:szCs w:val="18"/>
                            </w:rPr>
                            <w:t>#</w:t>
                          </w:r>
                          <w:r>
                            <w:rPr>
                              <w:rFonts w:ascii="Times New Roman" w:hAnsi="Times New Roman" w:eastAsia="Times New Roman" w:cs="Times New Roman"/>
                              <w:b/>
                              <w:bCs/>
                              <w:color w:val="212121"/>
                              <w:sz w:val="18"/>
                              <w:szCs w:val="18"/>
                            </w:rPr>
                            <w:fldChar w:fldCharType="end"/>
                          </w:r>
                          <w:r>
                            <w:rPr>
                              <w:rFonts w:ascii="宋体" w:hAnsi="宋体" w:eastAsia="宋体" w:cs="宋体"/>
                              <w:color w:val="212121"/>
                              <w:sz w:val="17"/>
                              <w:szCs w:val="17"/>
                            </w:rPr>
                            <w:t>页共</w:t>
                          </w:r>
                          <w:r>
                            <w:rPr>
                              <w:rFonts w:ascii="Times New Roman" w:hAnsi="Times New Roman" w:eastAsia="Times New Roman" w:cs="Times New Roman"/>
                              <w:b/>
                              <w:bCs/>
                              <w:color w:val="212121"/>
                              <w:sz w:val="18"/>
                              <w:szCs w:val="18"/>
                            </w:rPr>
                            <w:t>13</w:t>
                          </w:r>
                          <w:r>
                            <w:rPr>
                              <w:rFonts w:ascii="宋体" w:hAnsi="宋体" w:eastAsia="宋体" w:cs="宋体"/>
                              <w:color w:val="212121"/>
                              <w:sz w:val="17"/>
                              <w:szCs w:val="17"/>
                            </w:rPr>
                            <w:t>页</w:t>
                          </w:r>
                        </w:p>
                      </w:txbxContent>
                    </wps:txbx>
                    <wps:bodyPr wrap="none" lIns="0" tIns="0" rIns="0" bIns="0">
                      <a:spAutoFit/>
                    </wps:bodyPr>
                  </wps:wsp>
                </a:graphicData>
              </a:graphic>
            </wp:anchor>
          </w:drawing>
        </mc:Choice>
        <mc:Fallback>
          <w:pict>
            <v:shape id="Shape 9" o:spid="_x0000_s1026" o:spt="202" type="#_x0000_t202" style="position:absolute;left:0pt;margin-left:426.75pt;margin-top:779.1pt;height:7.9pt;width:70.8pt;mso-position-horizontal-relative:page;mso-position-vertical-relative:page;mso-wrap-style:none;z-index:-251654144;mso-width-relative:page;mso-height-relative:page;" filled="f" stroked="f" coordsize="21600,21600" o:gfxdata="UEsDBAoAAAAAAIdO4kAAAAAAAAAAAAAAAAAEAAAAZHJzL1BLAwQUAAAACACHTuJA/HzKn9gAAAAN&#10;AQAADwAAAGRycy9kb3ducmV2LnhtbE2PsU7DMBCGdyTewTokNmqnEJqGOB0qsbBREBKbG1/jCPsc&#10;2W6avD3uBOPd/+m/75rd7CybMMTBk4RiJYAhdV4P1Ev4/Hh9qIDFpEgr6wklLBhh197eNKrW/kLv&#10;OB1Sz3IJxVpJMCmNNeexM+hUXPkRKWcnH5xKeQw910FdcrmzfC3EM3dqoHzBqBH3Brufw9lJ2Mxf&#10;HseIe/w+TV0ww1LZt0XK+7tCvABLOKc/GK76WR3a7HT0Z9KRWQlV+VhmNAdlWa2BZWS7LQtgx+tq&#10;8ySAtw3//0X7C1BLAwQUAAAACACHTuJAmUkUIqwBAABvAwAADgAAAGRycy9lMm9Eb2MueG1srVPB&#10;auMwEL0v7D8I3Rs7LZTGxClbQpeFpbvQ7QcoshQLJI3QKLHz9x3JTlraSw97kccz4zfvvZHX96Oz&#10;7KgiGvAtXy5qzpSX0Bm/b/nLv8erO84wCd8JC161/KSQ32++f1sPoVHX0IPtVGQE4rEZQsv7lEJT&#10;VSh75QQuIChPRQ3RiUSvcV91UQyE7mx1Xde31QCxCxGkQqTsdiryGTF+BRC0NlJtQR6c8mlCjcqK&#10;RJKwNwH5prDVWsn0R2tUidmWk9JUThpC8S6f1WYtmn0UoTdypiC+QuGDJieMp6EXqK1Igh2i+QTl&#10;jIyAoNNCgqsmIcURUrGsP3jz3IugihayGsPFdPx/sPLp+Dcy07V8xZkXjhZeprJVtmYI2FDHc6Ce&#10;ND7ASBfmnEdKZsWjji4/SQujOhl7uhirxsQkJe9Wq+UtVSSVlnV9c1OMr94+DhHTTwWO5aDlkfZW&#10;7BTH35iICLWeW/IsD4/G2pzPDCcmOUrjbpxp76A7EeuBVttyTzeZM/vLk3P5FpyDeA52c5DBMfw4&#10;JBpQ5mbUCWoeRnsodOY7kxf9/r10vf0nm1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8fMqf2AAA&#10;AA0BAAAPAAAAAAAAAAEAIAAAACIAAABkcnMvZG93bnJldi54bWxQSwECFAAUAAAACACHTuJAmUkU&#10;IqwBAABvAwAADgAAAAAAAAABACAAAAAnAQAAZHJzL2Uyb0RvYy54bWxQSwUGAAAAAAYABgBZAQAA&#10;RQUAAAAA&#10;">
              <v:fill on="f" focussize="0,0"/>
              <v:stroke on="f"/>
              <v:imagedata o:title=""/>
              <o:lock v:ext="edit" aspectratio="f"/>
              <v:textbox inset="0mm,0mm,0mm,0mm" style="mso-fit-shape-to-text:t;">
                <w:txbxContent>
                  <w:p>
                    <w:pPr>
                      <w:pStyle w:val="12"/>
                      <w:jc w:val="left"/>
                      <w:rPr>
                        <w:sz w:val="17"/>
                        <w:szCs w:val="17"/>
                      </w:rPr>
                    </w:pPr>
                    <w:r>
                      <w:rPr>
                        <w:rFonts w:ascii="宋体" w:hAnsi="宋体" w:eastAsia="宋体" w:cs="宋体"/>
                        <w:color w:val="212121"/>
                        <w:sz w:val="17"/>
                        <w:szCs w:val="17"/>
                      </w:rPr>
                      <w:t>第</w:t>
                    </w:r>
                    <w:r>
                      <w:fldChar w:fldCharType="begin"/>
                    </w:r>
                    <w:r>
                      <w:instrText xml:space="preserve"> PAGE \* MERGEFORMAT </w:instrText>
                    </w:r>
                    <w:r>
                      <w:fldChar w:fldCharType="separate"/>
                    </w:r>
                    <w:r>
                      <w:rPr>
                        <w:rFonts w:ascii="Times New Roman" w:hAnsi="Times New Roman" w:eastAsia="Times New Roman" w:cs="Times New Roman"/>
                        <w:b/>
                        <w:bCs/>
                        <w:color w:val="212121"/>
                        <w:sz w:val="18"/>
                        <w:szCs w:val="18"/>
                      </w:rPr>
                      <w:t>#</w:t>
                    </w:r>
                    <w:r>
                      <w:rPr>
                        <w:rFonts w:ascii="Times New Roman" w:hAnsi="Times New Roman" w:eastAsia="Times New Roman" w:cs="Times New Roman"/>
                        <w:b/>
                        <w:bCs/>
                        <w:color w:val="212121"/>
                        <w:sz w:val="18"/>
                        <w:szCs w:val="18"/>
                      </w:rPr>
                      <w:fldChar w:fldCharType="end"/>
                    </w:r>
                    <w:r>
                      <w:rPr>
                        <w:rFonts w:ascii="宋体" w:hAnsi="宋体" w:eastAsia="宋体" w:cs="宋体"/>
                        <w:color w:val="212121"/>
                        <w:sz w:val="17"/>
                        <w:szCs w:val="17"/>
                      </w:rPr>
                      <w:t>页共</w:t>
                    </w:r>
                    <w:r>
                      <w:rPr>
                        <w:rFonts w:ascii="Times New Roman" w:hAnsi="Times New Roman" w:eastAsia="Times New Roman" w:cs="Times New Roman"/>
                        <w:b/>
                        <w:bCs/>
                        <w:color w:val="212121"/>
                        <w:sz w:val="18"/>
                        <w:szCs w:val="18"/>
                      </w:rPr>
                      <w:t>13</w:t>
                    </w:r>
                    <w:r>
                      <w:rPr>
                        <w:rFonts w:ascii="宋体" w:hAnsi="宋体" w:eastAsia="宋体" w:cs="宋体"/>
                        <w:color w:val="212121"/>
                        <w:sz w:val="17"/>
                        <w:szCs w:val="17"/>
                      </w:rPr>
                      <w:t>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 w:lineRule="exac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 w:lineRule="exact"/>
    </w:pPr>
    <w:r>
      <mc:AlternateContent>
        <mc:Choice Requires="wps">
          <w:drawing>
            <wp:anchor distT="0" distB="0" distL="0" distR="0" simplePos="0" relativeHeight="251663360" behindDoc="1" locked="0" layoutInCell="1" allowOverlap="1">
              <wp:simplePos x="0" y="0"/>
              <wp:positionH relativeFrom="page">
                <wp:posOffset>5419725</wp:posOffset>
              </wp:positionH>
              <wp:positionV relativeFrom="page">
                <wp:posOffset>9894570</wp:posOffset>
              </wp:positionV>
              <wp:extent cx="899160" cy="100330"/>
              <wp:effectExtent l="0" t="0" r="0" b="0"/>
              <wp:wrapNone/>
              <wp:docPr id="15" name="Shape 15"/>
              <wp:cNvGraphicFramePr/>
              <a:graphic xmlns:a="http://schemas.openxmlformats.org/drawingml/2006/main">
                <a:graphicData uri="http://schemas.microsoft.com/office/word/2010/wordprocessingShape">
                  <wps:wsp>
                    <wps:cNvSpPr txBox="1"/>
                    <wps:spPr>
                      <a:xfrm>
                        <a:off x="0" y="0"/>
                        <a:ext cx="899160" cy="100330"/>
                      </a:xfrm>
                      <a:prstGeom prst="rect">
                        <a:avLst/>
                      </a:prstGeom>
                      <a:noFill/>
                    </wps:spPr>
                    <wps:txbx>
                      <w:txbxContent>
                        <w:p>
                          <w:pPr>
                            <w:pStyle w:val="12"/>
                            <w:jc w:val="left"/>
                            <w:rPr>
                              <w:sz w:val="17"/>
                              <w:szCs w:val="17"/>
                            </w:rPr>
                          </w:pPr>
                          <w:r>
                            <w:rPr>
                              <w:rFonts w:ascii="宋体" w:hAnsi="宋体" w:eastAsia="宋体" w:cs="宋体"/>
                              <w:color w:val="212121"/>
                              <w:sz w:val="17"/>
                              <w:szCs w:val="17"/>
                            </w:rPr>
                            <w:t>第</w:t>
                          </w:r>
                          <w:r>
                            <w:fldChar w:fldCharType="begin"/>
                          </w:r>
                          <w:r>
                            <w:instrText xml:space="preserve"> PAGE \* MERGEFORMAT </w:instrText>
                          </w:r>
                          <w:r>
                            <w:fldChar w:fldCharType="separate"/>
                          </w:r>
                          <w:r>
                            <w:rPr>
                              <w:rFonts w:ascii="Times New Roman" w:hAnsi="Times New Roman" w:eastAsia="Times New Roman" w:cs="Times New Roman"/>
                              <w:b/>
                              <w:bCs/>
                              <w:color w:val="212121"/>
                              <w:sz w:val="18"/>
                              <w:szCs w:val="18"/>
                            </w:rPr>
                            <w:t>#</w:t>
                          </w:r>
                          <w:r>
                            <w:rPr>
                              <w:rFonts w:ascii="Times New Roman" w:hAnsi="Times New Roman" w:eastAsia="Times New Roman" w:cs="Times New Roman"/>
                              <w:b/>
                              <w:bCs/>
                              <w:color w:val="212121"/>
                              <w:sz w:val="18"/>
                              <w:szCs w:val="18"/>
                            </w:rPr>
                            <w:fldChar w:fldCharType="end"/>
                          </w:r>
                          <w:r>
                            <w:rPr>
                              <w:rFonts w:ascii="宋体" w:hAnsi="宋体" w:eastAsia="宋体" w:cs="宋体"/>
                              <w:color w:val="212121"/>
                              <w:sz w:val="17"/>
                              <w:szCs w:val="17"/>
                            </w:rPr>
                            <w:t>页共</w:t>
                          </w:r>
                          <w:r>
                            <w:rPr>
                              <w:rFonts w:ascii="Times New Roman" w:hAnsi="Times New Roman" w:eastAsia="Times New Roman" w:cs="Times New Roman"/>
                              <w:b/>
                              <w:bCs/>
                              <w:color w:val="212121"/>
                              <w:sz w:val="18"/>
                              <w:szCs w:val="18"/>
                            </w:rPr>
                            <w:t>13</w:t>
                          </w:r>
                          <w:r>
                            <w:rPr>
                              <w:rFonts w:ascii="宋体" w:hAnsi="宋体" w:eastAsia="宋体" w:cs="宋体"/>
                              <w:color w:val="212121"/>
                              <w:sz w:val="17"/>
                              <w:szCs w:val="17"/>
                            </w:rPr>
                            <w:t>页</w:t>
                          </w:r>
                        </w:p>
                      </w:txbxContent>
                    </wps:txbx>
                    <wps:bodyPr wrap="none" lIns="0" tIns="0" rIns="0" bIns="0">
                      <a:spAutoFit/>
                    </wps:bodyPr>
                  </wps:wsp>
                </a:graphicData>
              </a:graphic>
            </wp:anchor>
          </w:drawing>
        </mc:Choice>
        <mc:Fallback>
          <w:pict>
            <v:shape id="Shape 15" o:spid="_x0000_s1026" o:spt="202" type="#_x0000_t202" style="position:absolute;left:0pt;margin-left:426.75pt;margin-top:779.1pt;height:7.9pt;width:70.8pt;mso-position-horizontal-relative:page;mso-position-vertical-relative:page;mso-wrap-style:none;z-index:-251653120;mso-width-relative:page;mso-height-relative:page;" filled="f" stroked="f" coordsize="21600,21600" o:gfxdata="UEsDBAoAAAAAAIdO4kAAAAAAAAAAAAAAAAAEAAAAZHJzL1BLAwQUAAAACACHTuJA/HzKn9gAAAAN&#10;AQAADwAAAGRycy9kb3ducmV2LnhtbE2PsU7DMBCGdyTewTokNmqnEJqGOB0qsbBREBKbG1/jCPsc&#10;2W6avD3uBOPd/+m/75rd7CybMMTBk4RiJYAhdV4P1Ev4/Hh9qIDFpEgr6wklLBhh197eNKrW/kLv&#10;OB1Sz3IJxVpJMCmNNeexM+hUXPkRKWcnH5xKeQw910FdcrmzfC3EM3dqoHzBqBH3Brufw9lJ2Mxf&#10;HseIe/w+TV0ww1LZt0XK+7tCvABLOKc/GK76WR3a7HT0Z9KRWQlV+VhmNAdlWa2BZWS7LQtgx+tq&#10;8ySAtw3//0X7C1BLAwQUAAAACACHTuJA97bPBa0BAABxAwAADgAAAGRycy9lMm9Eb2MueG1srVPB&#10;btswDL0P2D8Iui92WqxojThFi6DDgKId0PUDFFmKBUiiICqx8/elZCcduksPvdgUST++9yivbkdn&#10;2UFFNOBbvlzUnCkvoTN+1/LXvw8/rjnDJHwnLHjV8qNCfrv+/m01hEZdQA+2U5ERiMdmCC3vUwpN&#10;VaHslRO4gKA8FTVEJxId467qohgI3dnqoq6vqgFiFyJIhUjZzVTkM2L8DCBobaTagNw75dOEGpUV&#10;iSRhbwLydWGrtZLpWWtUidmWk9JUnjSE4m1+VuuVaHZRhN7ImYL4DIUPmpwwnoaeoTYiCbaP5j8o&#10;Z2QEBJ0WElw1CSmOkIpl/cGbl14EVbSQ1RjOpuPXwcqnw5/ITEc34SdnXjjaeBnL6EzmDAEb6nkJ&#10;1JXGexip8ZRHSmbNo44uv0kNozpZezxbq8bEJCWvb26WV1SRVFrW9eVlsb56/zhETL8UOJaDlkfa&#10;XDFUHB4xERFqPbXkWR4ejLU5nxlOTHKUxu04095CdyTWAy235Z7uMmf2tyfv8j04BfEUbOcgg2O4&#10;2ycaUOZm1AlqHkabKHTmW5NX/e+5dL3/Kes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HzKn9gA&#10;AAANAQAADwAAAAAAAAABACAAAAAiAAAAZHJzL2Rvd25yZXYueG1sUEsBAhQAFAAAAAgAh07iQPe2&#10;zwWtAQAAcQMAAA4AAAAAAAAAAQAgAAAAJwEAAGRycy9lMm9Eb2MueG1sUEsFBgAAAAAGAAYAWQEA&#10;AEYFAAAAAA==&#10;">
              <v:fill on="f" focussize="0,0"/>
              <v:stroke on="f"/>
              <v:imagedata o:title=""/>
              <o:lock v:ext="edit" aspectratio="f"/>
              <v:textbox inset="0mm,0mm,0mm,0mm" style="mso-fit-shape-to-text:t;">
                <w:txbxContent>
                  <w:p>
                    <w:pPr>
                      <w:pStyle w:val="12"/>
                      <w:jc w:val="left"/>
                      <w:rPr>
                        <w:sz w:val="17"/>
                        <w:szCs w:val="17"/>
                      </w:rPr>
                    </w:pPr>
                    <w:r>
                      <w:rPr>
                        <w:rFonts w:ascii="宋体" w:hAnsi="宋体" w:eastAsia="宋体" w:cs="宋体"/>
                        <w:color w:val="212121"/>
                        <w:sz w:val="17"/>
                        <w:szCs w:val="17"/>
                      </w:rPr>
                      <w:t>第</w:t>
                    </w:r>
                    <w:r>
                      <w:fldChar w:fldCharType="begin"/>
                    </w:r>
                    <w:r>
                      <w:instrText xml:space="preserve"> PAGE \* MERGEFORMAT </w:instrText>
                    </w:r>
                    <w:r>
                      <w:fldChar w:fldCharType="separate"/>
                    </w:r>
                    <w:r>
                      <w:rPr>
                        <w:rFonts w:ascii="Times New Roman" w:hAnsi="Times New Roman" w:eastAsia="Times New Roman" w:cs="Times New Roman"/>
                        <w:b/>
                        <w:bCs/>
                        <w:color w:val="212121"/>
                        <w:sz w:val="18"/>
                        <w:szCs w:val="18"/>
                      </w:rPr>
                      <w:t>#</w:t>
                    </w:r>
                    <w:r>
                      <w:rPr>
                        <w:rFonts w:ascii="Times New Roman" w:hAnsi="Times New Roman" w:eastAsia="Times New Roman" w:cs="Times New Roman"/>
                        <w:b/>
                        <w:bCs/>
                        <w:color w:val="212121"/>
                        <w:sz w:val="18"/>
                        <w:szCs w:val="18"/>
                      </w:rPr>
                      <w:fldChar w:fldCharType="end"/>
                    </w:r>
                    <w:r>
                      <w:rPr>
                        <w:rFonts w:ascii="宋体" w:hAnsi="宋体" w:eastAsia="宋体" w:cs="宋体"/>
                        <w:color w:val="212121"/>
                        <w:sz w:val="17"/>
                        <w:szCs w:val="17"/>
                      </w:rPr>
                      <w:t>页共</w:t>
                    </w:r>
                    <w:r>
                      <w:rPr>
                        <w:rFonts w:ascii="Times New Roman" w:hAnsi="Times New Roman" w:eastAsia="Times New Roman" w:cs="Times New Roman"/>
                        <w:b/>
                        <w:bCs/>
                        <w:color w:val="212121"/>
                        <w:sz w:val="18"/>
                        <w:szCs w:val="18"/>
                      </w:rPr>
                      <w:t>13</w:t>
                    </w:r>
                    <w:r>
                      <w:rPr>
                        <w:rFonts w:ascii="宋体" w:hAnsi="宋体" w:eastAsia="宋体" w:cs="宋体"/>
                        <w:color w:val="212121"/>
                        <w:sz w:val="17"/>
                        <w:szCs w:val="17"/>
                      </w:rPr>
                      <w:t>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Q0MjEyZDdhOGQzNjJhZDE5NDFmMDU5ZmZjNWI1NzkifQ=="/>
    <w:docVar w:name="KSO_WPS_MARK_KEY" w:val="823c97dd-9a44-444b-833f-3e1a4d5e4e31"/>
  </w:docVars>
  <w:rsids>
    <w:rsidRoot w:val="53030D92"/>
    <w:rsid w:val="000048C6"/>
    <w:rsid w:val="00013274"/>
    <w:rsid w:val="00035977"/>
    <w:rsid w:val="00042F5C"/>
    <w:rsid w:val="000837F6"/>
    <w:rsid w:val="00084D55"/>
    <w:rsid w:val="00085218"/>
    <w:rsid w:val="0009010E"/>
    <w:rsid w:val="000A1C04"/>
    <w:rsid w:val="000D1F1F"/>
    <w:rsid w:val="000D4998"/>
    <w:rsid w:val="001216FA"/>
    <w:rsid w:val="001333D7"/>
    <w:rsid w:val="00134140"/>
    <w:rsid w:val="00140477"/>
    <w:rsid w:val="00161C26"/>
    <w:rsid w:val="00164BAA"/>
    <w:rsid w:val="0018318E"/>
    <w:rsid w:val="001C4CC0"/>
    <w:rsid w:val="001C6239"/>
    <w:rsid w:val="001E183C"/>
    <w:rsid w:val="001E681F"/>
    <w:rsid w:val="001F53EE"/>
    <w:rsid w:val="002518DF"/>
    <w:rsid w:val="00276F88"/>
    <w:rsid w:val="00287585"/>
    <w:rsid w:val="002A797E"/>
    <w:rsid w:val="002B373D"/>
    <w:rsid w:val="002C2B83"/>
    <w:rsid w:val="002D6976"/>
    <w:rsid w:val="0031309D"/>
    <w:rsid w:val="00315F2E"/>
    <w:rsid w:val="00367B45"/>
    <w:rsid w:val="00380F9C"/>
    <w:rsid w:val="003813B3"/>
    <w:rsid w:val="00386646"/>
    <w:rsid w:val="003A7E76"/>
    <w:rsid w:val="003B6402"/>
    <w:rsid w:val="003B7067"/>
    <w:rsid w:val="003C1E37"/>
    <w:rsid w:val="003D4297"/>
    <w:rsid w:val="004144F6"/>
    <w:rsid w:val="00424978"/>
    <w:rsid w:val="004670EB"/>
    <w:rsid w:val="004725BA"/>
    <w:rsid w:val="004A05FE"/>
    <w:rsid w:val="004E359B"/>
    <w:rsid w:val="00505EF1"/>
    <w:rsid w:val="00512220"/>
    <w:rsid w:val="005418E0"/>
    <w:rsid w:val="00547797"/>
    <w:rsid w:val="0058131B"/>
    <w:rsid w:val="00582AEC"/>
    <w:rsid w:val="005859F6"/>
    <w:rsid w:val="005C70CF"/>
    <w:rsid w:val="005F7DB3"/>
    <w:rsid w:val="00611F9C"/>
    <w:rsid w:val="00647375"/>
    <w:rsid w:val="00651B39"/>
    <w:rsid w:val="00652321"/>
    <w:rsid w:val="006B00CE"/>
    <w:rsid w:val="006C0454"/>
    <w:rsid w:val="0071720D"/>
    <w:rsid w:val="00727EDB"/>
    <w:rsid w:val="00743AAB"/>
    <w:rsid w:val="00760D0B"/>
    <w:rsid w:val="0078172D"/>
    <w:rsid w:val="007A4523"/>
    <w:rsid w:val="007A7ECD"/>
    <w:rsid w:val="007B0AF9"/>
    <w:rsid w:val="007E13C2"/>
    <w:rsid w:val="0080198E"/>
    <w:rsid w:val="00811A20"/>
    <w:rsid w:val="00844C3C"/>
    <w:rsid w:val="00863838"/>
    <w:rsid w:val="008725F4"/>
    <w:rsid w:val="008728C5"/>
    <w:rsid w:val="00880AA4"/>
    <w:rsid w:val="008A241B"/>
    <w:rsid w:val="008A5508"/>
    <w:rsid w:val="008D0A6C"/>
    <w:rsid w:val="008F0F77"/>
    <w:rsid w:val="00902D0A"/>
    <w:rsid w:val="00904F2D"/>
    <w:rsid w:val="00907788"/>
    <w:rsid w:val="00921FDB"/>
    <w:rsid w:val="00922DDA"/>
    <w:rsid w:val="0093375B"/>
    <w:rsid w:val="009340C4"/>
    <w:rsid w:val="009406DE"/>
    <w:rsid w:val="00960AC0"/>
    <w:rsid w:val="00967F12"/>
    <w:rsid w:val="00983BD2"/>
    <w:rsid w:val="00984D95"/>
    <w:rsid w:val="009D209C"/>
    <w:rsid w:val="009D6487"/>
    <w:rsid w:val="009E29EB"/>
    <w:rsid w:val="00A1035F"/>
    <w:rsid w:val="00A956B9"/>
    <w:rsid w:val="00AF4B9A"/>
    <w:rsid w:val="00B011DD"/>
    <w:rsid w:val="00B22B02"/>
    <w:rsid w:val="00B25F4B"/>
    <w:rsid w:val="00B50453"/>
    <w:rsid w:val="00B56023"/>
    <w:rsid w:val="00B56E6D"/>
    <w:rsid w:val="00B96917"/>
    <w:rsid w:val="00BA2BE8"/>
    <w:rsid w:val="00BA7114"/>
    <w:rsid w:val="00BD1C60"/>
    <w:rsid w:val="00BD3EE2"/>
    <w:rsid w:val="00BD7363"/>
    <w:rsid w:val="00BF67BF"/>
    <w:rsid w:val="00C210BC"/>
    <w:rsid w:val="00C322C9"/>
    <w:rsid w:val="00C57045"/>
    <w:rsid w:val="00CE1F01"/>
    <w:rsid w:val="00CF5E5A"/>
    <w:rsid w:val="00D100EF"/>
    <w:rsid w:val="00D12557"/>
    <w:rsid w:val="00D437FE"/>
    <w:rsid w:val="00D46F37"/>
    <w:rsid w:val="00D57AB5"/>
    <w:rsid w:val="00D7226F"/>
    <w:rsid w:val="00DA7FE3"/>
    <w:rsid w:val="00DD7AE1"/>
    <w:rsid w:val="00DF6519"/>
    <w:rsid w:val="00E06682"/>
    <w:rsid w:val="00E134E1"/>
    <w:rsid w:val="00E153E0"/>
    <w:rsid w:val="00E1670E"/>
    <w:rsid w:val="00E233FA"/>
    <w:rsid w:val="00E312AE"/>
    <w:rsid w:val="00E36682"/>
    <w:rsid w:val="00E63B7B"/>
    <w:rsid w:val="00E7464F"/>
    <w:rsid w:val="00EC01D2"/>
    <w:rsid w:val="00EE3C6F"/>
    <w:rsid w:val="00F2113D"/>
    <w:rsid w:val="00F32A6E"/>
    <w:rsid w:val="00F37284"/>
    <w:rsid w:val="00F53845"/>
    <w:rsid w:val="00F76711"/>
    <w:rsid w:val="00F968C6"/>
    <w:rsid w:val="00FB3767"/>
    <w:rsid w:val="00FB473A"/>
    <w:rsid w:val="00FB6E6E"/>
    <w:rsid w:val="02B925E5"/>
    <w:rsid w:val="0579006E"/>
    <w:rsid w:val="05EB1C66"/>
    <w:rsid w:val="0CB97903"/>
    <w:rsid w:val="0F432C8C"/>
    <w:rsid w:val="14185D5D"/>
    <w:rsid w:val="148A7C64"/>
    <w:rsid w:val="16571CD4"/>
    <w:rsid w:val="17895CBA"/>
    <w:rsid w:val="1DBD2501"/>
    <w:rsid w:val="1FD4006D"/>
    <w:rsid w:val="22C14175"/>
    <w:rsid w:val="275B2FCA"/>
    <w:rsid w:val="28162923"/>
    <w:rsid w:val="2F4C7F04"/>
    <w:rsid w:val="320F2377"/>
    <w:rsid w:val="349516D2"/>
    <w:rsid w:val="353C1348"/>
    <w:rsid w:val="3A663564"/>
    <w:rsid w:val="3FB660DF"/>
    <w:rsid w:val="40FC17DE"/>
    <w:rsid w:val="41463354"/>
    <w:rsid w:val="43C20137"/>
    <w:rsid w:val="44E72FCD"/>
    <w:rsid w:val="45513A5B"/>
    <w:rsid w:val="489F4A12"/>
    <w:rsid w:val="4CEC167A"/>
    <w:rsid w:val="4E6E7C02"/>
    <w:rsid w:val="4E7272E8"/>
    <w:rsid w:val="522A3CE2"/>
    <w:rsid w:val="52357E1C"/>
    <w:rsid w:val="53030D92"/>
    <w:rsid w:val="551E3F1A"/>
    <w:rsid w:val="59A246D5"/>
    <w:rsid w:val="5EA51710"/>
    <w:rsid w:val="655754A2"/>
    <w:rsid w:val="65F83B0C"/>
    <w:rsid w:val="6618187B"/>
    <w:rsid w:val="69CD766C"/>
    <w:rsid w:val="6EC054A1"/>
    <w:rsid w:val="72F13A91"/>
    <w:rsid w:val="75A13734"/>
    <w:rsid w:val="77BC35C0"/>
    <w:rsid w:val="7CDC4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15"/>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7"/>
    <w:unhideWhenUsed/>
    <w:uiPriority w:val="99"/>
    <w:pPr>
      <w:widowControl/>
      <w:tabs>
        <w:tab w:val="center" w:pos="4680"/>
        <w:tab w:val="right" w:pos="9360"/>
      </w:tabs>
      <w:jc w:val="left"/>
    </w:pPr>
    <w:rPr>
      <w:rFonts w:cs="Times New Roman"/>
      <w:kern w:val="0"/>
      <w:sz w:val="22"/>
      <w:szCs w:val="22"/>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qFormat/>
    <w:uiPriority w:val="0"/>
    <w:pPr>
      <w:spacing w:beforeAutospacing="1" w:afterAutospacing="1"/>
      <w:jc w:val="left"/>
    </w:pPr>
    <w:rPr>
      <w:rFonts w:cs="Times New Roman"/>
      <w:kern w:val="0"/>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Other|1"/>
    <w:basedOn w:val="1"/>
    <w:autoRedefine/>
    <w:qFormat/>
    <w:uiPriority w:val="0"/>
    <w:pPr>
      <w:spacing w:line="446" w:lineRule="auto"/>
    </w:pPr>
    <w:rPr>
      <w:rFonts w:ascii="宋体" w:hAnsi="宋体" w:eastAsia="宋体" w:cs="宋体"/>
      <w:color w:val="212121"/>
      <w:sz w:val="22"/>
      <w:szCs w:val="22"/>
    </w:rPr>
  </w:style>
  <w:style w:type="paragraph" w:customStyle="1" w:styleId="11">
    <w:name w:val="Body text|1"/>
    <w:basedOn w:val="1"/>
    <w:qFormat/>
    <w:uiPriority w:val="0"/>
    <w:pPr>
      <w:spacing w:line="446" w:lineRule="auto"/>
    </w:pPr>
    <w:rPr>
      <w:rFonts w:ascii="宋体" w:hAnsi="宋体" w:eastAsia="宋体" w:cs="宋体"/>
      <w:color w:val="212121"/>
      <w:sz w:val="22"/>
      <w:szCs w:val="22"/>
      <w:lang w:val="zh-TW" w:eastAsia="zh-TW" w:bidi="zh-TW"/>
    </w:rPr>
  </w:style>
  <w:style w:type="paragraph" w:customStyle="1" w:styleId="12">
    <w:name w:val="Header or footer|2"/>
    <w:basedOn w:val="1"/>
    <w:qFormat/>
    <w:uiPriority w:val="0"/>
    <w:rPr>
      <w:sz w:val="20"/>
      <w:szCs w:val="20"/>
      <w:lang w:val="zh-TW" w:eastAsia="zh-TW" w:bidi="zh-TW"/>
    </w:rPr>
  </w:style>
  <w:style w:type="paragraph" w:customStyle="1" w:styleId="13">
    <w:name w:val="章标题"/>
    <w:next w:val="1"/>
    <w:autoRedefine/>
    <w:qFormat/>
    <w:uiPriority w:val="0"/>
    <w:pPr>
      <w:tabs>
        <w:tab w:val="left" w:pos="360"/>
      </w:tabs>
      <w:spacing w:beforeLines="50" w:afterLines="50"/>
      <w:jc w:val="both"/>
      <w:outlineLvl w:val="1"/>
    </w:pPr>
    <w:rPr>
      <w:rFonts w:ascii="黑体" w:hAnsi="Times New Roman" w:eastAsia="黑体" w:cs="Times New Roman"/>
      <w:sz w:val="21"/>
      <w:lang w:val="en-US" w:eastAsia="zh-CN" w:bidi="ar-SA"/>
    </w:rPr>
  </w:style>
  <w:style w:type="character" w:customStyle="1" w:styleId="14">
    <w:name w:val="NormalCharacter"/>
    <w:qFormat/>
    <w:uiPriority w:val="0"/>
  </w:style>
  <w:style w:type="character" w:customStyle="1" w:styleId="15">
    <w:name w:val="标题 2 字符"/>
    <w:basedOn w:val="9"/>
    <w:link w:val="3"/>
    <w:autoRedefine/>
    <w:semiHidden/>
    <w:qFormat/>
    <w:uiPriority w:val="0"/>
    <w:rPr>
      <w:rFonts w:asciiTheme="majorHAnsi" w:hAnsiTheme="majorHAnsi" w:eastAsiaTheme="majorEastAsia" w:cstheme="majorBidi"/>
      <w:b/>
      <w:bCs/>
      <w:kern w:val="2"/>
      <w:sz w:val="32"/>
      <w:szCs w:val="32"/>
    </w:rPr>
  </w:style>
  <w:style w:type="paragraph" w:customStyle="1" w:styleId="16">
    <w:name w:val="Default"/>
    <w:basedOn w:val="1"/>
    <w:autoRedefine/>
    <w:qFormat/>
    <w:uiPriority w:val="0"/>
    <w:pPr>
      <w:widowControl/>
      <w:autoSpaceDE w:val="0"/>
      <w:autoSpaceDN w:val="0"/>
      <w:jc w:val="left"/>
    </w:pPr>
    <w:rPr>
      <w:rFonts w:ascii="Arial" w:hAnsi="Arial" w:cs="Arial"/>
      <w:color w:val="000000"/>
      <w:kern w:val="0"/>
    </w:rPr>
  </w:style>
  <w:style w:type="character" w:customStyle="1" w:styleId="17">
    <w:name w:val="页脚 字符"/>
    <w:basedOn w:val="9"/>
    <w:link w:val="4"/>
    <w:qFormat/>
    <w:uiPriority w:val="99"/>
    <w:rPr>
      <w:rFonts w:asciiTheme="minorHAnsi" w:hAnsiTheme="minorHAnsi" w:eastAsiaTheme="minorEastAsia"/>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DB5BA0-C84F-425C-B810-A7472CA4EA56}">
  <ds:schemaRefs/>
</ds:datastoreItem>
</file>

<file path=docProps/app.xml><?xml version="1.0" encoding="utf-8"?>
<Properties xmlns="http://schemas.openxmlformats.org/officeDocument/2006/extended-properties" xmlns:vt="http://schemas.openxmlformats.org/officeDocument/2006/docPropsVTypes">
  <Template>Normal</Template>
  <Pages>11</Pages>
  <Words>5626</Words>
  <Characters>7651</Characters>
  <Lines>60</Lines>
  <Paragraphs>16</Paragraphs>
  <TotalTime>233</TotalTime>
  <ScaleCrop>false</ScaleCrop>
  <LinksUpToDate>false</LinksUpToDate>
  <CharactersWithSpaces>7788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2024-02-02T00:44:00Z</dcterms:created>
  <dc:creator>闫昌海</dc:creator>
  <cp:lastModifiedBy>吴稍佳</cp:lastModifiedBy>
  <cp:lastPrinted>2024-04-09T02:38:00Z</cp:lastPrinted>
  <dcterms:modified xsi:type="dcterms:W3CDTF">2024-07-29T05:20:55Z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BE21C362B39B4DC8814C6B4A6D740792_13</vt:lpwstr>
  </property>
</Properties>
</file>