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hint="eastAsia" w:ascii="Arial" w:hAnsi="Arial" w:eastAsia="宋体"/>
          <w:sz w:val="24"/>
          <w:lang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工艺流程</w:t>
      </w:r>
      <w:bookmarkStart w:id="0" w:name="_GoBack"/>
      <w:bookmarkEnd w:id="0"/>
      <w:r>
        <w:rPr>
          <w:rFonts w:hint="eastAsia" w:ascii="仿宋" w:hAnsi="仿宋" w:eastAsia="仿宋" w:cs="仿宋"/>
          <w:sz w:val="24"/>
        </w:rPr>
        <w:t>NO：1</w:t>
      </w:r>
      <w:r>
        <w:rPr>
          <w:rFonts w:hint="eastAsia" w:ascii="仿宋" w:hAnsi="仿宋" w:eastAsia="仿宋" w:cs="仿宋"/>
          <w:sz w:val="24"/>
          <w:lang w:val="en-US" w:eastAsia="zh-CN"/>
        </w:rPr>
        <w:t>8</w:t>
      </w:r>
    </w:p>
    <w:tbl>
      <w:tblPr>
        <w:tblStyle w:val="2"/>
        <w:tblW w:w="8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53"/>
        <w:gridCol w:w="840"/>
        <w:gridCol w:w="431"/>
        <w:gridCol w:w="1038"/>
        <w:gridCol w:w="313"/>
        <w:gridCol w:w="1126"/>
        <w:gridCol w:w="1166"/>
        <w:gridCol w:w="1814"/>
        <w:gridCol w:w="12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0" w:hRule="atLeast"/>
          <w:tblHeader/>
        </w:trPr>
        <w:tc>
          <w:tcPr>
            <w:tcW w:w="4101" w:type="dxa"/>
            <w:gridSpan w:val="6"/>
            <w:noWrap w:val="0"/>
            <w:vAlign w:val="center"/>
          </w:tcPr>
          <w:p>
            <w:pPr>
              <w:snapToGrid w:val="0"/>
              <w:spacing w:line="280" w:lineRule="exact"/>
              <w:ind w:left="113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产品名称：一次性使用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 w:val="24"/>
              </w:rPr>
              <w:t xml:space="preserve"> 水封式</w:t>
            </w:r>
          </w:p>
        </w:tc>
        <w:tc>
          <w:tcPr>
            <w:tcW w:w="4261" w:type="dxa"/>
            <w:gridSpan w:val="3"/>
            <w:noWrap w:val="0"/>
            <w:vAlign w:val="center"/>
          </w:tcPr>
          <w:p>
            <w:pPr>
              <w:snapToGrid w:val="0"/>
              <w:spacing w:line="280" w:lineRule="exact"/>
              <w:ind w:left="113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产品技术要求编号：浙械注准***********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0" w:hRule="atLeast"/>
          <w:tblHeader/>
        </w:trPr>
        <w:tc>
          <w:tcPr>
            <w:tcW w:w="8362" w:type="dxa"/>
            <w:gridSpan w:val="9"/>
            <w:noWrap w:val="0"/>
            <w:vAlign w:val="center"/>
          </w:tcPr>
          <w:p>
            <w:pPr>
              <w:snapToGrid w:val="0"/>
              <w:spacing w:line="280" w:lineRule="exact"/>
              <w:ind w:left="113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型号系列：YY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qs</w:t>
            </w:r>
            <w:r>
              <w:rPr>
                <w:rFonts w:hint="eastAsia" w:ascii="仿宋" w:hAnsi="仿宋" w:eastAsia="仿宋" w:cs="仿宋"/>
                <w:sz w:val="24"/>
              </w:rPr>
              <w:t>系列；YTS系列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40" w:hRule="atLeast"/>
          <w:tblHeader/>
        </w:trPr>
        <w:tc>
          <w:tcPr>
            <w:tcW w:w="353" w:type="dxa"/>
            <w:vMerge w:val="restart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序号</w:t>
            </w:r>
          </w:p>
        </w:tc>
        <w:tc>
          <w:tcPr>
            <w:tcW w:w="840" w:type="dxa"/>
            <w:vMerge w:val="restart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特性名称</w:t>
            </w:r>
          </w:p>
        </w:tc>
        <w:tc>
          <w:tcPr>
            <w:tcW w:w="431" w:type="dxa"/>
            <w:vMerge w:val="restart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特性符号</w:t>
            </w:r>
          </w:p>
        </w:tc>
        <w:tc>
          <w:tcPr>
            <w:tcW w:w="5457" w:type="dxa"/>
            <w:gridSpan w:val="5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关键及特殊特性操作描述</w:t>
            </w:r>
          </w:p>
        </w:tc>
        <w:tc>
          <w:tcPr>
            <w:tcW w:w="1281" w:type="dxa"/>
            <w:vMerge w:val="restart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控制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40" w:hRule="atLeast"/>
          <w:tblHeader/>
        </w:trPr>
        <w:tc>
          <w:tcPr>
            <w:tcW w:w="353" w:type="dxa"/>
            <w:vMerge w:val="continue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</w:p>
        </w:tc>
        <w:tc>
          <w:tcPr>
            <w:tcW w:w="840" w:type="dxa"/>
            <w:vMerge w:val="continue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</w:p>
        </w:tc>
        <w:tc>
          <w:tcPr>
            <w:tcW w:w="431" w:type="dxa"/>
            <w:vMerge w:val="continue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产品特性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过程特性</w:t>
            </w:r>
          </w:p>
        </w:tc>
        <w:tc>
          <w:tcPr>
            <w:tcW w:w="1281" w:type="dxa"/>
            <w:vMerge w:val="continue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8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注塑工序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[A]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外观、物理性能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    观</w:t>
            </w:r>
            <w:r>
              <w:rPr>
                <w:rFonts w:hint="eastAsia" w:ascii="仿宋" w:hAnsi="仿宋" w:eastAsia="仿宋" w:cs="仿宋"/>
                <w:sz w:val="24"/>
              </w:rPr>
              <w:t>：应无黑糊斑点、无油污、异物等；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注塑质量：</w:t>
            </w:r>
            <w:r>
              <w:rPr>
                <w:rFonts w:hint="eastAsia" w:ascii="仿宋" w:hAnsi="仿宋" w:eastAsia="仿宋" w:cs="仿宋"/>
                <w:sz w:val="24"/>
              </w:rPr>
              <w:t>应光滑平直，不得有毛刺、飞边、缺料等现象；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尺    寸：</w:t>
            </w:r>
            <w:r>
              <w:rPr>
                <w:rFonts w:hint="eastAsia" w:ascii="仿宋" w:hAnsi="仿宋" w:eastAsia="仿宋" w:cs="仿宋"/>
                <w:sz w:val="24"/>
              </w:rPr>
              <w:t>应符合产品图纸要求；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1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挤出工序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[A]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外观、物理性能、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    观：</w:t>
            </w:r>
            <w:r>
              <w:rPr>
                <w:rFonts w:hint="eastAsia" w:ascii="仿宋" w:hAnsi="仿宋" w:eastAsia="仿宋" w:cs="仿宋"/>
                <w:sz w:val="24"/>
              </w:rPr>
              <w:t>应无黑糊斑点、无油污、异物等；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挤出质量：</w:t>
            </w:r>
            <w:r>
              <w:rPr>
                <w:rFonts w:hint="eastAsia" w:ascii="仿宋" w:hAnsi="仿宋" w:eastAsia="仿宋" w:cs="仿宋"/>
                <w:sz w:val="24"/>
              </w:rPr>
              <w:t>应光滑、粗细均匀、壁厚均匀；不得有麻皮、鱼眼等现象；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尺    寸：</w:t>
            </w:r>
            <w:r>
              <w:rPr>
                <w:rFonts w:hint="eastAsia" w:ascii="仿宋" w:hAnsi="仿宋" w:eastAsia="仿宋" w:cs="仿宋"/>
                <w:sz w:val="24"/>
              </w:rPr>
              <w:t>应符合产品图纸要求；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1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吹塑工序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[A]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外观、物理性能、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    观：</w:t>
            </w:r>
            <w:r>
              <w:rPr>
                <w:rFonts w:hint="eastAsia" w:ascii="仿宋" w:hAnsi="仿宋" w:eastAsia="仿宋" w:cs="仿宋"/>
                <w:sz w:val="24"/>
              </w:rPr>
              <w:t>应无黑糊斑点、无油污、异物等；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吹塑质量：</w:t>
            </w:r>
            <w:r>
              <w:rPr>
                <w:rFonts w:hint="eastAsia" w:ascii="仿宋" w:hAnsi="仿宋" w:eastAsia="仿宋" w:cs="仿宋"/>
                <w:sz w:val="24"/>
              </w:rPr>
              <w:t>腔体在规定高度注满水自由跌落不破裂，或以一定重量重物在规定高度跌落在被测物上不破裂；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尺    寸：</w:t>
            </w:r>
            <w:r>
              <w:rPr>
                <w:rFonts w:hint="eastAsia" w:ascii="仿宋" w:hAnsi="仿宋" w:eastAsia="仿宋" w:cs="仿宋"/>
                <w:sz w:val="24"/>
              </w:rPr>
              <w:t>应符合产品图纸要求；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1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超声波焊接工序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[A]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外观、焊接质量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    观：</w:t>
            </w:r>
            <w:r>
              <w:rPr>
                <w:rFonts w:hint="eastAsia" w:ascii="仿宋" w:hAnsi="仿宋" w:eastAsia="仿宋" w:cs="仿宋"/>
                <w:sz w:val="24"/>
              </w:rPr>
              <w:t>焊接后的产品应完整美观，不得产生花纹、焦痕等影响产品外观的现象产生。</w:t>
            </w:r>
          </w:p>
          <w:p>
            <w:pPr>
              <w:spacing w:line="280" w:lineRule="exact"/>
              <w:jc w:val="center"/>
              <w:rPr>
                <w:rFonts w:hint="eastAsia" w:ascii="Arial" w:hAnsi="Arial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焊接质量：</w:t>
            </w:r>
            <w:r>
              <w:rPr>
                <w:rFonts w:hint="eastAsia" w:ascii="仿宋" w:hAnsi="仿宋" w:eastAsia="仿宋" w:cs="仿宋"/>
                <w:sz w:val="24"/>
              </w:rPr>
              <w:t>焊接后的产品应整体牢固，无虚焊，不得自然脱开。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巡检：3模/班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1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装配工序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C</w:t>
            </w:r>
            <w:r>
              <w:rPr>
                <w:rFonts w:ascii="仿宋" w:hAnsi="仿宋" w:eastAsia="仿宋" w:cs="仿宋"/>
                <w:sz w:val="24"/>
              </w:rPr>
              <w:t>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产品功能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 观：</w:t>
            </w:r>
            <w:r>
              <w:rPr>
                <w:rFonts w:hint="eastAsia" w:ascii="仿宋" w:hAnsi="仿宋" w:eastAsia="仿宋" w:cs="仿宋"/>
                <w:sz w:val="24"/>
              </w:rPr>
              <w:t>装配后的产品应完整，不得多件、少件，不的有异物。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装配质量：</w:t>
            </w:r>
            <w:r>
              <w:rPr>
                <w:rFonts w:hint="eastAsia" w:ascii="仿宋" w:hAnsi="仿宋" w:eastAsia="仿宋" w:cs="仿宋"/>
                <w:sz w:val="24"/>
              </w:rPr>
              <w:t>装配后的产品应整体牢固，不得自然脱开。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38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产品测漏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[A]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产品密封性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在40~60Kpa的压力下保持6s；不得发生泄漏；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5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初包装封口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</w:t>
            </w:r>
            <w:r>
              <w:rPr>
                <w:rFonts w:hint="eastAsia" w:ascii="仿宋" w:hAnsi="仿宋" w:eastAsia="仿宋" w:cs="仿宋"/>
                <w:sz w:val="24"/>
              </w:rPr>
              <w:t>B</w:t>
            </w:r>
            <w:r>
              <w:rPr>
                <w:rFonts w:ascii="仿宋" w:hAnsi="仿宋" w:eastAsia="仿宋" w:cs="仿宋"/>
                <w:sz w:val="24"/>
              </w:rPr>
              <w:t>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产品与外界微生物屏障性能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初包装封口处封条距袋口部为5～8mm，封口宽度不小于10mm。封口后不允许有漏气、封口印痕未完全溶合现象；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封口应平直无皱褶，应与袋底边平行并有明显启封口；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内装物的规格品种应与标识印刷相符，封口处若有生产日期、失效日期应正确、清晰。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首检：5只/班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巡检：5只/班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完工检：S-3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10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产品灭菌</w:t>
            </w:r>
          </w:p>
        </w:tc>
        <w:tc>
          <w:tcPr>
            <w:tcW w:w="43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[</w:t>
            </w:r>
            <w:r>
              <w:rPr>
                <w:rFonts w:hint="eastAsia" w:ascii="仿宋" w:hAnsi="仿宋" w:eastAsia="仿宋" w:cs="仿宋"/>
                <w:sz w:val="24"/>
              </w:rPr>
              <w:t>B</w:t>
            </w:r>
            <w:r>
              <w:rPr>
                <w:rFonts w:ascii="仿宋" w:hAnsi="仿宋" w:eastAsia="仿宋" w:cs="仿宋"/>
                <w:sz w:val="24"/>
              </w:rPr>
              <w:t>]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无菌</w:t>
            </w:r>
          </w:p>
        </w:tc>
        <w:tc>
          <w:tcPr>
            <w:tcW w:w="4419" w:type="dxa"/>
            <w:gridSpan w:val="4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外观：</w:t>
            </w:r>
            <w:r>
              <w:rPr>
                <w:rFonts w:hint="eastAsia" w:ascii="仿宋" w:hAnsi="仿宋" w:eastAsia="仿宋" w:cs="仿宋"/>
                <w:sz w:val="24"/>
              </w:rPr>
              <w:t>灭菌后的产品外包装应完整、不变形、不破裂、无残留药迹。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图文：</w:t>
            </w:r>
            <w:r>
              <w:rPr>
                <w:rFonts w:hint="eastAsia" w:ascii="仿宋" w:hAnsi="仿宋" w:eastAsia="仿宋" w:cs="仿宋"/>
                <w:sz w:val="24"/>
              </w:rPr>
              <w:t>灭菌后箱面印刷图形、文字应不改变。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化学指示物：</w:t>
            </w:r>
            <w:r>
              <w:rPr>
                <w:rFonts w:hint="eastAsia" w:ascii="仿宋" w:hAnsi="仿宋" w:eastAsia="仿宋" w:cs="仿宋"/>
                <w:sz w:val="24"/>
              </w:rPr>
              <w:t>灭菌后的化学指示片应由红色变为兰色。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外观：抽检5箱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图文：抽检5箱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化学指示物：抽检20箱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66" w:hRule="atLeast"/>
          <w:tblHeader/>
        </w:trPr>
        <w:tc>
          <w:tcPr>
            <w:tcW w:w="353" w:type="dxa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说明</w:t>
            </w:r>
          </w:p>
        </w:tc>
        <w:tc>
          <w:tcPr>
            <w:tcW w:w="8009" w:type="dxa"/>
            <w:gridSpan w:val="8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1、特性符号中[</w:t>
            </w:r>
            <w:r>
              <w:rPr>
                <w:rFonts w:ascii="仿宋" w:hAnsi="仿宋" w:eastAsia="仿宋" w:cs="仿宋"/>
                <w:sz w:val="24"/>
              </w:rPr>
              <w:t>A</w:t>
            </w:r>
            <w:r>
              <w:rPr>
                <w:rFonts w:hint="eastAsia" w:ascii="仿宋" w:hAnsi="仿宋" w:eastAsia="仿宋" w:cs="仿宋"/>
                <w:sz w:val="24"/>
              </w:rPr>
              <w:t>]为关键工序、 [B]为特殊工序； [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C</w:t>
            </w:r>
            <w:r>
              <w:rPr>
                <w:rFonts w:hint="eastAsia" w:ascii="仿宋" w:hAnsi="仿宋" w:eastAsia="仿宋" w:cs="仿宋"/>
                <w:sz w:val="24"/>
              </w:rPr>
              <w:t>]为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一般</w:t>
            </w:r>
            <w:r>
              <w:rPr>
                <w:rFonts w:hint="eastAsia" w:ascii="仿宋" w:hAnsi="仿宋" w:eastAsia="仿宋" w:cs="仿宋"/>
                <w:sz w:val="24"/>
              </w:rPr>
              <w:t>工序；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2、特性来源于特殊特性清单、图纸、相关产品标准以及已经生产的类似产品的特殊特性和经验；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3、完工检中检验水平S-3依据GB/执行；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69" w:hRule="atLeast"/>
          <w:tblHeader/>
        </w:trPr>
        <w:tc>
          <w:tcPr>
            <w:tcW w:w="2975" w:type="dxa"/>
            <w:gridSpan w:val="5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(技术科)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：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eastAsia="zh-CN"/>
              </w:rPr>
            </w:pP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24"/>
              </w:rPr>
              <w:t>期：</w:t>
            </w:r>
          </w:p>
        </w:tc>
        <w:tc>
          <w:tcPr>
            <w:tcW w:w="2292" w:type="dxa"/>
            <w:gridSpan w:val="2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审核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(质管科)：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val="en-US" w:eastAsia="zh-CN"/>
              </w:rPr>
            </w:pP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24"/>
              </w:rPr>
              <w:t>期：</w:t>
            </w:r>
          </w:p>
        </w:tc>
        <w:tc>
          <w:tcPr>
            <w:tcW w:w="3095" w:type="dxa"/>
            <w:gridSpan w:val="2"/>
            <w:noWrap w:val="0"/>
            <w:vAlign w:val="center"/>
          </w:tcPr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批准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(管代)：</w:t>
            </w: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  <w:lang w:val="en-US" w:eastAsia="zh-CN"/>
              </w:rPr>
            </w:pPr>
          </w:p>
          <w:p>
            <w:pPr>
              <w:snapToGrid w:val="0"/>
              <w:spacing w:line="280" w:lineRule="exact"/>
              <w:jc w:val="center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 w:val="24"/>
              </w:rPr>
              <w:t>期：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C5B36"/>
    <w:rsid w:val="122C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2025-04-27T07:24:00Z</dcterms:created>
  <dc:creator>Administrator</dc:creator>
  <cp:lastModifiedBy>Administrator</cp:lastModifiedBy>
  <dcterms:modified xsi:type="dcterms:W3CDTF">2025-04-27T07:24:37Z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