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pacing w:val="20"/>
          <w:sz w:val="36"/>
          <w:szCs w:val="36"/>
          <w:lang w:eastAsia="zh-CN"/>
        </w:rPr>
      </w:pPr>
      <w:r>
        <w:rPr>
          <w:rFonts w:hint="eastAsia" w:ascii="仿宋" w:hAnsi="仿宋" w:eastAsia="仿宋" w:cs="仿宋"/>
          <w:spacing w:val="20"/>
          <w:sz w:val="36"/>
          <w:szCs w:val="36"/>
          <w:lang w:eastAsia="zh-CN"/>
        </w:rPr>
        <w:t>XXXXX医疗器械有限公司</w:t>
      </w:r>
    </w:p>
    <w:p>
      <w:pPr>
        <w:jc w:val="center"/>
        <w:rPr>
          <w:rFonts w:hint="eastAsia" w:ascii="宋体" w:hAnsi="宋体" w:eastAsia="宋体" w:cs="宋体"/>
          <w:spacing w:val="20"/>
          <w:sz w:val="32"/>
          <w:szCs w:val="32"/>
        </w:rPr>
      </w:pPr>
      <w:bookmarkStart w:id="0" w:name="_GoBack"/>
      <w:r>
        <w:rPr>
          <w:rFonts w:hint="eastAsia" w:ascii="仿宋" w:hAnsi="仿宋" w:eastAsia="仿宋" w:cs="仿宋"/>
          <w:spacing w:val="20"/>
          <w:sz w:val="32"/>
          <w:szCs w:val="32"/>
        </w:rPr>
        <w:t>样品信息输出</w:t>
      </w:r>
    </w:p>
    <w:bookmarkEnd w:id="0"/>
    <w:p>
      <w:pPr>
        <w:ind w:firstLine="240" w:firstLineChars="10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NO</w:t>
      </w:r>
      <w:r>
        <w:rPr>
          <w:rFonts w:hint="eastAsia" w:ascii="仿宋" w:hAnsi="仿宋" w:eastAsia="仿宋" w:cs="仿宋"/>
          <w:sz w:val="24"/>
          <w:szCs w:val="24"/>
        </w:rPr>
        <w:t>：1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sz w:val="24"/>
          <w:szCs w:val="24"/>
        </w:rPr>
        <w:t>-1</w:t>
      </w:r>
    </w:p>
    <w:tbl>
      <w:tblPr>
        <w:tblStyle w:val="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1175"/>
        <w:gridCol w:w="2893"/>
        <w:gridCol w:w="1686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atLeast"/>
        </w:trPr>
        <w:tc>
          <w:tcPr>
            <w:tcW w:w="1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产品名称</w:t>
            </w:r>
          </w:p>
        </w:tc>
        <w:tc>
          <w:tcPr>
            <w:tcW w:w="2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一次性使用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xxx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产品型号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YY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qs</w:t>
            </w:r>
            <w:r>
              <w:rPr>
                <w:rFonts w:hint="eastAsia" w:ascii="仿宋" w:hAnsi="仿宋" w:eastAsia="仿宋" w:cs="仿宋"/>
                <w:sz w:val="24"/>
              </w:rPr>
              <w:t xml:space="preserve"> 三腔-1500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atLeast"/>
        </w:trPr>
        <w:tc>
          <w:tcPr>
            <w:tcW w:w="1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用途</w:t>
            </w:r>
          </w:p>
        </w:tc>
        <w:tc>
          <w:tcPr>
            <w:tcW w:w="2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胸腔闭式引流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特点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色态分离、可中央吸引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atLeast"/>
        </w:trPr>
        <w:tc>
          <w:tcPr>
            <w:tcW w:w="54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</w:t>
            </w: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操作要求</w:t>
            </w:r>
          </w:p>
        </w:tc>
        <w:tc>
          <w:tcPr>
            <w:tcW w:w="68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零件种类较多，约30种零件。装配较复杂。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atLeast"/>
        </w:trPr>
        <w:tc>
          <w:tcPr>
            <w:tcW w:w="54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防错要求</w:t>
            </w:r>
          </w:p>
        </w:tc>
        <w:tc>
          <w:tcPr>
            <w:tcW w:w="68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产品无装错的风险。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atLeast"/>
        </w:trPr>
        <w:tc>
          <w:tcPr>
            <w:tcW w:w="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机</w:t>
            </w: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设备要求</w:t>
            </w:r>
          </w:p>
        </w:tc>
        <w:tc>
          <w:tcPr>
            <w:tcW w:w="68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现有设备基本可以生产加工。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atLeast"/>
        </w:trPr>
        <w:tc>
          <w:tcPr>
            <w:tcW w:w="54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料</w:t>
            </w: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材料要求</w:t>
            </w:r>
          </w:p>
        </w:tc>
        <w:tc>
          <w:tcPr>
            <w:tcW w:w="68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原料采用PVC，辅助材料在合格供方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采购</w:t>
            </w:r>
            <w:r>
              <w:rPr>
                <w:rFonts w:hint="eastAsia" w:ascii="仿宋" w:hAnsi="仿宋" w:eastAsia="仿宋" w:cs="仿宋"/>
                <w:sz w:val="24"/>
              </w:rPr>
              <w:t>要求范围内。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5" w:hRule="atLeast"/>
        </w:trPr>
        <w:tc>
          <w:tcPr>
            <w:tcW w:w="54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材质要求</w:t>
            </w:r>
          </w:p>
        </w:tc>
        <w:tc>
          <w:tcPr>
            <w:tcW w:w="68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透明度较高，不允许有明显花纹。</w:t>
            </w:r>
          </w:p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2.美观大方，刻度清晰。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atLeast"/>
        </w:trPr>
        <w:tc>
          <w:tcPr>
            <w:tcW w:w="54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法</w:t>
            </w: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工艺要求</w:t>
            </w:r>
          </w:p>
        </w:tc>
        <w:tc>
          <w:tcPr>
            <w:tcW w:w="68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注塑、挤出、吹塑、测漏、灭菌等现有工艺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6" w:hRule="atLeast"/>
        </w:trPr>
        <w:tc>
          <w:tcPr>
            <w:tcW w:w="54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功能要求</w:t>
            </w:r>
          </w:p>
        </w:tc>
        <w:tc>
          <w:tcPr>
            <w:tcW w:w="68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1.血水分腔盛装，便于引流液的计量和色态变化观察</w:t>
            </w:r>
          </w:p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2.可直接接中央吸引辅助引流</w:t>
            </w:r>
          </w:p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3.水柱波动清晰，水封管上能及时显示病情的正负压数值</w:t>
            </w:r>
          </w:p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4.引流阻力恒定，引流快速彻底</w:t>
            </w:r>
          </w:p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5.配置自动正负压释放阀。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atLeast"/>
        </w:trPr>
        <w:tc>
          <w:tcPr>
            <w:tcW w:w="54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结构要求</w:t>
            </w:r>
          </w:p>
        </w:tc>
        <w:tc>
          <w:tcPr>
            <w:tcW w:w="68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水封式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5" w:hRule="atLeast"/>
        </w:trPr>
        <w:tc>
          <w:tcPr>
            <w:tcW w:w="54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临床要求</w:t>
            </w:r>
          </w:p>
        </w:tc>
        <w:tc>
          <w:tcPr>
            <w:tcW w:w="68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适用于治疗各种原因引起的气胸、胸腔积液及各类手术后需要进行闭式引流的病人用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atLeast"/>
        </w:trPr>
        <w:tc>
          <w:tcPr>
            <w:tcW w:w="54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环</w:t>
            </w: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环境要求</w:t>
            </w:r>
          </w:p>
        </w:tc>
        <w:tc>
          <w:tcPr>
            <w:tcW w:w="68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现有等级洁净车间可以生产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atLeast"/>
        </w:trPr>
        <w:tc>
          <w:tcPr>
            <w:tcW w:w="54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场地要求</w:t>
            </w:r>
          </w:p>
        </w:tc>
        <w:tc>
          <w:tcPr>
            <w:tcW w:w="68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现有场地足够的生产面积，生产工艺兼容性高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atLeast"/>
        </w:trPr>
        <w:tc>
          <w:tcPr>
            <w:tcW w:w="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测</w:t>
            </w: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检测要求</w:t>
            </w:r>
          </w:p>
        </w:tc>
        <w:tc>
          <w:tcPr>
            <w:tcW w:w="68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现有检测设备满足检测要求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atLeast"/>
        </w:trPr>
        <w:tc>
          <w:tcPr>
            <w:tcW w:w="852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ind w:firstLine="3600" w:firstLineChars="150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产品草图绘制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1" w:hRule="atLeast"/>
        </w:trPr>
        <w:tc>
          <w:tcPr>
            <w:tcW w:w="852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60" w:hRule="atLeast"/>
        </w:trPr>
        <w:tc>
          <w:tcPr>
            <w:tcW w:w="852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编制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技术科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sz w:val="24"/>
              </w:rPr>
              <w:t>：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xxx</w:t>
            </w:r>
            <w:r>
              <w:rPr>
                <w:rFonts w:hint="eastAsia" w:ascii="仿宋" w:hAnsi="仿宋" w:eastAsia="仿宋" w:cs="仿宋"/>
                <w:sz w:val="24"/>
              </w:rPr>
              <w:t xml:space="preserve">                                    复核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管代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sz w:val="24"/>
              </w:rPr>
              <w:t>：</w:t>
            </w:r>
          </w:p>
          <w:p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日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仿宋" w:hAnsi="仿宋" w:eastAsia="仿宋" w:cs="仿宋"/>
                <w:sz w:val="24"/>
              </w:rPr>
              <w:t>期：                                     日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sz w:val="24"/>
              </w:rPr>
              <w:t>期：</w:t>
            </w:r>
          </w:p>
        </w:tc>
      </w:tr>
    </w:tbl>
    <w:p>
      <w:pPr>
        <w:jc w:val="center"/>
        <w:rPr>
          <w:rFonts w:hint="eastAsia" w:ascii="微软简隶书" w:hAnsi="微软简隶书" w:eastAsia="微软简隶书"/>
          <w:spacing w:val="20"/>
          <w:sz w:val="36"/>
          <w:szCs w:val="36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简隶书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D17E91"/>
    <w:multiLevelType w:val="multilevel"/>
    <w:tmpl w:val="1ED17E9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仿宋" w:hAnsi="仿宋" w:eastAsia="仿宋" w:cs="仿宋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6217AC"/>
    <w:rsid w:val="0462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2025-04-27T07:19:00Z</dcterms:created>
  <dc:creator>Administrator</dc:creator>
  <cp:lastModifiedBy>Administrator</cp:lastModifiedBy>
  <dcterms:modified xsi:type="dcterms:W3CDTF">2025-04-27T07:20:02Z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