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請計算此資料中房價的平均數、中位數、變異數與標準差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323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平均數:22.532806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中位數:21.200000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變異數:84.586723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標準差:9.197104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請計算此資料中房價超過20(PRICE TYPE=2)與低於20(PRICE TYPE=1)的個數及比例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828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房價低於20(PRICE TYPE=1)的個數為215 比例為0.424901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房價超過20(PRICE TYPE=2)的個數為291 比例為0.575099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代表房價有一半以上超過20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請計算是否臨近Carles River(CHAS=0 or CHAS=1)地區房價之差異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不臨近Carles River(CHAS=0)的平均房價為22.093843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臨近Carles River(CHAS=1)的平均房價為28.44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代表臨近Carles River的房價平均下來比較高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請計算是否臨近Carles River(CHAS=0 or CHAS=1)地區房價高低之差異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781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以房價高低的角度來看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房價低於20(PRICE TYPE=1):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0.962791不臨近Carles River(CHAS=0)，0.037209臨近Carles River(CHAS=1)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房價高於20(PRICE TYPE=2):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0.907216不臨近Carles River(CHAS=0)，0.092784臨近Carles River(CHAS=1)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代表無論房價高低，不臨近Carles River(CHAS=0)的房子比較多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1800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以是否臨近Carles River的角度來看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臨近Carles River(CHAS=1):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0.439490房價低於20(PRICE TYPE=1)，0.560512房價高於20(PRICE TYPE=2)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不臨近Carles River(CHAS=0):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0.2228571房價低於20(PRICE TYPE=1)，0.771429房價高於20(PRICE TYPE=2)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代表無論是否臨近Carles River，房價高於20(PRICE TYPE=2)的房子比較多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第五題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請分析哪些量化因素與房價具有較高的關聯性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須先扣除掉類別，留下量化因素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被扣除掉的類別有三個:Unnamed: 0、CHAS、PRICE TYPE，剩下的為量化因素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28925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有正相關:ZN、RM、DIS、B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有負相關:CRIM、INDUS、NOX、AGE、RAD、TAX、PTRATIO、LSTAT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自己和自己比較的相關係數為1:PRICE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其中相關係數的絕對值大於0.5的較有參考價值:RM(0.695360)、PTRATIO(-0.507787)、LSTAT(-0.737663)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代表每戶平均房間數(RM)和房價有高的正向關聯性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代表人口地位較低的百分比(LSTAT)和房價有較高的負向關聯性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