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AI二 B10905001 張啟玥 巨量資料分析 作業三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畫出六都ATM數量、綜合所得稅總額(平均數)之比較圖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191000" cy="4219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綜合所得稅排名:臺北市&gt;桃園市&gt;新北市&gt;臺中市&gt;高雄市&gt;臺南市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ATM數量排名:新北市&gt;臺北市&gt;臺中市&gt;高雄市&gt;桃園市&gt;臺南市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由圖片可以看出: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新北市的所得稅總額和ATM數量差不多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台中市、高雄市和臺南市則是有些許差距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臺北市有明顯差異也是差異最大的都市(綜合所得稅總額遠高於ATM數量)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桃園市的差距則位居第二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臺南市不管在綜合所得稅還市ATM數量都是最低的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第二題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畫出臺北市ATM數量、綜合所得稅總額之盒形圖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219575" cy="4191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ATM數量最小值1.2，第一四分位距1.7，第二四分位距2.8，第三四分位距3.3，最大值4.8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臺北市有些地區的ATM數量比其他地區還少將近四倍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229100" cy="42005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綜合所得稅最小值0.45，第一四分位距0.78，第二四分位距1.03，第三四分位距1.15，最大值1.25，離群值1.85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有離群值就代表臺北市有些區域的綜合所得稅總額偏高，該地區應該住有錢人居多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第三題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請查詢台灣近一年(十二個月)來失業率的資料，並劃出失業率之趨勢圖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因為疫情在五月時爆發，使得三級警戒延續影響到許多店家倒閉或是暫停營業，進而導致實業綠逐月攀升，一直到7月時才逐月減緩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第四題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請畫出台灣一週本土與境外移入的疫情趨勢圖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257550" cy="32194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境外的比例一直都遠高於境內，且近期都有上升的趨勢，因為高雄新增了案例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