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請畫出此資料中房價的直方圖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3076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房價20左右的數量明顯最多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請畫出此資料中房價超過20(PRICE TYPE=2)與低於20(PRICE TYPE=1)的個數的長條圖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2905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TYPE=1的個數低於PRICE TYPE=2的個數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請畫出此資料中RAD各類別個數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791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RAD越高代表交通越便利，因為徑向高速公路的可達性指數大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RAD=24的比例占最高(26.09%)，其次是RAD=5(22.73%)和RAD=4(21.74%)，他們三個加起來的比例大於50%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RAD=7的比例占最低(3.36%)，其次是RAD=1(3.95%)和RAD=2&amp;8(4.74%)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